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164465</wp:posOffset>
            </wp:positionV>
            <wp:extent cx="7142480"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2480"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196215</wp:posOffset>
            </wp:positionV>
            <wp:extent cx="714248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5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SCHEDULE 14A</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(Rule 14a-101)</w:t>
      </w:r>
    </w:p>
    <w:p>
      <w:pPr>
        <w:spacing w:after="0" w:line="1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INFORMATION REQUIRED IN PROXY STATEMENT</w:t>
      </w:r>
    </w:p>
    <w:p>
      <w:pPr>
        <w:spacing w:after="0" w:line="20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SCHEDULE 14A INFORMATION</w:t>
      </w:r>
    </w:p>
    <w:p>
      <w:pPr>
        <w:spacing w:after="0" w:line="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 the</w:t>
      </w:r>
    </w:p>
    <w:p>
      <w:pPr>
        <w:spacing w:after="0" w:line="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(Amendment No. )</w:t>
      </w:r>
    </w:p>
    <w:p>
      <w:pPr>
        <w:spacing w:after="0" w:line="150" w:lineRule="exact"/>
        <w:rPr>
          <w:sz w:val="24"/>
          <w:szCs w:val="24"/>
          <w:color w:val="auto"/>
        </w:rPr>
      </w:pPr>
    </w:p>
    <w:p>
      <w:pPr>
        <w:spacing w:after="0" w:line="196" w:lineRule="exact"/>
        <w:tabs>
          <w:tab w:leader="none" w:pos="2800" w:val="left"/>
        </w:tabs>
        <w:rPr>
          <w:sz w:val="20"/>
          <w:szCs w:val="20"/>
          <w:color w:val="auto"/>
        </w:rPr>
      </w:pPr>
      <w:r>
        <w:rPr>
          <w:rFonts w:ascii="Times New Roman" w:cs="Times New Roman" w:eastAsia="Times New Roman" w:hAnsi="Times New Roman"/>
          <w:sz w:val="17"/>
          <w:szCs w:val="17"/>
          <w:color w:val="auto"/>
        </w:rPr>
        <w:t xml:space="preserve">Filed by the Registrant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6"/>
          <w:szCs w:val="16"/>
          <w:color w:val="auto"/>
        </w:rPr>
        <w:t>Filed by a Party other than the Registrant</w:t>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204" w:lineRule="exact"/>
        <w:rPr>
          <w:sz w:val="24"/>
          <w:szCs w:val="24"/>
          <w:color w:val="auto"/>
        </w:rPr>
      </w:pPr>
    </w:p>
    <w:p>
      <w:pPr>
        <w:ind w:left="300" w:hanging="300"/>
        <w:spacing w:after="0"/>
        <w:tabs>
          <w:tab w:leader="none" w:pos="3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200" w:lineRule="exact"/>
        <w:rPr>
          <w:rFonts w:ascii="MS PGothic" w:cs="MS PGothic" w:eastAsia="MS PGothic" w:hAnsi="MS PGothic"/>
          <w:sz w:val="17"/>
          <w:szCs w:val="17"/>
          <w:color w:val="auto"/>
        </w:rPr>
      </w:pPr>
    </w:p>
    <w:p>
      <w:pPr>
        <w:ind w:left="300" w:hanging="300"/>
        <w:spacing w:after="0"/>
        <w:tabs>
          <w:tab w:leader="none" w:pos="3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Confidential, For Use of the Commission Only (as permitted by Rule 14a-6(e) (2))</w:t>
      </w:r>
    </w:p>
    <w:p>
      <w:pPr>
        <w:spacing w:after="0" w:line="208" w:lineRule="exact"/>
        <w:rPr>
          <w:sz w:val="24"/>
          <w:szCs w:val="24"/>
          <w:color w:val="auto"/>
        </w:rPr>
      </w:pPr>
    </w:p>
    <w:p>
      <w:pPr>
        <w:ind w:left="300" w:hanging="300"/>
        <w:spacing w:after="0"/>
        <w:tabs>
          <w:tab w:leader="none" w:pos="3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Proxy Statement</w:t>
      </w:r>
    </w:p>
    <w:p>
      <w:pPr>
        <w:spacing w:after="0" w:line="204" w:lineRule="exact"/>
        <w:rPr>
          <w:sz w:val="24"/>
          <w:szCs w:val="24"/>
          <w:color w:val="auto"/>
        </w:rPr>
      </w:pPr>
    </w:p>
    <w:p>
      <w:pPr>
        <w:ind w:left="300" w:hanging="300"/>
        <w:spacing w:after="0"/>
        <w:tabs>
          <w:tab w:leader="none" w:pos="3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204" w:lineRule="exact"/>
        <w:rPr>
          <w:rFonts w:ascii="MS PGothic" w:cs="MS PGothic" w:eastAsia="MS PGothic" w:hAnsi="MS PGothic"/>
          <w:sz w:val="17"/>
          <w:szCs w:val="17"/>
          <w:color w:val="auto"/>
        </w:rPr>
      </w:pPr>
    </w:p>
    <w:p>
      <w:pPr>
        <w:ind w:left="300" w:hanging="300"/>
        <w:spacing w:after="0"/>
        <w:tabs>
          <w:tab w:leader="none" w:pos="3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§240.14a-12</w:t>
      </w:r>
    </w:p>
    <w:p>
      <w:pPr>
        <w:spacing w:after="0" w:line="17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30"/>
          <w:szCs w:val="30"/>
          <w:b w:val="1"/>
          <w:bCs w:val="1"/>
          <w:color w:val="auto"/>
        </w:rPr>
        <w:t>T. Rowe Price Group, Inc.</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(Name of Registrant as Specified in Its Charter)</w:t>
      </w:r>
    </w:p>
    <w:p>
      <w:pPr>
        <w:spacing w:after="0" w:line="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18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Payment of Filing Fee (Check the appropriate box):</w:t>
      </w:r>
    </w:p>
    <w:p>
      <w:pPr>
        <w:spacing w:after="0" w:line="204" w:lineRule="exact"/>
        <w:rPr>
          <w:sz w:val="24"/>
          <w:szCs w:val="24"/>
          <w:color w:val="auto"/>
        </w:rPr>
      </w:pPr>
    </w:p>
    <w:p>
      <w:pPr>
        <w:ind w:left="300" w:hanging="300"/>
        <w:spacing w:after="0"/>
        <w:tabs>
          <w:tab w:leader="none" w:pos="30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204" w:lineRule="exact"/>
        <w:rPr>
          <w:sz w:val="24"/>
          <w:szCs w:val="24"/>
          <w:color w:val="auto"/>
        </w:rPr>
      </w:pPr>
    </w:p>
    <w:p>
      <w:pPr>
        <w:ind w:left="300" w:hanging="300"/>
        <w:spacing w:after="0"/>
        <w:tabs>
          <w:tab w:leader="none" w:pos="30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204" w:lineRule="exact"/>
        <w:rPr>
          <w:rFonts w:ascii="MS PGothic" w:cs="MS PGothic" w:eastAsia="MS PGothic" w:hAnsi="MS PGothic"/>
          <w:sz w:val="17"/>
          <w:szCs w:val="17"/>
          <w:color w:val="auto"/>
        </w:rPr>
      </w:pPr>
    </w:p>
    <w:p>
      <w:pPr>
        <w:ind w:left="300" w:hanging="300"/>
        <w:spacing w:after="0"/>
        <w:tabs>
          <w:tab w:leader="none" w:pos="30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172085</wp:posOffset>
            </wp:positionV>
            <wp:extent cx="714248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248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195580</wp:posOffset>
            </wp:positionV>
            <wp:extent cx="7142480"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2480"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624205</wp:posOffset>
            </wp:positionV>
            <wp:extent cx="714248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0139"/>
          </w:cols>
          <w:pgMar w:left="320" w:top="423" w:right="1440" w:bottom="1440" w:gutter="0" w:footer="0" w:header="0"/>
        </w:sectPr>
      </w:pPr>
    </w:p>
    <w:bookmarkStart w:id="1" w:name="page2"/>
    <w:bookmarkEnd w:id="1"/>
    <w:p>
      <w:pPr>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139700</wp:posOffset>
            </wp:positionV>
            <wp:extent cx="7142480" cy="8142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2480" cy="8142605"/>
                    </a:xfrm>
                    <a:prstGeom prst="rect">
                      <a:avLst/>
                    </a:prstGeom>
                    <a:noFill/>
                  </pic:spPr>
                </pic:pic>
              </a:graphicData>
            </a:graphic>
          </wp:anchor>
        </w:drawing>
      </w:r>
    </w:p>
    <w:p>
      <w:pPr>
        <w:sectPr>
          <w:pgSz w:w="11900" w:h="16838" w:orient="portrait"/>
          <w:cols w:equalWidth="0" w:num="1">
            <w:col w:w="10139"/>
          </w:cols>
          <w:pgMar w:left="320" w:top="310" w:right="1440" w:bottom="144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0000EE"/>
        </w:rPr>
        <w:t>Table of Contents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254F"/>
        </w:rPr>
        <w:t>T. Rowe Price Group,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254F"/>
        </w:rPr>
        <w:t>A Premier Global Active Asset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125095</wp:posOffset>
            </wp:positionV>
            <wp:extent cx="6745605" cy="1158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45605" cy="1158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8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Independent Investment Organization</w:t>
            </w:r>
          </w:p>
        </w:tc>
        <w:tc>
          <w:tcPr>
            <w:tcW w:w="3640" w:type="dxa"/>
            <w:vAlign w:val="bottom"/>
          </w:tcPr>
          <w:p>
            <w:pPr>
              <w:ind w:left="320"/>
              <w:spacing w:after="0"/>
              <w:rPr>
                <w:sz w:val="20"/>
                <w:szCs w:val="20"/>
                <w:color w:val="auto"/>
              </w:rPr>
            </w:pPr>
            <w:r>
              <w:rPr>
                <w:rFonts w:ascii="Times New Roman" w:cs="Times New Roman" w:eastAsia="Times New Roman" w:hAnsi="Times New Roman"/>
                <w:sz w:val="20"/>
                <w:szCs w:val="20"/>
                <w:b w:val="1"/>
                <w:bCs w:val="1"/>
                <w:color w:val="auto"/>
              </w:rPr>
              <w:t>Alignment of Interests</w:t>
            </w:r>
          </w:p>
        </w:tc>
        <w:tc>
          <w:tcPr>
            <w:tcW w:w="3200" w:type="dxa"/>
            <w:vAlign w:val="bottom"/>
          </w:tcPr>
          <w:p>
            <w:pPr>
              <w:ind w:left="400"/>
              <w:spacing w:after="0"/>
              <w:rPr>
                <w:sz w:val="20"/>
                <w:szCs w:val="20"/>
                <w:color w:val="auto"/>
              </w:rPr>
            </w:pPr>
            <w:r>
              <w:rPr>
                <w:rFonts w:ascii="Times New Roman" w:cs="Times New Roman" w:eastAsia="Times New Roman" w:hAnsi="Times New Roman"/>
                <w:sz w:val="20"/>
                <w:szCs w:val="20"/>
                <w:b w:val="1"/>
                <w:bCs w:val="1"/>
                <w:color w:val="auto"/>
              </w:rPr>
              <w:t>Stable Investment Leadership</w:t>
            </w:r>
          </w:p>
        </w:tc>
      </w:tr>
      <w:tr>
        <w:trPr>
          <w:trHeight w:val="248"/>
        </w:trPr>
        <w:tc>
          <w:tcPr>
            <w:tcW w:w="3880" w:type="dxa"/>
            <w:vAlign w:val="bottom"/>
          </w:tcPr>
          <w:p>
            <w:pPr>
              <w:spacing w:after="0"/>
              <w:rPr>
                <w:sz w:val="20"/>
                <w:szCs w:val="20"/>
                <w:color w:val="auto"/>
              </w:rPr>
            </w:pPr>
            <w:r>
              <w:rPr>
                <w:rFonts w:ascii="Arial" w:cs="Arial" w:eastAsia="Arial" w:hAnsi="Arial"/>
                <w:sz w:val="17"/>
                <w:szCs w:val="17"/>
                <w:color w:val="auto"/>
              </w:rPr>
              <w:t>Focused solely on investment management and</w:t>
            </w:r>
          </w:p>
        </w:tc>
        <w:tc>
          <w:tcPr>
            <w:tcW w:w="3640" w:type="dxa"/>
            <w:vAlign w:val="bottom"/>
          </w:tcPr>
          <w:p>
            <w:pPr>
              <w:ind w:left="320"/>
              <w:spacing w:after="0"/>
              <w:rPr>
                <w:sz w:val="20"/>
                <w:szCs w:val="20"/>
                <w:color w:val="auto"/>
              </w:rPr>
            </w:pPr>
            <w:r>
              <w:rPr>
                <w:rFonts w:ascii="Arial" w:cs="Arial" w:eastAsia="Arial" w:hAnsi="Arial"/>
                <w:sz w:val="17"/>
                <w:szCs w:val="17"/>
                <w:color w:val="auto"/>
              </w:rPr>
              <w:t>Substantial employee ownership aligns</w:t>
            </w:r>
          </w:p>
        </w:tc>
        <w:tc>
          <w:tcPr>
            <w:tcW w:w="3200" w:type="dxa"/>
            <w:vAlign w:val="bottom"/>
          </w:tcPr>
          <w:p>
            <w:pPr>
              <w:ind w:left="400"/>
              <w:spacing w:after="0"/>
              <w:rPr>
                <w:sz w:val="20"/>
                <w:szCs w:val="20"/>
                <w:color w:val="auto"/>
              </w:rPr>
            </w:pPr>
            <w:r>
              <w:rPr>
                <w:rFonts w:ascii="Arial" w:cs="Arial" w:eastAsia="Arial" w:hAnsi="Arial"/>
                <w:sz w:val="17"/>
                <w:szCs w:val="17"/>
                <w:color w:val="auto"/>
                <w:w w:val="97"/>
              </w:rPr>
              <w:t>Global investment leaders average 17</w:t>
            </w:r>
          </w:p>
        </w:tc>
      </w:tr>
      <w:tr>
        <w:trPr>
          <w:trHeight w:val="219"/>
        </w:trPr>
        <w:tc>
          <w:tcPr>
            <w:tcW w:w="3880" w:type="dxa"/>
            <w:vAlign w:val="bottom"/>
          </w:tcPr>
          <w:p>
            <w:pPr>
              <w:spacing w:after="0"/>
              <w:rPr>
                <w:sz w:val="20"/>
                <w:szCs w:val="20"/>
                <w:color w:val="auto"/>
              </w:rPr>
            </w:pPr>
            <w:r>
              <w:rPr>
                <w:rFonts w:ascii="Arial" w:cs="Arial" w:eastAsia="Arial" w:hAnsi="Arial"/>
                <w:sz w:val="17"/>
                <w:szCs w:val="17"/>
                <w:color w:val="auto"/>
              </w:rPr>
              <w:t>related services</w:t>
            </w:r>
          </w:p>
        </w:tc>
        <w:tc>
          <w:tcPr>
            <w:tcW w:w="3640" w:type="dxa"/>
            <w:vAlign w:val="bottom"/>
          </w:tcPr>
          <w:p>
            <w:pPr>
              <w:ind w:left="320"/>
              <w:spacing w:after="0"/>
              <w:rPr>
                <w:sz w:val="20"/>
                <w:szCs w:val="20"/>
                <w:color w:val="auto"/>
              </w:rPr>
            </w:pPr>
            <w:r>
              <w:rPr>
                <w:rFonts w:ascii="Arial" w:cs="Arial" w:eastAsia="Arial" w:hAnsi="Arial"/>
                <w:sz w:val="17"/>
                <w:szCs w:val="17"/>
                <w:color w:val="auto"/>
              </w:rPr>
              <w:t>interests with stockholders</w:t>
            </w:r>
          </w:p>
        </w:tc>
        <w:tc>
          <w:tcPr>
            <w:tcW w:w="3200" w:type="dxa"/>
            <w:vAlign w:val="bottom"/>
          </w:tcPr>
          <w:p>
            <w:pPr>
              <w:ind w:left="400"/>
              <w:spacing w:after="0"/>
              <w:rPr>
                <w:sz w:val="20"/>
                <w:szCs w:val="20"/>
                <w:color w:val="auto"/>
              </w:rPr>
            </w:pPr>
            <w:r>
              <w:rPr>
                <w:rFonts w:ascii="Arial" w:cs="Arial" w:eastAsia="Arial" w:hAnsi="Arial"/>
                <w:sz w:val="17"/>
                <w:szCs w:val="17"/>
                <w:color w:val="auto"/>
              </w:rPr>
              <w:t>years’ tenure at T. Rowe Price</w:t>
            </w:r>
          </w:p>
        </w:tc>
      </w:tr>
      <w:tr>
        <w:trPr>
          <w:trHeight w:val="408"/>
        </w:trPr>
        <w:tc>
          <w:tcPr>
            <w:tcW w:w="38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Financial Strength</w:t>
            </w:r>
          </w:p>
        </w:tc>
        <w:tc>
          <w:tcPr>
            <w:tcW w:w="3640" w:type="dxa"/>
            <w:vAlign w:val="bottom"/>
          </w:tcPr>
          <w:p>
            <w:pPr>
              <w:ind w:left="320"/>
              <w:spacing w:after="0"/>
              <w:rPr>
                <w:sz w:val="20"/>
                <w:szCs w:val="20"/>
                <w:color w:val="auto"/>
              </w:rPr>
            </w:pPr>
            <w:r>
              <w:rPr>
                <w:rFonts w:ascii="Times New Roman" w:cs="Times New Roman" w:eastAsia="Times New Roman" w:hAnsi="Times New Roman"/>
                <w:sz w:val="20"/>
                <w:szCs w:val="20"/>
                <w:b w:val="1"/>
                <w:bCs w:val="1"/>
                <w:color w:val="auto"/>
              </w:rPr>
              <w:t>Global Investment Platform</w:t>
            </w:r>
          </w:p>
        </w:tc>
        <w:tc>
          <w:tcPr>
            <w:tcW w:w="3200" w:type="dxa"/>
            <w:vAlign w:val="bottom"/>
          </w:tcPr>
          <w:p>
            <w:pPr>
              <w:spacing w:after="0"/>
              <w:rPr>
                <w:sz w:val="24"/>
                <w:szCs w:val="24"/>
                <w:color w:val="auto"/>
              </w:rPr>
            </w:pPr>
          </w:p>
        </w:tc>
      </w:tr>
      <w:tr>
        <w:trPr>
          <w:trHeight w:val="248"/>
        </w:trPr>
        <w:tc>
          <w:tcPr>
            <w:tcW w:w="3880" w:type="dxa"/>
            <w:vAlign w:val="bottom"/>
          </w:tcPr>
          <w:p>
            <w:pPr>
              <w:spacing w:after="0"/>
              <w:rPr>
                <w:sz w:val="20"/>
                <w:szCs w:val="20"/>
                <w:color w:val="auto"/>
              </w:rPr>
            </w:pPr>
            <w:r>
              <w:rPr>
                <w:rFonts w:ascii="Arial" w:cs="Arial" w:eastAsia="Arial" w:hAnsi="Arial"/>
                <w:sz w:val="17"/>
                <w:szCs w:val="17"/>
                <w:color w:val="auto"/>
              </w:rPr>
              <w:t>Ample liquidity and substantial cash reserves</w:t>
            </w:r>
          </w:p>
        </w:tc>
        <w:tc>
          <w:tcPr>
            <w:tcW w:w="3640" w:type="dxa"/>
            <w:vAlign w:val="bottom"/>
          </w:tcPr>
          <w:p>
            <w:pPr>
              <w:ind w:left="320"/>
              <w:spacing w:after="0"/>
              <w:rPr>
                <w:sz w:val="20"/>
                <w:szCs w:val="20"/>
                <w:color w:val="auto"/>
              </w:rPr>
            </w:pPr>
            <w:r>
              <w:rPr>
                <w:rFonts w:ascii="Arial" w:cs="Arial" w:eastAsia="Arial" w:hAnsi="Arial"/>
                <w:sz w:val="17"/>
                <w:szCs w:val="17"/>
                <w:color w:val="auto"/>
              </w:rPr>
              <w:t>Full range of equity, fixed income, multi-</w:t>
            </w:r>
          </w:p>
        </w:tc>
        <w:tc>
          <w:tcPr>
            <w:tcW w:w="3200" w:type="dxa"/>
            <w:vAlign w:val="bottom"/>
          </w:tcPr>
          <w:p>
            <w:pPr>
              <w:spacing w:after="0"/>
              <w:rPr>
                <w:sz w:val="21"/>
                <w:szCs w:val="21"/>
                <w:color w:val="auto"/>
              </w:rPr>
            </w:pPr>
          </w:p>
        </w:tc>
      </w:tr>
      <w:tr>
        <w:trPr>
          <w:trHeight w:val="219"/>
        </w:trPr>
        <w:tc>
          <w:tcPr>
            <w:tcW w:w="3880" w:type="dxa"/>
            <w:vAlign w:val="bottom"/>
          </w:tcPr>
          <w:p>
            <w:pPr>
              <w:spacing w:after="0"/>
              <w:rPr>
                <w:sz w:val="19"/>
                <w:szCs w:val="19"/>
                <w:color w:val="auto"/>
              </w:rPr>
            </w:pPr>
          </w:p>
        </w:tc>
        <w:tc>
          <w:tcPr>
            <w:tcW w:w="3640" w:type="dxa"/>
            <w:vAlign w:val="bottom"/>
          </w:tcPr>
          <w:p>
            <w:pPr>
              <w:ind w:left="320"/>
              <w:spacing w:after="0"/>
              <w:rPr>
                <w:sz w:val="20"/>
                <w:szCs w:val="20"/>
                <w:color w:val="auto"/>
              </w:rPr>
            </w:pPr>
            <w:r>
              <w:rPr>
                <w:rFonts w:ascii="Arial" w:cs="Arial" w:eastAsia="Arial" w:hAnsi="Arial"/>
                <w:sz w:val="17"/>
                <w:szCs w:val="17"/>
                <w:color w:val="auto"/>
              </w:rPr>
              <w:t>asset, and alternative solutions</w:t>
            </w:r>
          </w:p>
        </w:tc>
        <w:tc>
          <w:tcPr>
            <w:tcW w:w="3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212725</wp:posOffset>
            </wp:positionV>
            <wp:extent cx="714248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254F"/>
        </w:rPr>
        <w:t>Our Multiyear Strategic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150495</wp:posOffset>
            </wp:positionV>
            <wp:extent cx="349250" cy="4286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9250" cy="428625"/>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150495</wp:posOffset>
            </wp:positionV>
            <wp:extent cx="444500" cy="4445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44500" cy="444500"/>
                    </a:xfrm>
                    <a:prstGeom prst="rect">
                      <a:avLst/>
                    </a:prstGeom>
                    <a:noFill/>
                  </pic:spPr>
                </pic:pic>
              </a:graphicData>
            </a:graphic>
          </wp:anchor>
        </w:drawing>
      </w:r>
    </w:p>
    <w:p>
      <w:pPr>
        <w:spacing w:after="0" w:line="380" w:lineRule="exact"/>
        <w:rPr>
          <w:sz w:val="20"/>
          <w:szCs w:val="20"/>
          <w:color w:val="auto"/>
        </w:rPr>
      </w:pPr>
    </w:p>
    <w:tbl>
      <w:tblPr>
        <w:tblLayout w:type="fixed"/>
        <w:tblInd w:w="1120" w:type="dxa"/>
        <w:tblCellMar>
          <w:top w:w="0" w:type="dxa"/>
          <w:left w:w="0" w:type="dxa"/>
          <w:bottom w:w="0" w:type="dxa"/>
          <w:right w:w="0" w:type="dxa"/>
        </w:tblCellMar>
      </w:tblPr>
      <w:tr>
        <w:trPr>
          <w:trHeight w:val="175"/>
        </w:trPr>
        <w:tc>
          <w:tcPr>
            <w:tcW w:w="3800" w:type="dxa"/>
            <w:vAlign w:val="bottom"/>
            <w:vMerge w:val="restart"/>
          </w:tcPr>
          <w:p>
            <w:pPr>
              <w:spacing w:after="0"/>
              <w:rPr>
                <w:sz w:val="20"/>
                <w:szCs w:val="20"/>
                <w:color w:val="auto"/>
              </w:rPr>
            </w:pPr>
            <w:r>
              <w:rPr>
                <w:rFonts w:ascii="Arial" w:cs="Arial" w:eastAsia="Arial" w:hAnsi="Arial"/>
                <w:sz w:val="15"/>
                <w:szCs w:val="15"/>
                <w:color w:val="auto"/>
              </w:rPr>
              <w:t>Deliver investment excellence</w:t>
            </w:r>
          </w:p>
        </w:tc>
        <w:tc>
          <w:tcPr>
            <w:tcW w:w="6120" w:type="dxa"/>
            <w:vAlign w:val="bottom"/>
          </w:tcPr>
          <w:p>
            <w:pPr>
              <w:ind w:left="1820"/>
              <w:spacing w:after="0"/>
              <w:rPr>
                <w:sz w:val="20"/>
                <w:szCs w:val="20"/>
                <w:color w:val="auto"/>
              </w:rPr>
            </w:pPr>
            <w:r>
              <w:rPr>
                <w:rFonts w:ascii="Arial" w:cs="Arial" w:eastAsia="Arial" w:hAnsi="Arial"/>
                <w:sz w:val="15"/>
                <w:szCs w:val="15"/>
                <w:color w:val="auto"/>
                <w:w w:val="99"/>
              </w:rPr>
              <w:t>Innovate our investment capabilities to remain central to meeting</w:t>
            </w:r>
          </w:p>
        </w:tc>
        <w:tc>
          <w:tcPr>
            <w:tcW w:w="0" w:type="dxa"/>
            <w:vAlign w:val="bottom"/>
          </w:tcPr>
          <w:p>
            <w:pPr>
              <w:spacing w:after="0"/>
              <w:rPr>
                <w:sz w:val="1"/>
                <w:szCs w:val="1"/>
                <w:color w:val="auto"/>
              </w:rPr>
            </w:pPr>
          </w:p>
        </w:tc>
      </w:tr>
      <w:tr>
        <w:trPr>
          <w:trHeight w:val="110"/>
        </w:trPr>
        <w:tc>
          <w:tcPr>
            <w:tcW w:w="3800" w:type="dxa"/>
            <w:vAlign w:val="bottom"/>
            <w:vMerge w:val="continue"/>
          </w:tcPr>
          <w:p>
            <w:pPr>
              <w:spacing w:after="0"/>
              <w:rPr>
                <w:sz w:val="9"/>
                <w:szCs w:val="9"/>
                <w:color w:val="auto"/>
              </w:rPr>
            </w:pPr>
          </w:p>
        </w:tc>
        <w:tc>
          <w:tcPr>
            <w:tcW w:w="6120" w:type="dxa"/>
            <w:vAlign w:val="bottom"/>
            <w:vMerge w:val="restart"/>
          </w:tcPr>
          <w:p>
            <w:pPr>
              <w:ind w:left="1820"/>
              <w:spacing w:after="0"/>
              <w:rPr>
                <w:sz w:val="20"/>
                <w:szCs w:val="20"/>
                <w:color w:val="auto"/>
              </w:rPr>
            </w:pPr>
            <w:r>
              <w:rPr>
                <w:rFonts w:ascii="Arial" w:cs="Arial" w:eastAsia="Arial" w:hAnsi="Arial"/>
                <w:sz w:val="15"/>
                <w:szCs w:val="15"/>
                <w:color w:val="auto"/>
              </w:rPr>
              <w:t>client needs</w:t>
            </w:r>
          </w:p>
        </w:tc>
        <w:tc>
          <w:tcPr>
            <w:tcW w:w="0" w:type="dxa"/>
            <w:vAlign w:val="bottom"/>
          </w:tcPr>
          <w:p>
            <w:pPr>
              <w:spacing w:after="0"/>
              <w:rPr>
                <w:sz w:val="1"/>
                <w:szCs w:val="1"/>
                <w:color w:val="auto"/>
              </w:rPr>
            </w:pPr>
          </w:p>
        </w:tc>
      </w:tr>
      <w:tr>
        <w:trPr>
          <w:trHeight w:val="87"/>
        </w:trPr>
        <w:tc>
          <w:tcPr>
            <w:tcW w:w="3800" w:type="dxa"/>
            <w:vAlign w:val="bottom"/>
          </w:tcPr>
          <w:p>
            <w:pPr>
              <w:spacing w:after="0"/>
              <w:rPr>
                <w:sz w:val="7"/>
                <w:szCs w:val="7"/>
                <w:color w:val="auto"/>
              </w:rPr>
            </w:pPr>
          </w:p>
        </w:tc>
        <w:tc>
          <w:tcPr>
            <w:tcW w:w="6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358140</wp:posOffset>
            </wp:positionV>
            <wp:extent cx="412750" cy="436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12750" cy="436245"/>
                    </a:xfrm>
                    <a:prstGeom prst="rect">
                      <a:avLst/>
                    </a:prstGeom>
                    <a:noFill/>
                  </pic:spPr>
                </pic:pic>
              </a:graphicData>
            </a:graphic>
          </wp:anchor>
        </w:drawing>
        <w:drawing>
          <wp:anchor simplePos="0" relativeHeight="251657728" behindDoc="1" locked="0" layoutInCell="0" allowOverlap="1">
            <wp:simplePos x="0" y="0"/>
            <wp:positionH relativeFrom="column">
              <wp:posOffset>3698240</wp:posOffset>
            </wp:positionH>
            <wp:positionV relativeFrom="paragraph">
              <wp:posOffset>358140</wp:posOffset>
            </wp:positionV>
            <wp:extent cx="467995" cy="4838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67995" cy="483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ind w:right="1440"/>
        <w:spacing w:after="0"/>
        <w:tabs>
          <w:tab w:leader="none" w:pos="4280" w:val="left"/>
        </w:tabs>
        <w:rPr>
          <w:sz w:val="20"/>
          <w:szCs w:val="20"/>
          <w:color w:val="auto"/>
        </w:rPr>
      </w:pPr>
      <w:r>
        <w:rPr>
          <w:rFonts w:ascii="Arial" w:cs="Arial" w:eastAsia="Arial" w:hAnsi="Arial"/>
          <w:sz w:val="15"/>
          <w:szCs w:val="15"/>
          <w:color w:val="auto"/>
        </w:rPr>
        <w:t>Globalize and grow client base</w:t>
      </w:r>
      <w:r>
        <w:rPr>
          <w:sz w:val="20"/>
          <w:szCs w:val="20"/>
          <w:color w:val="auto"/>
        </w:rPr>
        <w:tab/>
      </w:r>
      <w:r>
        <w:rPr>
          <w:rFonts w:ascii="Arial" w:cs="Arial" w:eastAsia="Arial" w:hAnsi="Arial"/>
          <w:sz w:val="14"/>
          <w:szCs w:val="14"/>
          <w:color w:val="auto"/>
        </w:rPr>
        <w:t>Attract and develop excellent diverse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454025</wp:posOffset>
            </wp:positionV>
            <wp:extent cx="412750" cy="420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12750" cy="420370"/>
                    </a:xfrm>
                    <a:prstGeom prst="rect">
                      <a:avLst/>
                    </a:prstGeom>
                    <a:noFill/>
                  </pic:spPr>
                </pic:pic>
              </a:graphicData>
            </a:graphic>
          </wp:anchor>
        </w:drawing>
        <w:drawing>
          <wp:anchor simplePos="0" relativeHeight="251657728" behindDoc="1" locked="0" layoutInCell="0" allowOverlap="1">
            <wp:simplePos x="0" y="0"/>
            <wp:positionH relativeFrom="column">
              <wp:posOffset>3745865</wp:posOffset>
            </wp:positionH>
            <wp:positionV relativeFrom="paragraph">
              <wp:posOffset>461645</wp:posOffset>
            </wp:positionV>
            <wp:extent cx="372745" cy="404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2745" cy="404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120" w:type="dxa"/>
        <w:tblCellMar>
          <w:top w:w="0" w:type="dxa"/>
          <w:left w:w="0" w:type="dxa"/>
          <w:bottom w:w="0" w:type="dxa"/>
          <w:right w:w="0" w:type="dxa"/>
        </w:tblCellMar>
      </w:tblPr>
      <w:tr>
        <w:trPr>
          <w:trHeight w:val="175"/>
        </w:trPr>
        <w:tc>
          <w:tcPr>
            <w:tcW w:w="3900" w:type="dxa"/>
            <w:vAlign w:val="bottom"/>
            <w:vMerge w:val="restart"/>
          </w:tcPr>
          <w:p>
            <w:pPr>
              <w:spacing w:after="0"/>
              <w:rPr>
                <w:sz w:val="20"/>
                <w:szCs w:val="20"/>
                <w:color w:val="auto"/>
              </w:rPr>
            </w:pPr>
            <w:r>
              <w:rPr>
                <w:rFonts w:ascii="Arial" w:cs="Arial" w:eastAsia="Arial" w:hAnsi="Arial"/>
                <w:sz w:val="15"/>
                <w:szCs w:val="15"/>
                <w:color w:val="auto"/>
              </w:rPr>
              <w:t>Deliver world-class client service</w:t>
            </w:r>
          </w:p>
        </w:tc>
        <w:tc>
          <w:tcPr>
            <w:tcW w:w="5480" w:type="dxa"/>
            <w:vAlign w:val="bottom"/>
          </w:tcPr>
          <w:p>
            <w:pPr>
              <w:ind w:left="1720"/>
              <w:spacing w:after="0"/>
              <w:rPr>
                <w:sz w:val="20"/>
                <w:szCs w:val="20"/>
                <w:color w:val="auto"/>
              </w:rPr>
            </w:pPr>
            <w:r>
              <w:rPr>
                <w:rFonts w:ascii="Arial" w:cs="Arial" w:eastAsia="Arial" w:hAnsi="Arial"/>
                <w:sz w:val="15"/>
                <w:szCs w:val="15"/>
                <w:color w:val="auto"/>
                <w:w w:val="99"/>
              </w:rPr>
              <w:t>Leverage data and technology to support innovation and</w:t>
            </w:r>
          </w:p>
        </w:tc>
        <w:tc>
          <w:tcPr>
            <w:tcW w:w="0" w:type="dxa"/>
            <w:vAlign w:val="bottom"/>
          </w:tcPr>
          <w:p>
            <w:pPr>
              <w:spacing w:after="0"/>
              <w:rPr>
                <w:sz w:val="1"/>
                <w:szCs w:val="1"/>
                <w:color w:val="auto"/>
              </w:rPr>
            </w:pPr>
          </w:p>
        </w:tc>
      </w:tr>
      <w:tr>
        <w:trPr>
          <w:trHeight w:val="110"/>
        </w:trPr>
        <w:tc>
          <w:tcPr>
            <w:tcW w:w="3900" w:type="dxa"/>
            <w:vAlign w:val="bottom"/>
            <w:vMerge w:val="continue"/>
          </w:tcPr>
          <w:p>
            <w:pPr>
              <w:spacing w:after="0"/>
              <w:rPr>
                <w:sz w:val="9"/>
                <w:szCs w:val="9"/>
                <w:color w:val="auto"/>
              </w:rPr>
            </w:pPr>
          </w:p>
        </w:tc>
        <w:tc>
          <w:tcPr>
            <w:tcW w:w="5480" w:type="dxa"/>
            <w:vAlign w:val="bottom"/>
            <w:vMerge w:val="restart"/>
          </w:tcPr>
          <w:p>
            <w:pPr>
              <w:ind w:left="1720"/>
              <w:spacing w:after="0"/>
              <w:rPr>
                <w:sz w:val="20"/>
                <w:szCs w:val="20"/>
                <w:color w:val="auto"/>
              </w:rPr>
            </w:pPr>
            <w:r>
              <w:rPr>
                <w:rFonts w:ascii="Arial" w:cs="Arial" w:eastAsia="Arial" w:hAnsi="Arial"/>
                <w:sz w:val="15"/>
                <w:szCs w:val="15"/>
                <w:color w:val="auto"/>
              </w:rPr>
              <w:t>operational excellence, and drive scale</w:t>
            </w:r>
          </w:p>
        </w:tc>
        <w:tc>
          <w:tcPr>
            <w:tcW w:w="0" w:type="dxa"/>
            <w:vAlign w:val="bottom"/>
          </w:tcPr>
          <w:p>
            <w:pPr>
              <w:spacing w:after="0"/>
              <w:rPr>
                <w:sz w:val="1"/>
                <w:szCs w:val="1"/>
                <w:color w:val="auto"/>
              </w:rPr>
            </w:pPr>
          </w:p>
        </w:tc>
      </w:tr>
      <w:tr>
        <w:trPr>
          <w:trHeight w:val="87"/>
        </w:trPr>
        <w:tc>
          <w:tcPr>
            <w:tcW w:w="3900" w:type="dxa"/>
            <w:vAlign w:val="bottom"/>
          </w:tcPr>
          <w:p>
            <w:pPr>
              <w:spacing w:after="0"/>
              <w:rPr>
                <w:sz w:val="7"/>
                <w:szCs w:val="7"/>
                <w:color w:val="auto"/>
              </w:rPr>
            </w:pPr>
          </w:p>
        </w:tc>
        <w:tc>
          <w:tcPr>
            <w:tcW w:w="5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5"/>
          <w:szCs w:val="15"/>
          <w:color w:val="auto"/>
        </w:rPr>
        <w:t>Past performance cannot guarantee future results. As of December 31, 2023.</w:t>
      </w:r>
    </w:p>
    <w:p>
      <w:pPr>
        <w:ind w:left="240" w:hanging="240"/>
        <w:spacing w:after="0" w:line="229" w:lineRule="auto"/>
        <w:tabs>
          <w:tab w:leader="none" w:pos="240" w:val="left"/>
        </w:tabs>
        <w:numPr>
          <w:ilvl w:val="0"/>
          <w:numId w:val="6"/>
        </w:numPr>
        <w:rPr>
          <w:rFonts w:ascii="Arial" w:cs="Arial" w:eastAsia="Arial" w:hAnsi="Arial"/>
          <w:sz w:val="25"/>
          <w:szCs w:val="25"/>
          <w:color w:val="auto"/>
          <w:vertAlign w:val="superscript"/>
        </w:rPr>
      </w:pPr>
      <w:r>
        <w:rPr>
          <w:rFonts w:ascii="Arial" w:cs="Arial" w:eastAsia="Arial" w:hAnsi="Arial"/>
          <w:sz w:val="15"/>
          <w:szCs w:val="15"/>
          <w:color w:val="auto"/>
        </w:rPr>
        <w:t>Firmwide AUM includes assets managed by T. Rowe Price Associates, Inc., and its investment advisory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327025</wp:posOffset>
            </wp:positionV>
            <wp:extent cx="714248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040"/>
          </w:cols>
          <w:pgMar w:left="320" w:top="223" w:right="539"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0000EE"/>
        </w:rPr>
        <w:t>Table of Contents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254F"/>
        </w:rPr>
        <w:t>2023 Performance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Investment Results</w:t>
      </w:r>
    </w:p>
    <w:p>
      <w:pPr>
        <w:spacing w:after="0" w:line="224" w:lineRule="exact"/>
        <w:rPr>
          <w:sz w:val="20"/>
          <w:szCs w:val="20"/>
          <w:color w:val="auto"/>
        </w:rPr>
      </w:pPr>
    </w:p>
    <w:p>
      <w:pPr>
        <w:jc w:val="both"/>
        <w:ind w:right="140"/>
        <w:spacing w:after="0" w:line="251" w:lineRule="auto"/>
        <w:rPr>
          <w:sz w:val="20"/>
          <w:szCs w:val="20"/>
          <w:color w:val="auto"/>
        </w:rPr>
      </w:pPr>
      <w:r>
        <w:rPr>
          <w:rFonts w:ascii="Arial" w:cs="Arial" w:eastAsia="Arial" w:hAnsi="Arial"/>
          <w:sz w:val="15"/>
          <w:szCs w:val="15"/>
          <w:color w:val="auto"/>
        </w:rPr>
        <w:t>As investors, we remained focused on our strategic investing approach and delivering alpha for clients through active management. Our investment performance was solid across most asset classes, with 52%, 56%, and 71% of our U.S. mutual funds (primary share class only) outperforming their comparable Morningstar median over</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the 3-, 5-, and 10-year periods ended December 31, 2023, respectively.</w:t>
      </w:r>
      <w:r>
        <w:rPr>
          <w:rFonts w:ascii="Arial" w:cs="Arial" w:eastAsia="Arial" w:hAnsi="Arial"/>
          <w:sz w:val="24"/>
          <w:szCs w:val="24"/>
          <w:color w:val="auto"/>
          <w:vertAlign w:val="superscript"/>
        </w:rPr>
        <w:t>(1)</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Financial Results</w:t>
      </w:r>
    </w:p>
    <w:p>
      <w:pPr>
        <w:spacing w:after="0" w:line="224" w:lineRule="exact"/>
        <w:rPr>
          <w:sz w:val="20"/>
          <w:szCs w:val="20"/>
          <w:color w:val="auto"/>
        </w:rPr>
      </w:pPr>
    </w:p>
    <w:p>
      <w:pPr>
        <w:ind w:right="400"/>
        <w:spacing w:after="0" w:line="315" w:lineRule="auto"/>
        <w:rPr>
          <w:sz w:val="20"/>
          <w:szCs w:val="20"/>
          <w:color w:val="auto"/>
        </w:rPr>
      </w:pPr>
      <w:r>
        <w:rPr>
          <w:rFonts w:ascii="Arial" w:cs="Arial" w:eastAsia="Arial" w:hAnsi="Arial"/>
          <w:sz w:val="14"/>
          <w:szCs w:val="14"/>
          <w:color w:val="auto"/>
        </w:rPr>
        <w:t>Our assets under management (AUM) was $1.445 trillion on December 31, 2023, with 8.6% of our AUM domiciled outside the U.S. Average AUM was $1.36 trillion, which led to investment advisory revenues of over $5.7 billion. We returned $1.4 billion to stockholders, including $254.3 million of share repurchases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244F"/>
        </w:rPr>
        <w:t>ESG Snapshot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Supporting the Transition to a Low Carbon Economy</w:t>
      </w:r>
    </w:p>
    <w:p>
      <w:pPr>
        <w:spacing w:after="0" w:line="99" w:lineRule="exact"/>
        <w:rPr>
          <w:sz w:val="20"/>
          <w:szCs w:val="20"/>
          <w:color w:val="auto"/>
        </w:rPr>
      </w:pPr>
    </w:p>
    <w:p>
      <w:pPr>
        <w:jc w:val="both"/>
        <w:ind w:right="160"/>
        <w:spacing w:after="0" w:line="261" w:lineRule="auto"/>
        <w:rPr>
          <w:sz w:val="20"/>
          <w:szCs w:val="20"/>
          <w:color w:val="auto"/>
        </w:rPr>
      </w:pPr>
      <w:r>
        <w:rPr>
          <w:rFonts w:ascii="Arial" w:cs="Arial" w:eastAsia="Arial" w:hAnsi="Arial"/>
          <w:sz w:val="15"/>
          <w:szCs w:val="15"/>
          <w:color w:val="auto"/>
        </w:rPr>
        <w:t>As an asset manager, we are a fiduciary first and foremost. We view climate change considerations through a fiduciary lens, with a focus on financial performance and risk management. We support the goals of the Paris Climate Agreement to limit the increase of global temperatures to 1.5˚C, because we believe that a smooth climate transition will create a more stable economic environment, reduce uncertainty, and enable business investment.</w:t>
      </w:r>
    </w:p>
    <w:p>
      <w:pPr>
        <w:spacing w:after="0" w:line="162" w:lineRule="exact"/>
        <w:rPr>
          <w:sz w:val="20"/>
          <w:szCs w:val="20"/>
          <w:color w:val="auto"/>
        </w:rPr>
      </w:pPr>
    </w:p>
    <w:p>
      <w:pPr>
        <w:jc w:val="both"/>
        <w:ind w:right="80"/>
        <w:spacing w:after="0" w:line="261" w:lineRule="auto"/>
        <w:rPr>
          <w:sz w:val="20"/>
          <w:szCs w:val="20"/>
          <w:color w:val="auto"/>
        </w:rPr>
      </w:pPr>
      <w:r>
        <w:rPr>
          <w:rFonts w:ascii="Arial" w:cs="Arial" w:eastAsia="Arial" w:hAnsi="Arial"/>
          <w:sz w:val="15"/>
          <w:szCs w:val="15"/>
          <w:color w:val="auto"/>
        </w:rPr>
        <w:t>In April 2022, we joined the Net Zero Asset Managers initiative (NZAM), an international group of asset managers committed to supporting the goals of the Paris Climate Agreement and achieving net zero greenhouse gas (GHG) emissions by 2050 or sooner. We engage constructively with companies to encourage a thoughtful transition to net zero that we believe will deliver better outcomes for our investors.</w:t>
      </w:r>
    </w:p>
    <w:p>
      <w:pPr>
        <w:spacing w:after="0" w:line="162" w:lineRule="exact"/>
        <w:rPr>
          <w:sz w:val="20"/>
          <w:szCs w:val="20"/>
          <w:color w:val="auto"/>
        </w:rPr>
      </w:pPr>
    </w:p>
    <w:p>
      <w:pPr>
        <w:ind w:right="280"/>
        <w:spacing w:after="0" w:line="245" w:lineRule="auto"/>
        <w:rPr>
          <w:sz w:val="20"/>
          <w:szCs w:val="20"/>
          <w:color w:val="auto"/>
        </w:rPr>
      </w:pPr>
      <w:r>
        <w:rPr>
          <w:rFonts w:ascii="Arial" w:cs="Arial" w:eastAsia="Arial" w:hAnsi="Arial"/>
          <w:sz w:val="14"/>
          <w:szCs w:val="14"/>
          <w:color w:val="auto"/>
        </w:rPr>
        <w:t>For most of our clients, their sole objective is risk-adjusted financial performance. For these portfolios, integration of environmental, social and governance (ESG)</w:t>
      </w:r>
      <w:r>
        <w:rPr>
          <w:rFonts w:ascii="Arial" w:cs="Arial" w:eastAsia="Arial" w:hAnsi="Arial"/>
          <w:sz w:val="23"/>
          <w:szCs w:val="23"/>
          <w:color w:val="auto"/>
          <w:vertAlign w:val="superscript"/>
        </w:rPr>
        <w:t>(2)</w:t>
      </w:r>
      <w:r>
        <w:rPr>
          <w:rFonts w:ascii="Arial" w:cs="Arial" w:eastAsia="Arial" w:hAnsi="Arial"/>
          <w:sz w:val="14"/>
          <w:szCs w:val="14"/>
          <w:color w:val="auto"/>
        </w:rPr>
        <w:t xml:space="preserve"> related risks and opportunities forms part of our fundamental research process. Some clients choose to extend their investment objectives beyond financial considerations alone and in such cases, we will work with them to develop solutions that meet their needs. In 2023, we introduced our Net Zero Transition framework, which can be applied to multiple vehicles and asset classes. The framework is applied in our new Global Growth Equity Net Zero Transition Fund in a SICAV offering.</w:t>
      </w:r>
    </w:p>
    <w:p>
      <w:pPr>
        <w:spacing w:after="0" w:line="175" w:lineRule="exact"/>
        <w:rPr>
          <w:sz w:val="20"/>
          <w:szCs w:val="20"/>
          <w:color w:val="auto"/>
        </w:rPr>
      </w:pPr>
    </w:p>
    <w:p>
      <w:pPr>
        <w:ind w:right="180"/>
        <w:spacing w:after="0" w:line="255" w:lineRule="auto"/>
        <w:rPr>
          <w:sz w:val="20"/>
          <w:szCs w:val="20"/>
          <w:color w:val="auto"/>
        </w:rPr>
      </w:pPr>
      <w:r>
        <w:rPr>
          <w:rFonts w:ascii="Arial" w:cs="Arial" w:eastAsia="Arial" w:hAnsi="Arial"/>
          <w:sz w:val="15"/>
          <w:szCs w:val="15"/>
          <w:color w:val="auto"/>
        </w:rPr>
        <w:t>Additionally, we and the International Finance Corporation, a member of the World Bank Group, announced plans to create the T. Rowe Price Emerging Markets Blue Economy Bond Strategy to increase access to financing for blue projects in emerging markets and to help improve market standards for the nascent blue bond market. Blue investments seek to provide competitive returns while supporting the health, productivity, and resilience of the world's oceans and water resources, which are vital for sustainable global development, especially in the face of climate change, overfishing, and pollution.</w:t>
      </w:r>
    </w:p>
    <w:p>
      <w:pPr>
        <w:spacing w:after="0" w:line="166" w:lineRule="exact"/>
        <w:rPr>
          <w:sz w:val="20"/>
          <w:szCs w:val="20"/>
          <w:color w:val="auto"/>
        </w:rPr>
      </w:pPr>
    </w:p>
    <w:p>
      <w:pPr>
        <w:jc w:val="both"/>
        <w:ind w:right="60"/>
        <w:spacing w:after="0" w:line="226" w:lineRule="auto"/>
        <w:rPr>
          <w:sz w:val="20"/>
          <w:szCs w:val="20"/>
          <w:color w:val="auto"/>
        </w:rPr>
      </w:pPr>
      <w:r>
        <w:rPr>
          <w:rFonts w:ascii="Arial" w:cs="Arial" w:eastAsia="Arial" w:hAnsi="Arial"/>
          <w:sz w:val="15"/>
          <w:szCs w:val="15"/>
          <w:color w:val="auto"/>
        </w:rPr>
        <w:t>To address GHG emissions from our operations, we established a target to achieve net zero scope 1 and 2 emissions</w:t>
      </w:r>
      <w:r>
        <w:rPr>
          <w:rFonts w:ascii="Arial" w:cs="Arial" w:eastAsia="Arial" w:hAnsi="Arial"/>
          <w:sz w:val="24"/>
          <w:szCs w:val="24"/>
          <w:color w:val="auto"/>
          <w:vertAlign w:val="superscript"/>
        </w:rPr>
        <w:t>(3)</w:t>
      </w:r>
      <w:r>
        <w:rPr>
          <w:rFonts w:ascii="Arial" w:cs="Arial" w:eastAsia="Arial" w:hAnsi="Arial"/>
          <w:sz w:val="15"/>
          <w:szCs w:val="15"/>
          <w:color w:val="auto"/>
        </w:rPr>
        <w:t xml:space="preserve"> by 2040, which is supported by an interim target to reduce GHG emissions by 75% by 2030 compared with our 2021 baseline. These targets were approved by our Nominating and Corporate Governance Committee in February 2023. Both of these targets place us below the emissions reduction trajectory required to stay within a 1.5°C warming scenario.</w:t>
      </w:r>
    </w:p>
    <w:p>
      <w:pPr>
        <w:spacing w:after="0" w:line="178" w:lineRule="exact"/>
        <w:rPr>
          <w:sz w:val="20"/>
          <w:szCs w:val="20"/>
          <w:color w:val="auto"/>
        </w:rPr>
      </w:pPr>
    </w:p>
    <w:p>
      <w:pPr>
        <w:jc w:val="both"/>
        <w:ind w:left="240" w:right="220" w:hanging="240"/>
        <w:spacing w:after="0" w:line="207" w:lineRule="auto"/>
        <w:tabs>
          <w:tab w:leader="none" w:pos="240" w:val="left"/>
        </w:tabs>
        <w:numPr>
          <w:ilvl w:val="0"/>
          <w:numId w:val="7"/>
        </w:numPr>
        <w:rPr>
          <w:rFonts w:ascii="Arial" w:cs="Arial" w:eastAsia="Arial" w:hAnsi="Arial"/>
          <w:sz w:val="25"/>
          <w:szCs w:val="25"/>
          <w:color w:val="auto"/>
          <w:vertAlign w:val="superscript"/>
        </w:rPr>
      </w:pPr>
      <w:r>
        <w:rPr>
          <w:rFonts w:ascii="Arial" w:cs="Arial" w:eastAsia="Arial" w:hAnsi="Arial"/>
          <w:sz w:val="15"/>
          <w:szCs w:val="15"/>
          <w:color w:val="auto"/>
        </w:rPr>
        <w:t>Source: © 2024 Morningstar, Inc. All rights reserved. The information contained herein: (1) is proprietary to Morningstar and/or its content providers; (2) may not be copied or distributed; and (3) is not warranted to be accurate, complete, or timely. Neither Morningstar nor its content providers are responsible for any damages or losses arising from any use of this information. Primary share class only.</w:t>
      </w:r>
    </w:p>
    <w:p>
      <w:pPr>
        <w:spacing w:after="0" w:line="41" w:lineRule="exact"/>
        <w:rPr>
          <w:rFonts w:ascii="Arial" w:cs="Arial" w:eastAsia="Arial" w:hAnsi="Arial"/>
          <w:sz w:val="25"/>
          <w:szCs w:val="25"/>
          <w:color w:val="auto"/>
          <w:vertAlign w:val="superscript"/>
        </w:rPr>
      </w:pPr>
    </w:p>
    <w:p>
      <w:pPr>
        <w:ind w:left="240" w:hanging="240"/>
        <w:spacing w:after="0" w:line="204" w:lineRule="auto"/>
        <w:tabs>
          <w:tab w:leader="none" w:pos="240" w:val="left"/>
        </w:tabs>
        <w:numPr>
          <w:ilvl w:val="0"/>
          <w:numId w:val="7"/>
        </w:numPr>
        <w:rPr>
          <w:rFonts w:ascii="Arial" w:cs="Arial" w:eastAsia="Arial" w:hAnsi="Arial"/>
          <w:sz w:val="24"/>
          <w:szCs w:val="24"/>
          <w:color w:val="auto"/>
          <w:vertAlign w:val="superscript"/>
        </w:rPr>
      </w:pPr>
      <w:r>
        <w:rPr>
          <w:rFonts w:ascii="Arial" w:cs="Arial" w:eastAsia="Arial" w:hAnsi="Arial"/>
          <w:sz w:val="14"/>
          <w:szCs w:val="14"/>
          <w:color w:val="auto"/>
        </w:rPr>
        <w:t>ESG considerations form a part of our overall research process, helping us alongside other factors to identify investment opportunities and manage investment risk. This is known as ESG integration. However, we may conclude that other attributes of an investment outweigh ESG considerations when making investment decisions.</w:t>
      </w:r>
    </w:p>
    <w:p>
      <w:pPr>
        <w:spacing w:after="0" w:line="41" w:lineRule="exact"/>
        <w:rPr>
          <w:rFonts w:ascii="Arial" w:cs="Arial" w:eastAsia="Arial" w:hAnsi="Arial"/>
          <w:sz w:val="24"/>
          <w:szCs w:val="24"/>
          <w:color w:val="auto"/>
          <w:vertAlign w:val="superscript"/>
        </w:rPr>
      </w:pPr>
    </w:p>
    <w:p>
      <w:pPr>
        <w:ind w:left="240" w:hanging="240"/>
        <w:spacing w:after="0" w:line="194" w:lineRule="auto"/>
        <w:tabs>
          <w:tab w:leader="none" w:pos="240" w:val="left"/>
        </w:tabs>
        <w:numPr>
          <w:ilvl w:val="0"/>
          <w:numId w:val="7"/>
        </w:numPr>
        <w:rPr>
          <w:rFonts w:ascii="Arial" w:cs="Arial" w:eastAsia="Arial" w:hAnsi="Arial"/>
          <w:sz w:val="25"/>
          <w:szCs w:val="25"/>
          <w:color w:val="auto"/>
          <w:vertAlign w:val="superscript"/>
        </w:rPr>
      </w:pPr>
      <w:r>
        <w:rPr>
          <w:rFonts w:ascii="Arial" w:cs="Arial" w:eastAsia="Arial" w:hAnsi="Arial"/>
          <w:sz w:val="15"/>
          <w:szCs w:val="15"/>
          <w:color w:val="auto"/>
        </w:rPr>
        <w:t>Scope 1 (direct emissions from owned or controlled sources), scope 2 (indirect emissions from the generation of purchased electricity, steam, or cooling), and scope 3 (all other indirect emissions from an organization's value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319405</wp:posOffset>
            </wp:positionV>
            <wp:extent cx="714248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0000EE"/>
        </w:rPr>
        <w:t>Table of Contents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Promoting Diversity</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Our long-held reputation for excellence and reliability is made possible by the diversity of backgrounds, perspectives, skills, and experiences of our associates.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0254F"/>
        </w:rPr>
        <w:t>To bring diversity, equity and inclusion (DEI) to life, we:</w:t>
      </w:r>
    </w:p>
    <w:p>
      <w:pPr>
        <w:spacing w:after="0" w:line="213" w:lineRule="exact"/>
        <w:rPr>
          <w:sz w:val="20"/>
          <w:szCs w:val="20"/>
          <w:color w:val="auto"/>
        </w:rPr>
      </w:pPr>
    </w:p>
    <w:tbl>
      <w:tblPr>
        <w:tblLayout w:type="fixed"/>
        <w:tblInd w:w="600" w:type="dxa"/>
        <w:tblCellMar>
          <w:top w:w="0" w:type="dxa"/>
          <w:left w:w="0" w:type="dxa"/>
          <w:bottom w:w="0" w:type="dxa"/>
          <w:right w:w="0" w:type="dxa"/>
        </w:tblCellMar>
      </w:tblPr>
      <w:tr>
        <w:trPr>
          <w:trHeight w:val="187"/>
        </w:trPr>
        <w:tc>
          <w:tcPr>
            <w:tcW w:w="1700" w:type="dxa"/>
            <w:vAlign w:val="bottom"/>
          </w:tcPr>
          <w:p>
            <w:pPr>
              <w:spacing w:after="0"/>
              <w:rPr>
                <w:sz w:val="20"/>
                <w:szCs w:val="20"/>
                <w:color w:val="auto"/>
              </w:rPr>
            </w:pPr>
            <w:r>
              <w:rPr>
                <w:rFonts w:ascii="Arial" w:cs="Arial" w:eastAsia="Arial" w:hAnsi="Arial"/>
                <w:sz w:val="15"/>
                <w:szCs w:val="15"/>
                <w:color w:val="auto"/>
              </w:rPr>
              <w:t>Retain and attract</w:t>
            </w:r>
          </w:p>
        </w:tc>
        <w:tc>
          <w:tcPr>
            <w:tcW w:w="2360" w:type="dxa"/>
            <w:vAlign w:val="bottom"/>
          </w:tcPr>
          <w:p>
            <w:pPr>
              <w:ind w:left="520"/>
              <w:spacing w:after="0"/>
              <w:rPr>
                <w:sz w:val="20"/>
                <w:szCs w:val="20"/>
                <w:color w:val="auto"/>
              </w:rPr>
            </w:pPr>
            <w:r>
              <w:rPr>
                <w:rFonts w:ascii="Arial" w:cs="Arial" w:eastAsia="Arial" w:hAnsi="Arial"/>
                <w:sz w:val="15"/>
                <w:szCs w:val="15"/>
                <w:color w:val="auto"/>
              </w:rPr>
              <w:t>Include and engage</w:t>
            </w:r>
          </w:p>
        </w:tc>
        <w:tc>
          <w:tcPr>
            <w:tcW w:w="2140" w:type="dxa"/>
            <w:vAlign w:val="bottom"/>
          </w:tcPr>
          <w:p>
            <w:pPr>
              <w:ind w:left="520"/>
              <w:spacing w:after="0"/>
              <w:rPr>
                <w:sz w:val="20"/>
                <w:szCs w:val="20"/>
                <w:color w:val="auto"/>
              </w:rPr>
            </w:pPr>
            <w:r>
              <w:rPr>
                <w:rFonts w:ascii="Arial" w:cs="Arial" w:eastAsia="Arial" w:hAnsi="Arial"/>
                <w:sz w:val="15"/>
                <w:szCs w:val="15"/>
                <w:color w:val="auto"/>
              </w:rPr>
              <w:t>Develop our</w:t>
            </w:r>
          </w:p>
        </w:tc>
        <w:tc>
          <w:tcPr>
            <w:tcW w:w="2300" w:type="dxa"/>
            <w:vAlign w:val="bottom"/>
          </w:tcPr>
          <w:p>
            <w:pPr>
              <w:ind w:left="620"/>
              <w:spacing w:after="0"/>
              <w:rPr>
                <w:sz w:val="20"/>
                <w:szCs w:val="20"/>
                <w:color w:val="auto"/>
              </w:rPr>
            </w:pPr>
            <w:r>
              <w:rPr>
                <w:rFonts w:ascii="Arial" w:cs="Arial" w:eastAsia="Arial" w:hAnsi="Arial"/>
                <w:sz w:val="15"/>
                <w:szCs w:val="15"/>
                <w:color w:val="auto"/>
              </w:rPr>
              <w:t>Hold ourselves</w:t>
            </w:r>
          </w:p>
        </w:tc>
        <w:tc>
          <w:tcPr>
            <w:tcW w:w="1900" w:type="dxa"/>
            <w:vAlign w:val="bottom"/>
          </w:tcPr>
          <w:p>
            <w:pPr>
              <w:ind w:left="680"/>
              <w:spacing w:after="0"/>
              <w:rPr>
                <w:sz w:val="20"/>
                <w:szCs w:val="20"/>
                <w:color w:val="auto"/>
              </w:rPr>
            </w:pPr>
            <w:r>
              <w:rPr>
                <w:rFonts w:ascii="Arial" w:cs="Arial" w:eastAsia="Arial" w:hAnsi="Arial"/>
                <w:sz w:val="15"/>
                <w:szCs w:val="15"/>
                <w:color w:val="auto"/>
                <w:w w:val="99"/>
              </w:rPr>
              <w:t>Act as an agent of</w:t>
            </w:r>
          </w:p>
        </w:tc>
      </w:tr>
      <w:tr>
        <w:trPr>
          <w:trHeight w:val="200"/>
        </w:trPr>
        <w:tc>
          <w:tcPr>
            <w:tcW w:w="1700" w:type="dxa"/>
            <w:vAlign w:val="bottom"/>
          </w:tcPr>
          <w:p>
            <w:pPr>
              <w:spacing w:after="0"/>
              <w:rPr>
                <w:sz w:val="20"/>
                <w:szCs w:val="20"/>
                <w:color w:val="auto"/>
              </w:rPr>
            </w:pPr>
            <w:r>
              <w:rPr>
                <w:rFonts w:ascii="Arial" w:cs="Arial" w:eastAsia="Arial" w:hAnsi="Arial"/>
                <w:sz w:val="15"/>
                <w:szCs w:val="15"/>
                <w:color w:val="auto"/>
              </w:rPr>
              <w:t>diverse talent</w:t>
            </w:r>
          </w:p>
        </w:tc>
        <w:tc>
          <w:tcPr>
            <w:tcW w:w="2360" w:type="dxa"/>
            <w:vAlign w:val="bottom"/>
          </w:tcPr>
          <w:p>
            <w:pPr>
              <w:ind w:left="520"/>
              <w:spacing w:after="0"/>
              <w:rPr>
                <w:sz w:val="20"/>
                <w:szCs w:val="20"/>
                <w:color w:val="auto"/>
              </w:rPr>
            </w:pPr>
            <w:r>
              <w:rPr>
                <w:rFonts w:ascii="Arial" w:cs="Arial" w:eastAsia="Arial" w:hAnsi="Arial"/>
                <w:sz w:val="15"/>
                <w:szCs w:val="15"/>
                <w:color w:val="auto"/>
              </w:rPr>
              <w:t>our associates</w:t>
            </w:r>
          </w:p>
        </w:tc>
        <w:tc>
          <w:tcPr>
            <w:tcW w:w="2140" w:type="dxa"/>
            <w:vAlign w:val="bottom"/>
          </w:tcPr>
          <w:p>
            <w:pPr>
              <w:ind w:left="520"/>
              <w:spacing w:after="0"/>
              <w:rPr>
                <w:sz w:val="20"/>
                <w:szCs w:val="20"/>
                <w:color w:val="auto"/>
              </w:rPr>
            </w:pPr>
            <w:r>
              <w:rPr>
                <w:rFonts w:ascii="Arial" w:cs="Arial" w:eastAsia="Arial" w:hAnsi="Arial"/>
                <w:sz w:val="15"/>
                <w:szCs w:val="15"/>
                <w:color w:val="auto"/>
              </w:rPr>
              <w:t>associates and</w:t>
            </w:r>
          </w:p>
        </w:tc>
        <w:tc>
          <w:tcPr>
            <w:tcW w:w="2300" w:type="dxa"/>
            <w:vAlign w:val="bottom"/>
          </w:tcPr>
          <w:p>
            <w:pPr>
              <w:ind w:left="620"/>
              <w:spacing w:after="0"/>
              <w:rPr>
                <w:sz w:val="20"/>
                <w:szCs w:val="20"/>
                <w:color w:val="auto"/>
              </w:rPr>
            </w:pPr>
            <w:r>
              <w:rPr>
                <w:rFonts w:ascii="Arial" w:cs="Arial" w:eastAsia="Arial" w:hAnsi="Arial"/>
                <w:sz w:val="15"/>
                <w:szCs w:val="15"/>
                <w:color w:val="auto"/>
              </w:rPr>
              <w:t>accountable</w:t>
            </w:r>
          </w:p>
        </w:tc>
        <w:tc>
          <w:tcPr>
            <w:tcW w:w="1900" w:type="dxa"/>
            <w:vAlign w:val="bottom"/>
          </w:tcPr>
          <w:p>
            <w:pPr>
              <w:ind w:left="680"/>
              <w:spacing w:after="0"/>
              <w:rPr>
                <w:sz w:val="20"/>
                <w:szCs w:val="20"/>
                <w:color w:val="auto"/>
              </w:rPr>
            </w:pPr>
            <w:r>
              <w:rPr>
                <w:rFonts w:ascii="Arial" w:cs="Arial" w:eastAsia="Arial" w:hAnsi="Arial"/>
                <w:sz w:val="15"/>
                <w:szCs w:val="15"/>
                <w:color w:val="auto"/>
              </w:rPr>
              <w:t>change</w:t>
            </w:r>
          </w:p>
        </w:tc>
      </w:tr>
      <w:tr>
        <w:trPr>
          <w:trHeight w:val="198"/>
        </w:trPr>
        <w:tc>
          <w:tcPr>
            <w:tcW w:w="17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140" w:type="dxa"/>
            <w:vAlign w:val="bottom"/>
          </w:tcPr>
          <w:p>
            <w:pPr>
              <w:ind w:left="520"/>
              <w:spacing w:after="0"/>
              <w:rPr>
                <w:sz w:val="20"/>
                <w:szCs w:val="20"/>
                <w:color w:val="auto"/>
              </w:rPr>
            </w:pPr>
            <w:r>
              <w:rPr>
                <w:rFonts w:ascii="Arial" w:cs="Arial" w:eastAsia="Arial" w:hAnsi="Arial"/>
                <w:sz w:val="15"/>
                <w:szCs w:val="15"/>
                <w:color w:val="auto"/>
              </w:rPr>
              <w:t>leaders</w:t>
            </w:r>
          </w:p>
        </w:tc>
        <w:tc>
          <w:tcPr>
            <w:tcW w:w="2300" w:type="dxa"/>
            <w:vAlign w:val="bottom"/>
          </w:tcPr>
          <w:p>
            <w:pPr>
              <w:spacing w:after="0"/>
              <w:rPr>
                <w:sz w:val="17"/>
                <w:szCs w:val="17"/>
                <w:color w:val="auto"/>
              </w:rPr>
            </w:pPr>
          </w:p>
        </w:tc>
        <w:tc>
          <w:tcPr>
            <w:tcW w:w="19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-347345</wp:posOffset>
            </wp:positionV>
            <wp:extent cx="293370" cy="309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3370" cy="309245"/>
                    </a:xfrm>
                    <a:prstGeom prst="rect">
                      <a:avLst/>
                    </a:prstGeom>
                    <a:noFill/>
                  </pic:spPr>
                </pic:pic>
              </a:graphicData>
            </a:graphic>
          </wp:anchor>
        </w:drawing>
        <w:drawing>
          <wp:anchor simplePos="0" relativeHeight="251657728" behindDoc="1" locked="0" layoutInCell="0" allowOverlap="1">
            <wp:simplePos x="0" y="0"/>
            <wp:positionH relativeFrom="column">
              <wp:posOffset>1412875</wp:posOffset>
            </wp:positionH>
            <wp:positionV relativeFrom="paragraph">
              <wp:posOffset>-347345</wp:posOffset>
            </wp:positionV>
            <wp:extent cx="317500" cy="3175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7500" cy="317500"/>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-347345</wp:posOffset>
            </wp:positionV>
            <wp:extent cx="269875" cy="3092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9875" cy="309245"/>
                    </a:xfrm>
                    <a:prstGeom prst="rect">
                      <a:avLst/>
                    </a:prstGeom>
                    <a:noFill/>
                  </pic:spPr>
                </pic:pic>
              </a:graphicData>
            </a:graphic>
          </wp:anchor>
        </w:drawing>
        <w:drawing>
          <wp:anchor simplePos="0" relativeHeight="251657728" behindDoc="1" locked="0" layoutInCell="0" allowOverlap="1">
            <wp:simplePos x="0" y="0"/>
            <wp:positionH relativeFrom="column">
              <wp:posOffset>4356735</wp:posOffset>
            </wp:positionH>
            <wp:positionV relativeFrom="paragraph">
              <wp:posOffset>-347345</wp:posOffset>
            </wp:positionV>
            <wp:extent cx="293370" cy="3092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93370" cy="309245"/>
                    </a:xfrm>
                    <a:prstGeom prst="rect">
                      <a:avLst/>
                    </a:prstGeom>
                    <a:noFill/>
                  </pic:spPr>
                </pic:pic>
              </a:graphicData>
            </a:graphic>
          </wp:anchor>
        </w:drawing>
        <w:drawing>
          <wp:anchor simplePos="0" relativeHeight="251657728" behindDoc="1" locked="0" layoutInCell="0" allowOverlap="1">
            <wp:simplePos x="0" y="0"/>
            <wp:positionH relativeFrom="column">
              <wp:posOffset>5856605</wp:posOffset>
            </wp:positionH>
            <wp:positionV relativeFrom="paragraph">
              <wp:posOffset>-347345</wp:posOffset>
            </wp:positionV>
            <wp:extent cx="277495" cy="2774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7495" cy="27749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00254F"/>
        </w:rPr>
        <w:t>In 2023</w:t>
      </w:r>
    </w:p>
    <w:p>
      <w:pPr>
        <w:sectPr>
          <w:pgSz w:w="11900" w:h="16838" w:orient="portrait"/>
          <w:cols w:equalWidth="0" w:num="1">
            <w:col w:w="11040"/>
          </w:cols>
          <w:pgMar w:left="320" w:top="223" w:right="539" w:bottom="1440" w:gutter="0" w:footer="0" w:header="0"/>
        </w:sectPr>
      </w:pP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40"/>
          <w:szCs w:val="40"/>
          <w:b w:val="1"/>
          <w:bCs w:val="1"/>
          <w:color w:val="00254F"/>
        </w:rPr>
        <w:t>50%</w:t>
      </w:r>
    </w:p>
    <w:p>
      <w:pPr>
        <w:spacing w:after="0" w:line="74"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of our independent directors were ethnically diverse and/or women</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96"/>
        </w:trPr>
        <w:tc>
          <w:tcPr>
            <w:tcW w:w="1940" w:type="dxa"/>
            <w:vAlign w:val="bottom"/>
          </w:tcPr>
          <w:p>
            <w:pPr>
              <w:spacing w:after="0"/>
              <w:rPr>
                <w:sz w:val="20"/>
                <w:szCs w:val="20"/>
                <w:color w:val="auto"/>
              </w:rPr>
            </w:pPr>
            <w:r>
              <w:rPr>
                <w:rFonts w:ascii="Times New Roman" w:cs="Times New Roman" w:eastAsia="Times New Roman" w:hAnsi="Times New Roman"/>
                <w:sz w:val="40"/>
                <w:szCs w:val="40"/>
                <w:b w:val="1"/>
                <w:bCs w:val="1"/>
                <w:color w:val="00244F"/>
              </w:rPr>
              <w:t>33%</w:t>
            </w:r>
          </w:p>
        </w:tc>
        <w:tc>
          <w:tcPr>
            <w:tcW w:w="2480" w:type="dxa"/>
            <w:vAlign w:val="bottom"/>
          </w:tcPr>
          <w:p>
            <w:pPr>
              <w:ind w:left="440"/>
              <w:spacing w:after="0"/>
              <w:rPr>
                <w:sz w:val="20"/>
                <w:szCs w:val="20"/>
                <w:color w:val="auto"/>
              </w:rPr>
            </w:pPr>
            <w:r>
              <w:rPr>
                <w:rFonts w:ascii="Times New Roman" w:cs="Times New Roman" w:eastAsia="Times New Roman" w:hAnsi="Times New Roman"/>
                <w:sz w:val="40"/>
                <w:szCs w:val="40"/>
                <w:b w:val="1"/>
                <w:bCs w:val="1"/>
                <w:color w:val="00254F"/>
              </w:rPr>
              <w:t>44%</w:t>
            </w:r>
          </w:p>
        </w:tc>
        <w:tc>
          <w:tcPr>
            <w:tcW w:w="2440" w:type="dxa"/>
            <w:vAlign w:val="bottom"/>
          </w:tcPr>
          <w:p>
            <w:pPr>
              <w:jc w:val="right"/>
              <w:ind w:right="1203"/>
              <w:spacing w:after="0"/>
              <w:rPr>
                <w:sz w:val="20"/>
                <w:szCs w:val="20"/>
                <w:color w:val="auto"/>
              </w:rPr>
            </w:pPr>
            <w:r>
              <w:rPr>
                <w:rFonts w:ascii="Times New Roman" w:cs="Times New Roman" w:eastAsia="Times New Roman" w:hAnsi="Times New Roman"/>
                <w:sz w:val="40"/>
                <w:szCs w:val="40"/>
                <w:b w:val="1"/>
                <w:bCs w:val="1"/>
                <w:color w:val="00254F"/>
              </w:rPr>
              <w:t>32%</w:t>
            </w:r>
          </w:p>
        </w:tc>
        <w:tc>
          <w:tcPr>
            <w:tcW w:w="1340" w:type="dxa"/>
            <w:vAlign w:val="bottom"/>
          </w:tcPr>
          <w:p>
            <w:pPr>
              <w:ind w:left="240"/>
              <w:spacing w:after="0"/>
              <w:rPr>
                <w:sz w:val="20"/>
                <w:szCs w:val="20"/>
                <w:color w:val="auto"/>
              </w:rPr>
            </w:pPr>
            <w:r>
              <w:rPr>
                <w:rFonts w:ascii="Times New Roman" w:cs="Times New Roman" w:eastAsia="Times New Roman" w:hAnsi="Times New Roman"/>
                <w:sz w:val="40"/>
                <w:szCs w:val="40"/>
                <w:b w:val="1"/>
                <w:bCs w:val="1"/>
                <w:color w:val="00254F"/>
              </w:rPr>
              <w:t>43%</w:t>
            </w:r>
          </w:p>
        </w:tc>
      </w:tr>
      <w:tr>
        <w:trPr>
          <w:trHeight w:val="187"/>
        </w:trPr>
        <w:tc>
          <w:tcPr>
            <w:tcW w:w="1940" w:type="dxa"/>
            <w:vAlign w:val="bottom"/>
          </w:tcPr>
          <w:p>
            <w:pPr>
              <w:spacing w:after="0"/>
              <w:rPr>
                <w:sz w:val="20"/>
                <w:szCs w:val="20"/>
                <w:color w:val="auto"/>
              </w:rPr>
            </w:pPr>
            <w:r>
              <w:rPr>
                <w:rFonts w:ascii="Arial" w:cs="Arial" w:eastAsia="Arial" w:hAnsi="Arial"/>
                <w:sz w:val="15"/>
                <w:szCs w:val="15"/>
                <w:color w:val="auto"/>
              </w:rPr>
              <w:t>of associates in senior</w:t>
            </w:r>
          </w:p>
        </w:tc>
        <w:tc>
          <w:tcPr>
            <w:tcW w:w="2480" w:type="dxa"/>
            <w:vAlign w:val="bottom"/>
          </w:tcPr>
          <w:p>
            <w:pPr>
              <w:ind w:left="440"/>
              <w:spacing w:after="0"/>
              <w:rPr>
                <w:sz w:val="20"/>
                <w:szCs w:val="20"/>
                <w:color w:val="auto"/>
              </w:rPr>
            </w:pPr>
            <w:r>
              <w:rPr>
                <w:rFonts w:ascii="Arial" w:cs="Arial" w:eastAsia="Arial" w:hAnsi="Arial"/>
                <w:sz w:val="15"/>
                <w:szCs w:val="15"/>
                <w:color w:val="auto"/>
              </w:rPr>
              <w:t>of associates in our global</w:t>
            </w:r>
          </w:p>
        </w:tc>
        <w:tc>
          <w:tcPr>
            <w:tcW w:w="2440" w:type="dxa"/>
            <w:vAlign w:val="bottom"/>
          </w:tcPr>
          <w:p>
            <w:pPr>
              <w:ind w:left="360"/>
              <w:spacing w:after="0"/>
              <w:rPr>
                <w:sz w:val="20"/>
                <w:szCs w:val="20"/>
                <w:color w:val="auto"/>
              </w:rPr>
            </w:pPr>
            <w:r>
              <w:rPr>
                <w:rFonts w:ascii="Arial" w:cs="Arial" w:eastAsia="Arial" w:hAnsi="Arial"/>
                <w:sz w:val="15"/>
                <w:szCs w:val="15"/>
                <w:color w:val="auto"/>
              </w:rPr>
              <w:t>of our U.S. associates were</w:t>
            </w:r>
          </w:p>
        </w:tc>
        <w:tc>
          <w:tcPr>
            <w:tcW w:w="1340" w:type="dxa"/>
            <w:vAlign w:val="bottom"/>
          </w:tcPr>
          <w:p>
            <w:pPr>
              <w:ind w:left="240"/>
              <w:spacing w:after="0"/>
              <w:rPr>
                <w:sz w:val="20"/>
                <w:szCs w:val="20"/>
                <w:color w:val="auto"/>
              </w:rPr>
            </w:pPr>
            <w:r>
              <w:rPr>
                <w:rFonts w:ascii="Arial" w:cs="Arial" w:eastAsia="Arial" w:hAnsi="Arial"/>
                <w:sz w:val="15"/>
                <w:szCs w:val="15"/>
                <w:color w:val="auto"/>
                <w:w w:val="98"/>
              </w:rPr>
              <w:t>of new hire were</w:t>
            </w:r>
          </w:p>
        </w:tc>
      </w:tr>
      <w:tr>
        <w:trPr>
          <w:trHeight w:val="360"/>
        </w:trPr>
        <w:tc>
          <w:tcPr>
            <w:tcW w:w="1940" w:type="dxa"/>
            <w:vAlign w:val="bottom"/>
          </w:tcPr>
          <w:p>
            <w:pPr>
              <w:spacing w:after="0"/>
              <w:rPr>
                <w:sz w:val="20"/>
                <w:szCs w:val="20"/>
                <w:color w:val="auto"/>
              </w:rPr>
            </w:pPr>
            <w:r>
              <w:rPr>
                <w:rFonts w:ascii="Arial" w:cs="Arial" w:eastAsia="Arial" w:hAnsi="Arial"/>
                <w:sz w:val="15"/>
                <w:szCs w:val="15"/>
                <w:color w:val="auto"/>
              </w:rPr>
              <w:t>roles were women</w:t>
            </w:r>
            <w:r>
              <w:rPr>
                <w:rFonts w:ascii="Arial" w:cs="Arial" w:eastAsia="Arial" w:hAnsi="Arial"/>
                <w:sz w:val="24"/>
                <w:szCs w:val="24"/>
                <w:color w:val="auto"/>
                <w:vertAlign w:val="superscript"/>
              </w:rPr>
              <w:t>(4)</w:t>
            </w:r>
          </w:p>
        </w:tc>
        <w:tc>
          <w:tcPr>
            <w:tcW w:w="2480" w:type="dxa"/>
            <w:vAlign w:val="bottom"/>
          </w:tcPr>
          <w:p>
            <w:pPr>
              <w:ind w:left="440"/>
              <w:spacing w:after="0"/>
              <w:rPr>
                <w:sz w:val="20"/>
                <w:szCs w:val="20"/>
                <w:color w:val="auto"/>
              </w:rPr>
            </w:pPr>
            <w:r>
              <w:rPr>
                <w:rFonts w:ascii="Arial" w:cs="Arial" w:eastAsia="Arial" w:hAnsi="Arial"/>
                <w:sz w:val="15"/>
                <w:szCs w:val="15"/>
                <w:color w:val="auto"/>
              </w:rPr>
              <w:t>workforce were women</w:t>
            </w:r>
            <w:r>
              <w:rPr>
                <w:rFonts w:ascii="Arial" w:cs="Arial" w:eastAsia="Arial" w:hAnsi="Arial"/>
                <w:sz w:val="24"/>
                <w:szCs w:val="24"/>
                <w:color w:val="auto"/>
                <w:vertAlign w:val="superscript"/>
              </w:rPr>
              <w:t>(4)</w:t>
            </w:r>
          </w:p>
        </w:tc>
        <w:tc>
          <w:tcPr>
            <w:tcW w:w="2440" w:type="dxa"/>
            <w:vAlign w:val="bottom"/>
          </w:tcPr>
          <w:p>
            <w:pPr>
              <w:ind w:left="360"/>
              <w:spacing w:after="0"/>
              <w:rPr>
                <w:sz w:val="20"/>
                <w:szCs w:val="20"/>
                <w:color w:val="auto"/>
              </w:rPr>
            </w:pPr>
            <w:r>
              <w:rPr>
                <w:rFonts w:ascii="Arial" w:cs="Arial" w:eastAsia="Arial" w:hAnsi="Arial"/>
                <w:sz w:val="15"/>
                <w:szCs w:val="15"/>
                <w:color w:val="auto"/>
              </w:rPr>
              <w:t>ethnically diverse</w:t>
            </w:r>
            <w:r>
              <w:rPr>
                <w:rFonts w:ascii="Arial" w:cs="Arial" w:eastAsia="Arial" w:hAnsi="Arial"/>
                <w:sz w:val="24"/>
                <w:szCs w:val="24"/>
                <w:color w:val="auto"/>
                <w:vertAlign w:val="superscript"/>
              </w:rPr>
              <w:t>(4)</w:t>
            </w:r>
          </w:p>
        </w:tc>
        <w:tc>
          <w:tcPr>
            <w:tcW w:w="1340" w:type="dxa"/>
            <w:vAlign w:val="bottom"/>
          </w:tcPr>
          <w:p>
            <w:pPr>
              <w:ind w:left="240"/>
              <w:spacing w:after="0"/>
              <w:rPr>
                <w:sz w:val="20"/>
                <w:szCs w:val="20"/>
                <w:color w:val="auto"/>
              </w:rPr>
            </w:pPr>
            <w:r>
              <w:rPr>
                <w:rFonts w:ascii="Arial" w:cs="Arial" w:eastAsia="Arial" w:hAnsi="Arial"/>
                <w:sz w:val="15"/>
                <w:szCs w:val="15"/>
                <w:color w:val="auto"/>
              </w:rPr>
              <w:t>women</w:t>
            </w:r>
            <w:r>
              <w:rPr>
                <w:rFonts w:ascii="Arial" w:cs="Arial" w:eastAsia="Arial" w:hAnsi="Arial"/>
                <w:sz w:val="24"/>
                <w:szCs w:val="24"/>
                <w:color w:val="auto"/>
                <w:vertAlign w:val="superscript"/>
              </w:rPr>
              <w:t>(4)</w:t>
            </w:r>
          </w:p>
        </w:tc>
      </w:tr>
    </w:tbl>
    <w:p>
      <w:pPr>
        <w:spacing w:after="0" w:line="270" w:lineRule="exact"/>
        <w:rPr>
          <w:sz w:val="20"/>
          <w:szCs w:val="20"/>
          <w:color w:val="auto"/>
        </w:rPr>
      </w:pPr>
    </w:p>
    <w:p>
      <w:pPr>
        <w:sectPr>
          <w:pgSz w:w="11900" w:h="16838" w:orient="portrait"/>
          <w:cols w:equalWidth="0" w:num="2">
            <w:col w:w="1600" w:space="640"/>
            <w:col w:w="8800"/>
          </w:cols>
          <w:pgMar w:left="320" w:top="223"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40" w:hanging="240"/>
        <w:spacing w:after="0"/>
        <w:tabs>
          <w:tab w:leader="none" w:pos="240" w:val="left"/>
        </w:tabs>
        <w:numPr>
          <w:ilvl w:val="0"/>
          <w:numId w:val="8"/>
        </w:numPr>
        <w:rPr>
          <w:rFonts w:ascii="Arial" w:cs="Arial" w:eastAsia="Arial" w:hAnsi="Arial"/>
          <w:sz w:val="24"/>
          <w:szCs w:val="24"/>
          <w:color w:val="auto"/>
          <w:vertAlign w:val="superscript"/>
        </w:rPr>
      </w:pPr>
      <w:r>
        <w:rPr>
          <w:rFonts w:ascii="Arial" w:cs="Arial" w:eastAsia="Arial" w:hAnsi="Arial"/>
          <w:sz w:val="14"/>
          <w:szCs w:val="14"/>
          <w:color w:val="auto"/>
        </w:rPr>
        <w:t>Senior roles are defined as people leaders and/or individual contributors with significant business or functional responsibility. Information excludes OHA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326390</wp:posOffset>
            </wp:positionV>
            <wp:extent cx="714248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040"/>
          </w:cols>
          <w:pgMar w:left="320" w:top="223" w:right="5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203835</wp:posOffset>
            </wp:positionV>
            <wp:extent cx="2817495" cy="6032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17495" cy="603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55"/>
          <w:szCs w:val="55"/>
          <w:color w:val="00244F"/>
        </w:rPr>
        <w:t>Notice of 2024 Annual Meeting of Stockholders</w:t>
      </w:r>
    </w:p>
    <w:p>
      <w:pPr>
        <w:sectPr>
          <w:pgSz w:w="11900" w:h="16838" w:orient="portrait"/>
          <w:cols w:equalWidth="0" w:num="1">
            <w:col w:w="11240"/>
          </w:cols>
          <w:pgMar w:left="320" w:top="223" w:right="33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color w:val="00244F"/>
        </w:rPr>
        <w:t>Date and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-188595</wp:posOffset>
            </wp:positionV>
            <wp:extent cx="1980565" cy="44253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80565" cy="4425315"/>
                    </a:xfrm>
                    <a:prstGeom prst="rect">
                      <a:avLst/>
                    </a:prstGeom>
                    <a:noFill/>
                  </pic:spPr>
                </pic:pic>
              </a:graphicData>
            </a:graphic>
          </wp:anchor>
        </w:drawing>
      </w:r>
    </w:p>
    <w:p>
      <w:pPr>
        <w:spacing w:after="0" w:line="5" w:lineRule="exact"/>
        <w:rPr>
          <w:sz w:val="20"/>
          <w:szCs w:val="20"/>
          <w:color w:val="auto"/>
        </w:rPr>
      </w:pPr>
    </w:p>
    <w:p>
      <w:pPr>
        <w:ind w:left="140"/>
        <w:spacing w:after="0"/>
        <w:rPr>
          <w:sz w:val="20"/>
          <w:szCs w:val="20"/>
          <w:color w:val="auto"/>
        </w:rPr>
      </w:pPr>
      <w:r>
        <w:rPr>
          <w:rFonts w:ascii="Arial" w:cs="Arial" w:eastAsia="Arial" w:hAnsi="Arial"/>
          <w:sz w:val="15"/>
          <w:szCs w:val="15"/>
          <w:color w:val="auto"/>
        </w:rPr>
        <w:t>Tuesday, May 7, 2024, 8 a.m. eastern time</w:t>
      </w:r>
    </w:p>
    <w:p>
      <w:pPr>
        <w:spacing w:after="0" w:line="1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color w:val="00244F"/>
        </w:rPr>
        <w:t>Record Date</w:t>
      </w:r>
    </w:p>
    <w:p>
      <w:pPr>
        <w:spacing w:after="0" w:line="25" w:lineRule="exact"/>
        <w:rPr>
          <w:sz w:val="20"/>
          <w:szCs w:val="20"/>
          <w:color w:val="auto"/>
        </w:rPr>
      </w:pPr>
    </w:p>
    <w:p>
      <w:pPr>
        <w:jc w:val="both"/>
        <w:ind w:left="140"/>
        <w:spacing w:after="0" w:line="249" w:lineRule="auto"/>
        <w:rPr>
          <w:sz w:val="20"/>
          <w:szCs w:val="20"/>
          <w:color w:val="auto"/>
        </w:rPr>
      </w:pPr>
      <w:r>
        <w:rPr>
          <w:rFonts w:ascii="Arial" w:cs="Arial" w:eastAsia="Arial" w:hAnsi="Arial"/>
          <w:sz w:val="15"/>
          <w:szCs w:val="15"/>
          <w:color w:val="auto"/>
        </w:rPr>
        <w:t>March 1, 2024. Only stockholders of record at the close of business on the record date are entitled to receive notice of, and to vote at, the Annual Meeting.</w:t>
      </w:r>
    </w:p>
    <w:p>
      <w:pPr>
        <w:spacing w:after="0" w:line="1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color w:val="00244F"/>
        </w:rPr>
        <w:t>Virtual Meeting</w:t>
      </w:r>
    </w:p>
    <w:p>
      <w:pPr>
        <w:spacing w:after="0" w:line="25" w:lineRule="exact"/>
        <w:rPr>
          <w:sz w:val="20"/>
          <w:szCs w:val="20"/>
          <w:color w:val="auto"/>
        </w:rPr>
      </w:pPr>
    </w:p>
    <w:p>
      <w:pPr>
        <w:jc w:val="both"/>
        <w:ind w:left="140" w:right="220"/>
        <w:spacing w:after="0" w:line="279" w:lineRule="auto"/>
        <w:rPr>
          <w:sz w:val="20"/>
          <w:szCs w:val="20"/>
          <w:color w:val="auto"/>
        </w:rPr>
      </w:pPr>
      <w:r>
        <w:rPr>
          <w:rFonts w:ascii="Arial" w:cs="Arial" w:eastAsia="Arial" w:hAnsi="Arial"/>
          <w:sz w:val="14"/>
          <w:szCs w:val="14"/>
          <w:color w:val="auto"/>
        </w:rPr>
        <w:t>This year's Annual Meeting will be held through virtualshareholdermeeting.com/ TROW2024</w:t>
      </w:r>
    </w:p>
    <w:p>
      <w:pPr>
        <w:spacing w:after="0" w:line="9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color w:val="00244F"/>
        </w:rPr>
        <w:t>Voting Methods</w:t>
      </w:r>
    </w:p>
    <w:p>
      <w:pPr>
        <w:spacing w:after="0" w:line="138" w:lineRule="exact"/>
        <w:rPr>
          <w:sz w:val="20"/>
          <w:szCs w:val="20"/>
          <w:color w:val="auto"/>
        </w:rPr>
      </w:pPr>
    </w:p>
    <w:p>
      <w:pPr>
        <w:ind w:left="940"/>
        <w:spacing w:after="0"/>
        <w:rPr>
          <w:sz w:val="20"/>
          <w:szCs w:val="20"/>
          <w:color w:val="auto"/>
        </w:rPr>
      </w:pPr>
      <w:r>
        <w:rPr>
          <w:rFonts w:ascii="Arial" w:cs="Arial" w:eastAsia="Arial" w:hAnsi="Arial"/>
          <w:sz w:val="15"/>
          <w:szCs w:val="15"/>
          <w:color w:val="auto"/>
        </w:rPr>
        <w:t>Internet</w:t>
      </w:r>
    </w:p>
    <w:p>
      <w:pPr>
        <w:spacing w:after="0" w:line="352" w:lineRule="exact"/>
        <w:rPr>
          <w:sz w:val="20"/>
          <w:szCs w:val="20"/>
          <w:color w:val="auto"/>
        </w:rPr>
      </w:pPr>
    </w:p>
    <w:p>
      <w:pPr>
        <w:ind w:left="940"/>
        <w:spacing w:after="0"/>
        <w:rPr>
          <w:sz w:val="20"/>
          <w:szCs w:val="20"/>
          <w:color w:val="auto"/>
        </w:rPr>
      </w:pPr>
      <w:r>
        <w:rPr>
          <w:rFonts w:ascii="Arial" w:cs="Arial" w:eastAsia="Arial" w:hAnsi="Arial"/>
          <w:sz w:val="15"/>
          <w:szCs w:val="15"/>
          <w:color w:val="auto"/>
        </w:rPr>
        <w:t>Telephone</w:t>
      </w:r>
    </w:p>
    <w:p>
      <w:pPr>
        <w:spacing w:after="0" w:line="290" w:lineRule="exact"/>
        <w:rPr>
          <w:sz w:val="20"/>
          <w:szCs w:val="20"/>
          <w:color w:val="auto"/>
        </w:rPr>
      </w:pPr>
    </w:p>
    <w:p>
      <w:pPr>
        <w:ind w:left="940"/>
        <w:spacing w:after="0"/>
        <w:rPr>
          <w:sz w:val="20"/>
          <w:szCs w:val="20"/>
          <w:color w:val="auto"/>
        </w:rPr>
      </w:pPr>
      <w:r>
        <w:rPr>
          <w:rFonts w:ascii="Arial" w:cs="Arial" w:eastAsia="Arial" w:hAnsi="Arial"/>
          <w:sz w:val="15"/>
          <w:szCs w:val="15"/>
          <w:color w:val="auto"/>
        </w:rPr>
        <w:t>Mail</w:t>
      </w:r>
    </w:p>
    <w:p>
      <w:pPr>
        <w:spacing w:after="0" w:line="31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b w:val="1"/>
          <w:bCs w:val="1"/>
          <w:color w:val="auto"/>
        </w:rPr>
        <w:t>YOUR VOTE IS IMPORTANT!</w:t>
      </w:r>
    </w:p>
    <w:p>
      <w:pPr>
        <w:spacing w:after="0" w:line="56" w:lineRule="exact"/>
        <w:rPr>
          <w:sz w:val="20"/>
          <w:szCs w:val="20"/>
          <w:color w:val="auto"/>
        </w:rPr>
      </w:pPr>
    </w:p>
    <w:p>
      <w:pPr>
        <w:ind w:left="140" w:right="20"/>
        <w:spacing w:after="0" w:line="247" w:lineRule="auto"/>
        <w:rPr>
          <w:sz w:val="20"/>
          <w:szCs w:val="20"/>
          <w:color w:val="auto"/>
        </w:rPr>
      </w:pPr>
      <w:r>
        <w:rPr>
          <w:rFonts w:ascii="Arial" w:cs="Arial" w:eastAsia="Arial" w:hAnsi="Arial"/>
          <w:sz w:val="15"/>
          <w:szCs w:val="15"/>
          <w:color w:val="auto"/>
        </w:rPr>
        <w:t>Please vote via the internet or telephone (if such voting methods are available to you) by following the instructions on the accompanying proxy card promptly. Please see the Notice of Internet Availability of Proxy Materials, your proxy card, or the information your bank, broker, or other holder of record provided to you for more information on these options.</w:t>
      </w:r>
    </w:p>
    <w:p>
      <w:pPr>
        <w:spacing w:after="0" w:line="127" w:lineRule="exact"/>
        <w:rPr>
          <w:sz w:val="20"/>
          <w:szCs w:val="20"/>
          <w:color w:val="auto"/>
        </w:rPr>
      </w:pPr>
    </w:p>
    <w:p>
      <w:pPr>
        <w:ind w:left="140" w:right="780"/>
        <w:spacing w:after="0" w:line="288" w:lineRule="auto"/>
        <w:rPr>
          <w:sz w:val="20"/>
          <w:szCs w:val="20"/>
          <w:color w:val="auto"/>
        </w:rPr>
      </w:pPr>
      <w:r>
        <w:rPr>
          <w:rFonts w:ascii="Arial" w:cs="Arial" w:eastAsia="Arial" w:hAnsi="Arial"/>
          <w:sz w:val="14"/>
          <w:szCs w:val="14"/>
          <w:color w:val="auto"/>
        </w:rPr>
        <w:t>T. ROWE PRICE GROUP, INC. 100 EAST PRATT STREET BALTIMORE, MD 21202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7"/>
        </w:trPr>
        <w:tc>
          <w:tcPr>
            <w:tcW w:w="5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VOTING ITEM</w:t>
            </w:r>
          </w:p>
        </w:tc>
        <w:tc>
          <w:tcPr>
            <w:tcW w:w="80" w:type="dxa"/>
            <w:vAlign w:val="bottom"/>
            <w:tcBorders>
              <w:right w:val="single" w:sz="8" w:color="auto"/>
            </w:tcBorders>
          </w:tcPr>
          <w:p>
            <w:pPr>
              <w:spacing w:after="0"/>
              <w:rPr>
                <w:sz w:val="13"/>
                <w:szCs w:val="13"/>
                <w:color w:val="auto"/>
              </w:rPr>
            </w:pPr>
          </w:p>
        </w:tc>
        <w:tc>
          <w:tcPr>
            <w:tcW w:w="1940" w:type="dxa"/>
            <w:vAlign w:val="bottom"/>
          </w:tcPr>
          <w:p>
            <w:pPr>
              <w:ind w:left="140"/>
              <w:spacing w:after="0"/>
              <w:rPr>
                <w:sz w:val="20"/>
                <w:szCs w:val="20"/>
                <w:color w:val="auto"/>
              </w:rPr>
            </w:pPr>
            <w:r>
              <w:rPr>
                <w:rFonts w:ascii="Arial" w:cs="Arial" w:eastAsia="Arial" w:hAnsi="Arial"/>
                <w:sz w:val="12"/>
                <w:szCs w:val="12"/>
                <w:b w:val="1"/>
                <w:bCs w:val="1"/>
                <w:color w:val="auto"/>
              </w:rPr>
              <w:t>BOARD VOTING</w:t>
            </w:r>
          </w:p>
        </w:tc>
        <w:tc>
          <w:tcPr>
            <w:tcW w:w="0" w:type="dxa"/>
            <w:vAlign w:val="bottom"/>
          </w:tcPr>
          <w:p>
            <w:pPr>
              <w:spacing w:after="0"/>
              <w:rPr>
                <w:sz w:val="1"/>
                <w:szCs w:val="1"/>
                <w:color w:val="auto"/>
              </w:rPr>
            </w:pPr>
          </w:p>
        </w:tc>
      </w:tr>
      <w:tr>
        <w:trPr>
          <w:trHeight w:val="160"/>
        </w:trPr>
        <w:tc>
          <w:tcPr>
            <w:tcW w:w="5840" w:type="dxa"/>
            <w:vAlign w:val="bottom"/>
            <w:gridSpan w:val="2"/>
            <w:vMerge w:val="continue"/>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940" w:type="dxa"/>
            <w:vAlign w:val="bottom"/>
          </w:tcPr>
          <w:p>
            <w:pPr>
              <w:ind w:left="140"/>
              <w:spacing w:after="0"/>
              <w:rPr>
                <w:sz w:val="20"/>
                <w:szCs w:val="20"/>
                <w:color w:val="auto"/>
              </w:rPr>
            </w:pPr>
            <w:r>
              <w:rPr>
                <w:rFonts w:ascii="Arial" w:cs="Arial" w:eastAsia="Arial" w:hAnsi="Arial"/>
                <w:sz w:val="12"/>
                <w:szCs w:val="12"/>
                <w:b w:val="1"/>
                <w:bCs w:val="1"/>
                <w:color w:val="auto"/>
              </w:rPr>
              <w:t>RECOMMENDATION</w:t>
            </w:r>
          </w:p>
        </w:tc>
        <w:tc>
          <w:tcPr>
            <w:tcW w:w="0" w:type="dxa"/>
            <w:vAlign w:val="bottom"/>
          </w:tcPr>
          <w:p>
            <w:pPr>
              <w:spacing w:after="0"/>
              <w:rPr>
                <w:sz w:val="1"/>
                <w:szCs w:val="1"/>
                <w:color w:val="auto"/>
              </w:rPr>
            </w:pPr>
          </w:p>
        </w:tc>
      </w:tr>
      <w:tr>
        <w:trPr>
          <w:trHeight w:val="33"/>
        </w:trPr>
        <w:tc>
          <w:tcPr>
            <w:tcW w:w="420" w:type="dxa"/>
            <w:vAlign w:val="bottom"/>
            <w:tcBorders>
              <w:bottom w:val="single" w:sz="8" w:color="auto"/>
            </w:tcBorders>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55"/>
        </w:trPr>
        <w:tc>
          <w:tcPr>
            <w:tcW w:w="420" w:type="dxa"/>
            <w:vAlign w:val="bottom"/>
          </w:tcPr>
          <w:p>
            <w:pPr>
              <w:ind w:left="60"/>
              <w:spacing w:after="0"/>
              <w:rPr>
                <w:sz w:val="20"/>
                <w:szCs w:val="20"/>
                <w:color w:val="auto"/>
              </w:rPr>
            </w:pPr>
            <w:r>
              <w:rPr>
                <w:rFonts w:ascii="Arial" w:cs="Arial" w:eastAsia="Arial" w:hAnsi="Arial"/>
                <w:sz w:val="27"/>
                <w:szCs w:val="27"/>
                <w:b w:val="1"/>
                <w:bCs w:val="1"/>
                <w:color w:val="00254F"/>
              </w:rPr>
              <w:t>1</w:t>
            </w:r>
          </w:p>
        </w:tc>
        <w:tc>
          <w:tcPr>
            <w:tcW w:w="5420" w:type="dxa"/>
            <w:vAlign w:val="bottom"/>
          </w:tcPr>
          <w:p>
            <w:pPr>
              <w:ind w:left="200"/>
              <w:spacing w:after="0"/>
              <w:rPr>
                <w:sz w:val="20"/>
                <w:szCs w:val="20"/>
                <w:color w:val="auto"/>
              </w:rPr>
            </w:pPr>
            <w:r>
              <w:rPr>
                <w:rFonts w:ascii="Arial" w:cs="Arial" w:eastAsia="Arial" w:hAnsi="Arial"/>
                <w:sz w:val="15"/>
                <w:szCs w:val="15"/>
                <w:color w:val="auto"/>
              </w:rPr>
              <w:t>Elect a Board of 11 directors</w:t>
            </w:r>
          </w:p>
        </w:tc>
        <w:tc>
          <w:tcPr>
            <w:tcW w:w="80" w:type="dxa"/>
            <w:vAlign w:val="bottom"/>
          </w:tcPr>
          <w:p>
            <w:pPr>
              <w:spacing w:after="0"/>
              <w:rPr>
                <w:sz w:val="24"/>
                <w:szCs w:val="24"/>
                <w:color w:val="auto"/>
              </w:rPr>
            </w:pPr>
          </w:p>
        </w:tc>
        <w:tc>
          <w:tcPr>
            <w:tcW w:w="1940" w:type="dxa"/>
            <w:vAlign w:val="bottom"/>
          </w:tcPr>
          <w:p>
            <w:pPr>
              <w:ind w:left="540"/>
              <w:spacing w:after="0"/>
              <w:rPr>
                <w:sz w:val="20"/>
                <w:szCs w:val="20"/>
                <w:color w:val="auto"/>
              </w:rPr>
            </w:pPr>
            <w:r>
              <w:rPr>
                <w:rFonts w:ascii="Arial" w:cs="Arial" w:eastAsia="Arial" w:hAnsi="Arial"/>
                <w:sz w:val="27"/>
                <w:szCs w:val="27"/>
                <w:b w:val="1"/>
                <w:bCs w:val="1"/>
                <w:color w:val="00244F"/>
              </w:rPr>
              <w:t>FOR</w:t>
            </w:r>
          </w:p>
        </w:tc>
        <w:tc>
          <w:tcPr>
            <w:tcW w:w="0" w:type="dxa"/>
            <w:vAlign w:val="bottom"/>
          </w:tcPr>
          <w:p>
            <w:pPr>
              <w:spacing w:after="0"/>
              <w:rPr>
                <w:sz w:val="1"/>
                <w:szCs w:val="1"/>
                <w:color w:val="auto"/>
              </w:rPr>
            </w:pPr>
          </w:p>
        </w:tc>
      </w:tr>
      <w:tr>
        <w:trPr>
          <w:trHeight w:val="198"/>
        </w:trPr>
        <w:tc>
          <w:tcPr>
            <w:tcW w:w="42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40" w:type="dxa"/>
            <w:vAlign w:val="bottom"/>
          </w:tcPr>
          <w:p>
            <w:pPr>
              <w:ind w:left="60"/>
              <w:spacing w:after="0"/>
              <w:rPr>
                <w:sz w:val="20"/>
                <w:szCs w:val="20"/>
                <w:color w:val="auto"/>
              </w:rPr>
            </w:pPr>
            <w:r>
              <w:rPr>
                <w:rFonts w:ascii="Arial" w:cs="Arial" w:eastAsia="Arial" w:hAnsi="Arial"/>
                <w:sz w:val="15"/>
                <w:szCs w:val="15"/>
                <w:color w:val="auto"/>
              </w:rPr>
              <w:t>All Director-Nominees</w:t>
            </w:r>
          </w:p>
        </w:tc>
        <w:tc>
          <w:tcPr>
            <w:tcW w:w="0" w:type="dxa"/>
            <w:vAlign w:val="bottom"/>
          </w:tcPr>
          <w:p>
            <w:pPr>
              <w:spacing w:after="0"/>
              <w:rPr>
                <w:sz w:val="1"/>
                <w:szCs w:val="1"/>
                <w:color w:val="auto"/>
              </w:rPr>
            </w:pPr>
          </w:p>
        </w:tc>
      </w:tr>
      <w:tr>
        <w:trPr>
          <w:trHeight w:val="64"/>
        </w:trPr>
        <w:tc>
          <w:tcPr>
            <w:tcW w:w="420" w:type="dxa"/>
            <w:vAlign w:val="bottom"/>
            <w:tcBorders>
              <w:bottom w:val="single" w:sz="8" w:color="auto"/>
            </w:tcBorders>
          </w:tcPr>
          <w:p>
            <w:pPr>
              <w:spacing w:after="0"/>
              <w:rPr>
                <w:sz w:val="5"/>
                <w:szCs w:val="5"/>
                <w:color w:val="auto"/>
              </w:rPr>
            </w:pPr>
          </w:p>
        </w:tc>
        <w:tc>
          <w:tcPr>
            <w:tcW w:w="54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20" w:type="dxa"/>
            <w:vAlign w:val="bottom"/>
            <w:vMerge w:val="restart"/>
          </w:tcPr>
          <w:p>
            <w:pPr>
              <w:ind w:left="60"/>
              <w:spacing w:after="0"/>
              <w:rPr>
                <w:sz w:val="20"/>
                <w:szCs w:val="20"/>
                <w:color w:val="auto"/>
              </w:rPr>
            </w:pPr>
            <w:r>
              <w:rPr>
                <w:rFonts w:ascii="Arial" w:cs="Arial" w:eastAsia="Arial" w:hAnsi="Arial"/>
                <w:sz w:val="27"/>
                <w:szCs w:val="27"/>
                <w:b w:val="1"/>
                <w:bCs w:val="1"/>
                <w:color w:val="00254F"/>
              </w:rPr>
              <w:t>2</w:t>
            </w:r>
          </w:p>
        </w:tc>
        <w:tc>
          <w:tcPr>
            <w:tcW w:w="5420" w:type="dxa"/>
            <w:vAlign w:val="bottom"/>
          </w:tcPr>
          <w:p>
            <w:pPr>
              <w:ind w:left="200"/>
              <w:spacing w:after="0"/>
              <w:rPr>
                <w:sz w:val="20"/>
                <w:szCs w:val="20"/>
                <w:color w:val="auto"/>
              </w:rPr>
            </w:pPr>
            <w:r>
              <w:rPr>
                <w:rFonts w:ascii="Arial" w:cs="Arial" w:eastAsia="Arial" w:hAnsi="Arial"/>
                <w:sz w:val="15"/>
                <w:szCs w:val="15"/>
                <w:color w:val="auto"/>
              </w:rPr>
              <w:t>Approve, by a nonbinding advisory vote, the compensation paid by the</w:t>
            </w:r>
          </w:p>
        </w:tc>
        <w:tc>
          <w:tcPr>
            <w:tcW w:w="80" w:type="dxa"/>
            <w:vAlign w:val="bottom"/>
          </w:tcPr>
          <w:p>
            <w:pPr>
              <w:spacing w:after="0"/>
              <w:rPr>
                <w:sz w:val="24"/>
                <w:szCs w:val="24"/>
                <w:color w:val="auto"/>
              </w:rPr>
            </w:pPr>
          </w:p>
        </w:tc>
        <w:tc>
          <w:tcPr>
            <w:tcW w:w="1940" w:type="dxa"/>
            <w:vAlign w:val="bottom"/>
            <w:vMerge w:val="restart"/>
          </w:tcPr>
          <w:p>
            <w:pPr>
              <w:ind w:left="540"/>
              <w:spacing w:after="0"/>
              <w:rPr>
                <w:sz w:val="20"/>
                <w:szCs w:val="20"/>
                <w:color w:val="auto"/>
              </w:rPr>
            </w:pPr>
            <w:r>
              <w:rPr>
                <w:rFonts w:ascii="Arial" w:cs="Arial" w:eastAsia="Arial" w:hAnsi="Arial"/>
                <w:sz w:val="27"/>
                <w:szCs w:val="27"/>
                <w:b w:val="1"/>
                <w:bCs w:val="1"/>
                <w:color w:val="00244F"/>
              </w:rPr>
              <w:t>FOR</w:t>
            </w:r>
          </w:p>
        </w:tc>
        <w:tc>
          <w:tcPr>
            <w:tcW w:w="0" w:type="dxa"/>
            <w:vAlign w:val="bottom"/>
          </w:tcPr>
          <w:p>
            <w:pPr>
              <w:spacing w:after="0"/>
              <w:rPr>
                <w:sz w:val="1"/>
                <w:szCs w:val="1"/>
                <w:color w:val="auto"/>
              </w:rPr>
            </w:pPr>
          </w:p>
        </w:tc>
      </w:tr>
      <w:tr>
        <w:trPr>
          <w:trHeight w:val="285"/>
        </w:trPr>
        <w:tc>
          <w:tcPr>
            <w:tcW w:w="420" w:type="dxa"/>
            <w:vAlign w:val="bottom"/>
            <w:vMerge w:val="continue"/>
          </w:tcPr>
          <w:p>
            <w:pPr>
              <w:spacing w:after="0"/>
              <w:rPr>
                <w:sz w:val="24"/>
                <w:szCs w:val="24"/>
                <w:color w:val="auto"/>
              </w:rPr>
            </w:pPr>
          </w:p>
        </w:tc>
        <w:tc>
          <w:tcPr>
            <w:tcW w:w="5420" w:type="dxa"/>
            <w:vAlign w:val="bottom"/>
          </w:tcPr>
          <w:p>
            <w:pPr>
              <w:ind w:left="200"/>
              <w:spacing w:after="0"/>
              <w:rPr>
                <w:sz w:val="20"/>
                <w:szCs w:val="20"/>
                <w:color w:val="auto"/>
              </w:rPr>
            </w:pPr>
            <w:r>
              <w:rPr>
                <w:rFonts w:ascii="Arial" w:cs="Arial" w:eastAsia="Arial" w:hAnsi="Arial"/>
                <w:sz w:val="15"/>
                <w:szCs w:val="15"/>
                <w:color w:val="auto"/>
              </w:rPr>
              <w:t>Company to its Named Executive Officers</w:t>
            </w:r>
          </w:p>
        </w:tc>
        <w:tc>
          <w:tcPr>
            <w:tcW w:w="8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420" w:type="dxa"/>
            <w:vAlign w:val="bottom"/>
            <w:tcBorders>
              <w:bottom w:val="single" w:sz="8" w:color="auto"/>
            </w:tcBorders>
          </w:tcPr>
          <w:p>
            <w:pPr>
              <w:spacing w:after="0"/>
              <w:rPr>
                <w:sz w:val="4"/>
                <w:szCs w:val="4"/>
                <w:color w:val="auto"/>
              </w:rPr>
            </w:pPr>
          </w:p>
        </w:tc>
        <w:tc>
          <w:tcPr>
            <w:tcW w:w="5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5"/>
        </w:trPr>
        <w:tc>
          <w:tcPr>
            <w:tcW w:w="420" w:type="dxa"/>
            <w:vAlign w:val="bottom"/>
            <w:vMerge w:val="restart"/>
          </w:tcPr>
          <w:p>
            <w:pPr>
              <w:ind w:left="60"/>
              <w:spacing w:after="0"/>
              <w:rPr>
                <w:sz w:val="20"/>
                <w:szCs w:val="20"/>
                <w:color w:val="auto"/>
              </w:rPr>
            </w:pPr>
            <w:r>
              <w:rPr>
                <w:rFonts w:ascii="Arial" w:cs="Arial" w:eastAsia="Arial" w:hAnsi="Arial"/>
                <w:sz w:val="27"/>
                <w:szCs w:val="27"/>
                <w:b w:val="1"/>
                <w:bCs w:val="1"/>
                <w:color w:val="00254F"/>
              </w:rPr>
              <w:t>3</w:t>
            </w:r>
          </w:p>
        </w:tc>
        <w:tc>
          <w:tcPr>
            <w:tcW w:w="5420" w:type="dxa"/>
            <w:vAlign w:val="bottom"/>
          </w:tcPr>
          <w:p>
            <w:pPr>
              <w:ind w:left="200"/>
              <w:spacing w:after="0"/>
              <w:rPr>
                <w:sz w:val="20"/>
                <w:szCs w:val="20"/>
                <w:color w:val="auto"/>
              </w:rPr>
            </w:pPr>
            <w:r>
              <w:rPr>
                <w:rFonts w:ascii="Arial" w:cs="Arial" w:eastAsia="Arial" w:hAnsi="Arial"/>
                <w:sz w:val="15"/>
                <w:szCs w:val="15"/>
                <w:color w:val="auto"/>
              </w:rPr>
              <w:t>Ratify the appointment of KPMG LLP as our independent registered public</w:t>
            </w:r>
          </w:p>
        </w:tc>
        <w:tc>
          <w:tcPr>
            <w:tcW w:w="80" w:type="dxa"/>
            <w:vAlign w:val="bottom"/>
          </w:tcPr>
          <w:p>
            <w:pPr>
              <w:spacing w:after="0"/>
              <w:rPr>
                <w:sz w:val="24"/>
                <w:szCs w:val="24"/>
                <w:color w:val="auto"/>
              </w:rPr>
            </w:pPr>
          </w:p>
        </w:tc>
        <w:tc>
          <w:tcPr>
            <w:tcW w:w="1940" w:type="dxa"/>
            <w:vAlign w:val="bottom"/>
            <w:vMerge w:val="restart"/>
          </w:tcPr>
          <w:p>
            <w:pPr>
              <w:ind w:left="540"/>
              <w:spacing w:after="0"/>
              <w:rPr>
                <w:sz w:val="20"/>
                <w:szCs w:val="20"/>
                <w:color w:val="auto"/>
              </w:rPr>
            </w:pPr>
            <w:r>
              <w:rPr>
                <w:rFonts w:ascii="Arial" w:cs="Arial" w:eastAsia="Arial" w:hAnsi="Arial"/>
                <w:sz w:val="27"/>
                <w:szCs w:val="27"/>
                <w:b w:val="1"/>
                <w:bCs w:val="1"/>
                <w:color w:val="00244F"/>
              </w:rPr>
              <w:t>FOR</w:t>
            </w:r>
          </w:p>
        </w:tc>
        <w:tc>
          <w:tcPr>
            <w:tcW w:w="0" w:type="dxa"/>
            <w:vAlign w:val="bottom"/>
          </w:tcPr>
          <w:p>
            <w:pPr>
              <w:spacing w:after="0"/>
              <w:rPr>
                <w:sz w:val="1"/>
                <w:szCs w:val="1"/>
                <w:color w:val="auto"/>
              </w:rPr>
            </w:pPr>
          </w:p>
        </w:tc>
      </w:tr>
      <w:tr>
        <w:trPr>
          <w:trHeight w:val="285"/>
        </w:trPr>
        <w:tc>
          <w:tcPr>
            <w:tcW w:w="420" w:type="dxa"/>
            <w:vAlign w:val="bottom"/>
            <w:vMerge w:val="continue"/>
          </w:tcPr>
          <w:p>
            <w:pPr>
              <w:spacing w:after="0"/>
              <w:rPr>
                <w:sz w:val="24"/>
                <w:szCs w:val="24"/>
                <w:color w:val="auto"/>
              </w:rPr>
            </w:pPr>
          </w:p>
        </w:tc>
        <w:tc>
          <w:tcPr>
            <w:tcW w:w="5420" w:type="dxa"/>
            <w:vAlign w:val="bottom"/>
          </w:tcPr>
          <w:p>
            <w:pPr>
              <w:ind w:left="200"/>
              <w:spacing w:after="0"/>
              <w:rPr>
                <w:sz w:val="20"/>
                <w:szCs w:val="20"/>
                <w:color w:val="auto"/>
              </w:rPr>
            </w:pPr>
            <w:r>
              <w:rPr>
                <w:rFonts w:ascii="Arial" w:cs="Arial" w:eastAsia="Arial" w:hAnsi="Arial"/>
                <w:sz w:val="15"/>
                <w:szCs w:val="15"/>
                <w:color w:val="auto"/>
              </w:rPr>
              <w:t>accounting firm for 2024</w:t>
            </w:r>
          </w:p>
        </w:tc>
        <w:tc>
          <w:tcPr>
            <w:tcW w:w="8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420" w:type="dxa"/>
            <w:vAlign w:val="bottom"/>
            <w:tcBorders>
              <w:bottom w:val="single" w:sz="8" w:color="auto"/>
            </w:tcBorders>
          </w:tcPr>
          <w:p>
            <w:pPr>
              <w:spacing w:after="0"/>
              <w:rPr>
                <w:sz w:val="4"/>
                <w:szCs w:val="4"/>
                <w:color w:val="auto"/>
              </w:rPr>
            </w:pPr>
          </w:p>
        </w:tc>
        <w:tc>
          <w:tcPr>
            <w:tcW w:w="5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-1324610</wp:posOffset>
            </wp:positionV>
            <wp:extent cx="213995" cy="269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3995" cy="269875"/>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-793115</wp:posOffset>
            </wp:positionV>
            <wp:extent cx="213995" cy="269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3995" cy="269875"/>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-372110</wp:posOffset>
            </wp:positionV>
            <wp:extent cx="213995" cy="269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3995" cy="269875"/>
                    </a:xfrm>
                    <a:prstGeom prst="rect">
                      <a:avLst/>
                    </a:prstGeom>
                    <a:noFill/>
                  </pic:spPr>
                </pic:pic>
              </a:graphicData>
            </a:graphic>
          </wp:anchor>
        </w:drawing>
      </w:r>
    </w:p>
    <w:p>
      <w:pPr>
        <w:spacing w:after="0" w:line="168" w:lineRule="exact"/>
        <w:rPr>
          <w:sz w:val="20"/>
          <w:szCs w:val="20"/>
          <w:color w:val="auto"/>
        </w:rPr>
      </w:pPr>
    </w:p>
    <w:p>
      <w:pPr>
        <w:jc w:val="both"/>
        <w:ind w:right="420"/>
        <w:spacing w:after="0" w:line="278" w:lineRule="auto"/>
        <w:rPr>
          <w:sz w:val="20"/>
          <w:szCs w:val="20"/>
          <w:color w:val="auto"/>
        </w:rPr>
      </w:pPr>
      <w:r>
        <w:rPr>
          <w:rFonts w:ascii="Arial" w:cs="Arial" w:eastAsia="Arial" w:hAnsi="Arial"/>
          <w:sz w:val="15"/>
          <w:szCs w:val="15"/>
          <w:color w:val="auto"/>
        </w:rPr>
        <w:t>Stockholders who owned shares of our common stock as of March 1, 2024, are entitled to attend and vote at the Annual Meeting or any adjournments.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1856740" cy="4762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56740" cy="476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David Oestreicher</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General Counsel and Corporate Secretary</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Baltimore, Maryland</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March 18,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137160</wp:posOffset>
            </wp:positionV>
            <wp:extent cx="4980940" cy="13696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80940" cy="1369695"/>
                    </a:xfrm>
                    <a:prstGeom prst="rect">
                      <a:avLst/>
                    </a:prstGeom>
                    <a:noFill/>
                  </pic:spPr>
                </pic:pic>
              </a:graphicData>
            </a:graphic>
          </wp:anchor>
        </w:drawing>
      </w:r>
    </w:p>
    <w:p>
      <w:pPr>
        <w:spacing w:after="0" w:line="301" w:lineRule="exact"/>
        <w:rPr>
          <w:sz w:val="20"/>
          <w:szCs w:val="20"/>
          <w:color w:val="auto"/>
        </w:rPr>
      </w:pPr>
    </w:p>
    <w:p>
      <w:pPr>
        <w:ind w:left="140" w:right="580"/>
        <w:spacing w:after="0" w:line="270" w:lineRule="auto"/>
        <w:rPr>
          <w:sz w:val="20"/>
          <w:szCs w:val="20"/>
          <w:color w:val="auto"/>
        </w:rPr>
      </w:pPr>
      <w:r>
        <w:rPr>
          <w:rFonts w:ascii="Times New Roman" w:cs="Times New Roman" w:eastAsia="Times New Roman" w:hAnsi="Times New Roman"/>
          <w:sz w:val="20"/>
          <w:szCs w:val="20"/>
          <w:b w:val="1"/>
          <w:bCs w:val="1"/>
          <w:color w:val="3C4047"/>
        </w:rPr>
        <w:t>Important Notice Regarding the Availability of Proxy Materials for the Stockholder Meeting to Be Held on May 7, 2024</w:t>
      </w:r>
    </w:p>
    <w:p>
      <w:pPr>
        <w:spacing w:after="0" w:line="74" w:lineRule="exact"/>
        <w:rPr>
          <w:sz w:val="20"/>
          <w:szCs w:val="20"/>
          <w:color w:val="auto"/>
        </w:rPr>
      </w:pPr>
    </w:p>
    <w:p>
      <w:pPr>
        <w:ind w:left="140" w:right="180"/>
        <w:spacing w:after="0" w:line="252" w:lineRule="auto"/>
        <w:rPr>
          <w:sz w:val="20"/>
          <w:szCs w:val="20"/>
          <w:color w:val="auto"/>
        </w:rPr>
      </w:pPr>
      <w:r>
        <w:rPr>
          <w:rFonts w:ascii="Arial" w:cs="Arial" w:eastAsia="Arial" w:hAnsi="Arial"/>
          <w:sz w:val="15"/>
          <w:szCs w:val="15"/>
          <w:color w:val="auto"/>
        </w:rPr>
        <w:t>On or about March 18, 2024, we are mailing to our stockholders a Notice of Internet Availability of Proxy Materials directing stockholders to a website where they can access the proxy statement for our Annual Meeting and the 2023 Annual Report to Stockholders (Annual Report) and view instructions on how to vote their shares by internet or telephone. This proxy statement and our Annual Report may be viewed, downloaded, and printed, at no charge, by accessing the following internet address: materials.proxyvote.com/74144T.</w:t>
      </w:r>
    </w:p>
    <w:p>
      <w:pPr>
        <w:spacing w:after="0" w:line="57" w:lineRule="exact"/>
        <w:rPr>
          <w:sz w:val="20"/>
          <w:szCs w:val="20"/>
          <w:color w:val="auto"/>
        </w:rPr>
      </w:pPr>
    </w:p>
    <w:p>
      <w:pPr>
        <w:ind w:left="140" w:right="400"/>
        <w:spacing w:after="0" w:line="278" w:lineRule="auto"/>
        <w:rPr>
          <w:sz w:val="20"/>
          <w:szCs w:val="20"/>
          <w:color w:val="auto"/>
        </w:rPr>
      </w:pPr>
      <w:r>
        <w:rPr>
          <w:rFonts w:ascii="Arial" w:cs="Arial" w:eastAsia="Arial" w:hAnsi="Arial"/>
          <w:sz w:val="15"/>
          <w:szCs w:val="15"/>
          <w:color w:val="auto"/>
        </w:rPr>
        <w:t>Stockholders who wish to attend the Annual Meeting must follow the instructions on page 84 under the section titled "What must I do to participate in the Annual Meeting?".</w:t>
      </w:r>
    </w:p>
    <w:p>
      <w:pPr>
        <w:spacing w:after="0" w:line="200" w:lineRule="exact"/>
        <w:rPr>
          <w:sz w:val="20"/>
          <w:szCs w:val="20"/>
          <w:color w:val="auto"/>
        </w:rPr>
      </w:pPr>
    </w:p>
    <w:p>
      <w:pPr>
        <w:sectPr>
          <w:pgSz w:w="11900" w:h="16838" w:orient="portrait"/>
          <w:cols w:equalWidth="0" w:num="2">
            <w:col w:w="3000" w:space="380"/>
            <w:col w:w="7860"/>
          </w:cols>
          <w:pgMar w:left="320" w:top="223" w:right="339" w:bottom="1440" w:gutter="0" w:footer="0" w:header="0"/>
          <w:type w:val="continuous"/>
        </w:sectPr>
      </w:pP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80" w:type="dxa"/>
            <w:vAlign w:val="bottom"/>
          </w:tcPr>
          <w:p>
            <w:pPr>
              <w:ind w:left="9620"/>
              <w:spacing w:after="0"/>
              <w:rPr>
                <w:sz w:val="20"/>
                <w:szCs w:val="20"/>
                <w:color w:val="auto"/>
              </w:rPr>
            </w:pPr>
            <w:r>
              <w:rPr>
                <w:rFonts w:ascii="Times New Roman" w:cs="Times New Roman" w:eastAsia="Times New Roman" w:hAnsi="Times New Roman"/>
                <w:sz w:val="13"/>
                <w:szCs w:val="13"/>
                <w:b w:val="1"/>
                <w:bCs w:val="1"/>
                <w:color w:val="auto"/>
              </w:rPr>
              <w:t xml:space="preserve">2024 </w:t>
            </w:r>
            <w:r>
              <w:rPr>
                <w:rFonts w:ascii="Times New Roman" w:cs="Times New Roman" w:eastAsia="Times New Roman" w:hAnsi="Times New Roman"/>
                <w:sz w:val="13"/>
                <w:szCs w:val="13"/>
                <w:color w:val="auto"/>
              </w:rPr>
              <w:t>Proxy Statement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244F"/>
              </w:rPr>
              <w:t>1</w:t>
            </w:r>
          </w:p>
        </w:tc>
      </w:tr>
      <w:tr>
        <w:trPr>
          <w:trHeight w:val="397"/>
        </w:trPr>
        <w:tc>
          <w:tcPr>
            <w:tcW w:w="10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3"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7"/>
          <w:szCs w:val="17"/>
          <w:u w:val="single" w:color="auto"/>
          <w:color w:val="0000EE"/>
        </w:rPr>
        <w:t>Table of Contents</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55"/>
          <w:szCs w:val="55"/>
          <w:color w:val="00244F"/>
        </w:rPr>
        <w:t>Introduction</w:t>
      </w: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This proxy statement is being made available to you in connection with the solicitation of proxies by the T. Rowe Price Group, Inc. (Price Group or the Company) Board of</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Directors (Board) for the 2024 Annual Meeting of Stockholders (Annual Meeting). The purpose of the Annual Meeting is to:</w:t>
      </w:r>
    </w:p>
    <w:p>
      <w:pPr>
        <w:spacing w:after="0" w:line="188" w:lineRule="exact"/>
        <w:rPr>
          <w:sz w:val="20"/>
          <w:szCs w:val="20"/>
          <w:color w:val="auto"/>
        </w:rPr>
      </w:pPr>
    </w:p>
    <w:p>
      <w:pPr>
        <w:ind w:left="160" w:hanging="160"/>
        <w:spacing w:after="0"/>
        <w:tabs>
          <w:tab w:leader="none" w:pos="160" w:val="left"/>
        </w:tabs>
        <w:numPr>
          <w:ilvl w:val="0"/>
          <w:numId w:val="9"/>
        </w:numPr>
        <w:rPr>
          <w:rFonts w:ascii="Arial" w:cs="Arial" w:eastAsia="Arial" w:hAnsi="Arial"/>
          <w:sz w:val="13"/>
          <w:szCs w:val="13"/>
          <w:color w:val="28C0DA"/>
        </w:rPr>
      </w:pPr>
      <w:r>
        <w:rPr>
          <w:rFonts w:ascii="Arial" w:cs="Arial" w:eastAsia="Arial" w:hAnsi="Arial"/>
          <w:sz w:val="15"/>
          <w:szCs w:val="15"/>
          <w:color w:val="auto"/>
        </w:rPr>
        <w:t>Elect a Board of 11 directors;</w:t>
      </w:r>
    </w:p>
    <w:p>
      <w:pPr>
        <w:spacing w:after="0" w:line="89" w:lineRule="exact"/>
        <w:rPr>
          <w:rFonts w:ascii="Arial" w:cs="Arial" w:eastAsia="Arial" w:hAnsi="Arial"/>
          <w:sz w:val="13"/>
          <w:szCs w:val="13"/>
          <w:color w:val="28C0DA"/>
        </w:rPr>
      </w:pPr>
    </w:p>
    <w:p>
      <w:pPr>
        <w:ind w:left="160" w:hanging="160"/>
        <w:spacing w:after="0"/>
        <w:tabs>
          <w:tab w:leader="none" w:pos="160" w:val="left"/>
        </w:tabs>
        <w:numPr>
          <w:ilvl w:val="0"/>
          <w:numId w:val="9"/>
        </w:numPr>
        <w:rPr>
          <w:rFonts w:ascii="Arial" w:cs="Arial" w:eastAsia="Arial" w:hAnsi="Arial"/>
          <w:sz w:val="13"/>
          <w:szCs w:val="13"/>
          <w:color w:val="28C0DA"/>
        </w:rPr>
      </w:pPr>
      <w:r>
        <w:rPr>
          <w:rFonts w:ascii="Arial" w:cs="Arial" w:eastAsia="Arial" w:hAnsi="Arial"/>
          <w:sz w:val="15"/>
          <w:szCs w:val="15"/>
          <w:color w:val="auto"/>
        </w:rPr>
        <w:t>Approve, by a nonbinding advisory vote, the compensation paid by the Company to its Named Executive Officers; and</w:t>
      </w:r>
    </w:p>
    <w:p>
      <w:pPr>
        <w:spacing w:after="0" w:line="89" w:lineRule="exact"/>
        <w:rPr>
          <w:rFonts w:ascii="Arial" w:cs="Arial" w:eastAsia="Arial" w:hAnsi="Arial"/>
          <w:sz w:val="13"/>
          <w:szCs w:val="13"/>
          <w:color w:val="28C0DA"/>
        </w:rPr>
      </w:pPr>
    </w:p>
    <w:p>
      <w:pPr>
        <w:ind w:left="160" w:hanging="160"/>
        <w:spacing w:after="0"/>
        <w:tabs>
          <w:tab w:leader="none" w:pos="160" w:val="left"/>
        </w:tabs>
        <w:numPr>
          <w:ilvl w:val="0"/>
          <w:numId w:val="9"/>
        </w:numPr>
        <w:rPr>
          <w:rFonts w:ascii="Arial" w:cs="Arial" w:eastAsia="Arial" w:hAnsi="Arial"/>
          <w:sz w:val="13"/>
          <w:szCs w:val="13"/>
          <w:color w:val="28C0DA"/>
        </w:rPr>
      </w:pPr>
      <w:r>
        <w:rPr>
          <w:rFonts w:ascii="Arial" w:cs="Arial" w:eastAsia="Arial" w:hAnsi="Arial"/>
          <w:sz w:val="15"/>
          <w:szCs w:val="15"/>
          <w:color w:val="auto"/>
        </w:rPr>
        <w:t>Ratify the appointment of KPMG LLP as our independent registered public accounting firm for 2024.</w:t>
      </w:r>
    </w:p>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5"/>
          <w:szCs w:val="15"/>
          <w:color w:val="auto"/>
        </w:rPr>
        <w:t>This proxy statement, the proxy card, and our 2023 Annual Report to Stockholders containing our consolidated financial statements and other financial information for the year ended December 31, 2023, form your "Proxy Materials." We have adopted the Securities and Exchange Commission's (SEC) "Notice and Access" model of proxy notification, which allows us to furnish proxy materials online, with paper copies available upon request. We sent you a notice on how to obtain your Proxy Materials on March 18,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60" w:hanging="460"/>
        <w:spacing w:after="0"/>
        <w:tabs>
          <w:tab w:leader="none" w:pos="460" w:val="left"/>
        </w:tabs>
        <w:numPr>
          <w:ilvl w:val="0"/>
          <w:numId w:val="10"/>
        </w:numPr>
        <w:rPr>
          <w:rFonts w:ascii="Times New Roman" w:cs="Times New Roman" w:eastAsia="Times New Roman" w:hAnsi="Times New Roman"/>
          <w:sz w:val="13"/>
          <w:szCs w:val="13"/>
          <w:b w:val="1"/>
          <w:bCs w:val="1"/>
          <w:color w:val="00244F"/>
        </w:rPr>
      </w:pPr>
      <w:r>
        <w:rPr>
          <w:rFonts w:ascii="Times New Roman" w:cs="Times New Roman" w:eastAsia="Times New Roman" w:hAnsi="Times New Roman"/>
          <w:sz w:val="13"/>
          <w:szCs w:val="13"/>
          <w:b w:val="1"/>
          <w:bCs w:val="1"/>
          <w:color w:val="00244F"/>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4248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55"/>
          <w:szCs w:val="55"/>
          <w:color w:val="00254F"/>
        </w:rPr>
        <w:t>Voting Road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274320</wp:posOffset>
            </wp:positionV>
            <wp:extent cx="571500" cy="2222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1500" cy="22225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FFFFFF"/>
        </w:rPr>
        <w:t>Proposal 1</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254F"/>
        </w:rPr>
        <w:t>Election of Directors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Director Nominee Demographics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260" w:type="dxa"/>
            <w:vAlign w:val="bottom"/>
            <w:shd w:val="clear" w:color="auto" w:fill="77C6DB"/>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shd w:val="clear" w:color="auto" w:fill="77C6DB"/>
          </w:tcPr>
          <w:p>
            <w:pPr>
              <w:spacing w:after="0" w:line="20" w:lineRule="exact"/>
              <w:rPr>
                <w:sz w:val="1"/>
                <w:szCs w:val="1"/>
                <w:color w:val="auto"/>
              </w:rPr>
            </w:pPr>
          </w:p>
        </w:tc>
      </w:tr>
      <w:tr>
        <w:trPr>
          <w:trHeight w:val="159"/>
        </w:trPr>
        <w:tc>
          <w:tcPr>
            <w:tcW w:w="3260" w:type="dxa"/>
            <w:vAlign w:val="bottom"/>
          </w:tcPr>
          <w:p>
            <w:pPr>
              <w:spacing w:after="0"/>
              <w:rPr>
                <w:sz w:val="20"/>
                <w:szCs w:val="20"/>
                <w:color w:val="auto"/>
              </w:rPr>
            </w:pPr>
            <w:r>
              <w:rPr>
                <w:rFonts w:ascii="Arial" w:cs="Arial" w:eastAsia="Arial" w:hAnsi="Arial"/>
                <w:sz w:val="12"/>
                <w:szCs w:val="12"/>
                <w:b w:val="1"/>
                <w:bCs w:val="1"/>
                <w:color w:val="00254F"/>
              </w:rPr>
              <w:t>INDEPENDENCE</w:t>
            </w:r>
          </w:p>
        </w:tc>
        <w:tc>
          <w:tcPr>
            <w:tcW w:w="240" w:type="dxa"/>
            <w:vAlign w:val="bottom"/>
          </w:tcPr>
          <w:p>
            <w:pPr>
              <w:spacing w:after="0"/>
              <w:rPr>
                <w:sz w:val="13"/>
                <w:szCs w:val="13"/>
                <w:color w:val="auto"/>
              </w:rPr>
            </w:pPr>
          </w:p>
        </w:tc>
        <w:tc>
          <w:tcPr>
            <w:tcW w:w="4040" w:type="dxa"/>
            <w:vAlign w:val="bottom"/>
            <w:gridSpan w:val="2"/>
          </w:tcPr>
          <w:p>
            <w:pPr>
              <w:ind w:left="220"/>
              <w:spacing w:after="0"/>
              <w:rPr>
                <w:sz w:val="20"/>
                <w:szCs w:val="20"/>
                <w:color w:val="auto"/>
              </w:rPr>
            </w:pPr>
            <w:r>
              <w:rPr>
                <w:rFonts w:ascii="Arial" w:cs="Arial" w:eastAsia="Arial" w:hAnsi="Arial"/>
                <w:sz w:val="12"/>
                <w:szCs w:val="12"/>
                <w:b w:val="1"/>
                <w:bCs w:val="1"/>
                <w:color w:val="00254F"/>
              </w:rPr>
              <w:t>DIVERSITY</w:t>
            </w:r>
          </w:p>
        </w:tc>
      </w:tr>
      <w:tr>
        <w:trPr>
          <w:trHeight w:val="220"/>
        </w:trPr>
        <w:tc>
          <w:tcPr>
            <w:tcW w:w="3500" w:type="dxa"/>
            <w:vAlign w:val="bottom"/>
            <w:gridSpan w:val="2"/>
          </w:tcPr>
          <w:p>
            <w:pPr>
              <w:spacing w:after="0" w:line="221" w:lineRule="exact"/>
              <w:rPr>
                <w:sz w:val="20"/>
                <w:szCs w:val="20"/>
                <w:color w:val="auto"/>
              </w:rPr>
            </w:pPr>
            <w:r>
              <w:rPr>
                <w:rFonts w:ascii="Times New Roman" w:cs="Times New Roman" w:eastAsia="Times New Roman" w:hAnsi="Times New Roman"/>
                <w:sz w:val="13"/>
                <w:szCs w:val="13"/>
                <w:color w:val="28C0DA"/>
              </w:rPr>
              <w:t>●</w:t>
            </w:r>
            <w:r>
              <w:rPr>
                <w:rFonts w:ascii="Times New Roman" w:cs="Times New Roman" w:eastAsia="Times New Roman" w:hAnsi="Times New Roman"/>
                <w:sz w:val="16"/>
                <w:szCs w:val="16"/>
                <w:color w:val="000000"/>
              </w:rPr>
              <w:t>       </w:t>
            </w:r>
            <w:r>
              <w:rPr>
                <w:rFonts w:ascii="Arial" w:cs="Arial" w:eastAsia="Arial" w:hAnsi="Arial"/>
                <w:sz w:val="11"/>
                <w:szCs w:val="11"/>
                <w:color w:val="000000"/>
              </w:rPr>
              <w:t>Nine of 11 director nominees are independent under the</w:t>
            </w:r>
            <w:r>
              <w:rPr>
                <w:rFonts w:ascii="Times New Roman" w:cs="Times New Roman" w:eastAsia="Times New Roman" w:hAnsi="Times New Roman"/>
                <w:sz w:val="13"/>
                <w:szCs w:val="13"/>
                <w:color w:val="28C0DA"/>
              </w:rPr>
              <w:t xml:space="preserve">  </w:t>
            </w:r>
            <w:r>
              <w:rPr>
                <w:rFonts w:ascii="Arial" w:cs="Arial" w:eastAsia="Arial" w:hAnsi="Arial"/>
                <w:sz w:val="23"/>
                <w:szCs w:val="23"/>
                <w:color w:val="000000"/>
                <w:vertAlign w:val="superscript"/>
              </w:rPr>
              <w:t> </w:t>
            </w:r>
          </w:p>
        </w:tc>
        <w:tc>
          <w:tcPr>
            <w:tcW w:w="4040" w:type="dxa"/>
            <w:vAlign w:val="bottom"/>
            <w:gridSpan w:val="2"/>
          </w:tcPr>
          <w:p>
            <w:pPr>
              <w:ind w:left="220"/>
              <w:spacing w:after="0"/>
              <w:rPr>
                <w:sz w:val="20"/>
                <w:szCs w:val="20"/>
                <w:color w:val="auto"/>
              </w:rPr>
            </w:pPr>
            <w:r>
              <w:rPr>
                <w:rFonts w:ascii="Arial" w:cs="Arial" w:eastAsia="Arial" w:hAnsi="Arial"/>
                <w:sz w:val="12"/>
                <w:szCs w:val="12"/>
                <w:color w:val="auto"/>
              </w:rPr>
              <w:t>Of our independent director nominees:</w:t>
            </w:r>
          </w:p>
        </w:tc>
      </w:tr>
      <w:tr>
        <w:trPr>
          <w:trHeight w:val="159"/>
        </w:trPr>
        <w:tc>
          <w:tcPr>
            <w:tcW w:w="3500" w:type="dxa"/>
            <w:vAlign w:val="bottom"/>
            <w:gridSpan w:val="2"/>
          </w:tcPr>
          <w:p>
            <w:pPr>
              <w:ind w:left="300"/>
              <w:spacing w:after="0"/>
              <w:rPr>
                <w:sz w:val="20"/>
                <w:szCs w:val="20"/>
                <w:color w:val="auto"/>
              </w:rPr>
            </w:pPr>
            <w:r>
              <w:rPr>
                <w:rFonts w:ascii="Arial" w:cs="Arial" w:eastAsia="Arial" w:hAnsi="Arial"/>
                <w:sz w:val="12"/>
                <w:szCs w:val="12"/>
                <w:color w:val="auto"/>
              </w:rPr>
              <w:t>NASDAQ Global Select Market standards</w:t>
            </w:r>
          </w:p>
        </w:tc>
        <w:tc>
          <w:tcPr>
            <w:tcW w:w="4040" w:type="dxa"/>
            <w:vAlign w:val="bottom"/>
            <w:gridSpan w:val="2"/>
          </w:tcPr>
          <w:p>
            <w:pPr>
              <w:ind w:left="220"/>
              <w:spacing w:after="0"/>
              <w:rPr>
                <w:sz w:val="20"/>
                <w:szCs w:val="20"/>
                <w:color w:val="auto"/>
              </w:rPr>
            </w:pPr>
            <w:r>
              <w:rPr>
                <w:rFonts w:ascii="Arial" w:cs="Arial" w:eastAsia="Arial" w:hAnsi="Arial"/>
                <w:sz w:val="12"/>
                <w:szCs w:val="12"/>
                <w:color w:val="auto"/>
              </w:rPr>
              <w:t> </w:t>
            </w:r>
          </w:p>
        </w:tc>
      </w:tr>
      <w:tr>
        <w:trPr>
          <w:trHeight w:val="201"/>
        </w:trPr>
        <w:tc>
          <w:tcPr>
            <w:tcW w:w="3500" w:type="dxa"/>
            <w:vAlign w:val="bottom"/>
            <w:gridSpan w:val="2"/>
          </w:tcPr>
          <w:p>
            <w:pPr>
              <w:spacing w:after="0"/>
              <w:rPr>
                <w:sz w:val="20"/>
                <w:szCs w:val="20"/>
                <w:color w:val="auto"/>
              </w:rPr>
            </w:pPr>
            <w:r>
              <w:rPr>
                <w:rFonts w:ascii="Times New Roman" w:cs="Times New Roman" w:eastAsia="Times New Roman" w:hAnsi="Times New Roman"/>
                <w:sz w:val="13"/>
                <w:szCs w:val="13"/>
                <w:color w:val="28C0DA"/>
              </w:rPr>
              <w:t>●</w:t>
            </w:r>
            <w:r>
              <w:rPr>
                <w:rFonts w:ascii="Times New Roman" w:cs="Times New Roman" w:eastAsia="Times New Roman" w:hAnsi="Times New Roman"/>
                <w:sz w:val="16"/>
                <w:szCs w:val="16"/>
                <w:color w:val="000000"/>
              </w:rPr>
              <w:t>       </w:t>
            </w:r>
            <w:r>
              <w:rPr>
                <w:rFonts w:ascii="Arial" w:cs="Arial" w:eastAsia="Arial" w:hAnsi="Arial"/>
                <w:sz w:val="11"/>
                <w:szCs w:val="11"/>
                <w:color w:val="000000"/>
              </w:rPr>
              <w:t>All directors serving on the Audit, Executive</w:t>
            </w: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r>
      <w:tr>
        <w:trPr>
          <w:trHeight w:val="125"/>
        </w:trPr>
        <w:tc>
          <w:tcPr>
            <w:tcW w:w="3500" w:type="dxa"/>
            <w:vAlign w:val="bottom"/>
            <w:gridSpan w:val="2"/>
          </w:tcPr>
          <w:p>
            <w:pPr>
              <w:ind w:left="300"/>
              <w:spacing w:after="0" w:line="125" w:lineRule="exact"/>
              <w:rPr>
                <w:sz w:val="20"/>
                <w:szCs w:val="20"/>
                <w:color w:val="auto"/>
              </w:rPr>
            </w:pPr>
            <w:r>
              <w:rPr>
                <w:rFonts w:ascii="Arial" w:cs="Arial" w:eastAsia="Arial" w:hAnsi="Arial"/>
                <w:sz w:val="12"/>
                <w:szCs w:val="12"/>
                <w:color w:val="auto"/>
              </w:rPr>
              <w:t>Compensation and Management Development and</w:t>
            </w:r>
          </w:p>
        </w:tc>
        <w:tc>
          <w:tcPr>
            <w:tcW w:w="220" w:type="dxa"/>
            <w:vAlign w:val="bottom"/>
          </w:tcPr>
          <w:p>
            <w:pPr>
              <w:spacing w:after="0"/>
              <w:rPr>
                <w:sz w:val="10"/>
                <w:szCs w:val="10"/>
                <w:color w:val="auto"/>
              </w:rPr>
            </w:pPr>
          </w:p>
        </w:tc>
        <w:tc>
          <w:tcPr>
            <w:tcW w:w="3820" w:type="dxa"/>
            <w:vAlign w:val="bottom"/>
          </w:tcPr>
          <w:p>
            <w:pPr>
              <w:spacing w:after="0"/>
              <w:rPr>
                <w:sz w:val="10"/>
                <w:szCs w:val="10"/>
                <w:color w:val="auto"/>
              </w:rPr>
            </w:pPr>
          </w:p>
        </w:tc>
      </w:tr>
      <w:tr>
        <w:trPr>
          <w:trHeight w:val="125"/>
        </w:trPr>
        <w:tc>
          <w:tcPr>
            <w:tcW w:w="3500" w:type="dxa"/>
            <w:vAlign w:val="bottom"/>
            <w:gridSpan w:val="2"/>
          </w:tcPr>
          <w:p>
            <w:pPr>
              <w:ind w:left="300"/>
              <w:spacing w:after="0" w:line="125" w:lineRule="exact"/>
              <w:rPr>
                <w:sz w:val="20"/>
                <w:szCs w:val="20"/>
                <w:color w:val="auto"/>
              </w:rPr>
            </w:pPr>
            <w:r>
              <w:rPr>
                <w:rFonts w:ascii="Arial" w:cs="Arial" w:eastAsia="Arial" w:hAnsi="Arial"/>
                <w:sz w:val="12"/>
                <w:szCs w:val="12"/>
                <w:color w:val="auto"/>
              </w:rPr>
              <w:t>Nominating and Corporate Governance Committees are</w:t>
            </w:r>
          </w:p>
        </w:tc>
        <w:tc>
          <w:tcPr>
            <w:tcW w:w="220" w:type="dxa"/>
            <w:vAlign w:val="bottom"/>
          </w:tcPr>
          <w:p>
            <w:pPr>
              <w:spacing w:after="0"/>
              <w:rPr>
                <w:sz w:val="10"/>
                <w:szCs w:val="10"/>
                <w:color w:val="auto"/>
              </w:rPr>
            </w:pPr>
          </w:p>
        </w:tc>
        <w:tc>
          <w:tcPr>
            <w:tcW w:w="3820" w:type="dxa"/>
            <w:vAlign w:val="bottom"/>
          </w:tcPr>
          <w:p>
            <w:pPr>
              <w:spacing w:after="0"/>
              <w:rPr>
                <w:sz w:val="10"/>
                <w:szCs w:val="10"/>
                <w:color w:val="auto"/>
              </w:rPr>
            </w:pPr>
          </w:p>
        </w:tc>
      </w:tr>
      <w:tr>
        <w:trPr>
          <w:trHeight w:val="124"/>
        </w:trPr>
        <w:tc>
          <w:tcPr>
            <w:tcW w:w="3500" w:type="dxa"/>
            <w:vAlign w:val="bottom"/>
            <w:gridSpan w:val="2"/>
          </w:tcPr>
          <w:p>
            <w:pPr>
              <w:ind w:left="300"/>
              <w:spacing w:after="0" w:line="124" w:lineRule="exact"/>
              <w:rPr>
                <w:sz w:val="20"/>
                <w:szCs w:val="20"/>
                <w:color w:val="auto"/>
              </w:rPr>
            </w:pPr>
            <w:r>
              <w:rPr>
                <w:rFonts w:ascii="Arial" w:cs="Arial" w:eastAsia="Arial" w:hAnsi="Arial"/>
                <w:sz w:val="12"/>
                <w:szCs w:val="12"/>
                <w:color w:val="auto"/>
              </w:rPr>
              <w:t>independent</w:t>
            </w:r>
          </w:p>
        </w:tc>
        <w:tc>
          <w:tcPr>
            <w:tcW w:w="220" w:type="dxa"/>
            <w:vAlign w:val="bottom"/>
          </w:tcPr>
          <w:p>
            <w:pPr>
              <w:spacing w:after="0"/>
              <w:rPr>
                <w:sz w:val="10"/>
                <w:szCs w:val="10"/>
                <w:color w:val="auto"/>
              </w:rPr>
            </w:pPr>
          </w:p>
        </w:tc>
        <w:tc>
          <w:tcPr>
            <w:tcW w:w="3820" w:type="dxa"/>
            <w:vAlign w:val="bottom"/>
          </w:tcPr>
          <w:p>
            <w:pPr>
              <w:spacing w:after="0"/>
              <w:rPr>
                <w:sz w:val="10"/>
                <w:szCs w:val="10"/>
                <w:color w:val="auto"/>
              </w:rPr>
            </w:pPr>
          </w:p>
        </w:tc>
      </w:tr>
      <w:tr>
        <w:trPr>
          <w:trHeight w:val="201"/>
        </w:trPr>
        <w:tc>
          <w:tcPr>
            <w:tcW w:w="3500" w:type="dxa"/>
            <w:vAlign w:val="bottom"/>
            <w:gridSpan w:val="2"/>
          </w:tcPr>
          <w:p>
            <w:pPr>
              <w:spacing w:after="0"/>
              <w:rPr>
                <w:sz w:val="20"/>
                <w:szCs w:val="20"/>
                <w:color w:val="auto"/>
              </w:rPr>
            </w:pPr>
            <w:r>
              <w:rPr>
                <w:rFonts w:ascii="Times New Roman" w:cs="Times New Roman" w:eastAsia="Times New Roman" w:hAnsi="Times New Roman"/>
                <w:sz w:val="13"/>
                <w:szCs w:val="13"/>
                <w:color w:val="28C0DA"/>
              </w:rPr>
              <w:t>●</w:t>
            </w:r>
            <w:r>
              <w:rPr>
                <w:rFonts w:ascii="Times New Roman" w:cs="Times New Roman" w:eastAsia="Times New Roman" w:hAnsi="Times New Roman"/>
                <w:sz w:val="16"/>
                <w:szCs w:val="16"/>
                <w:color w:val="000000"/>
              </w:rPr>
              <w:t>       </w:t>
            </w:r>
            <w:r>
              <w:rPr>
                <w:rFonts w:ascii="Arial" w:cs="Arial" w:eastAsia="Arial" w:hAnsi="Arial"/>
                <w:sz w:val="11"/>
                <w:szCs w:val="11"/>
                <w:color w:val="000000"/>
              </w:rPr>
              <w:t>A well-empowered lead independent director provides</w:t>
            </w: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r>
      <w:tr>
        <w:trPr>
          <w:trHeight w:val="152"/>
        </w:trPr>
        <w:tc>
          <w:tcPr>
            <w:tcW w:w="3500" w:type="dxa"/>
            <w:vAlign w:val="bottom"/>
            <w:gridSpan w:val="2"/>
          </w:tcPr>
          <w:p>
            <w:pPr>
              <w:ind w:left="300"/>
              <w:spacing w:after="0"/>
              <w:rPr>
                <w:sz w:val="20"/>
                <w:szCs w:val="20"/>
                <w:color w:val="auto"/>
              </w:rPr>
            </w:pPr>
            <w:r>
              <w:rPr>
                <w:rFonts w:ascii="Arial" w:cs="Arial" w:eastAsia="Arial" w:hAnsi="Arial"/>
                <w:sz w:val="12"/>
                <w:szCs w:val="12"/>
                <w:color w:val="auto"/>
              </w:rPr>
              <w:t>independent leadership to our Board</w:t>
            </w:r>
          </w:p>
        </w:tc>
        <w:tc>
          <w:tcPr>
            <w:tcW w:w="220" w:type="dxa"/>
            <w:vAlign w:val="bottom"/>
          </w:tcPr>
          <w:p>
            <w:pPr>
              <w:spacing w:after="0"/>
              <w:rPr>
                <w:sz w:val="13"/>
                <w:szCs w:val="13"/>
                <w:color w:val="auto"/>
              </w:rPr>
            </w:pPr>
          </w:p>
        </w:tc>
        <w:tc>
          <w:tcPr>
            <w:tcW w:w="38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2357120</wp:posOffset>
            </wp:positionH>
            <wp:positionV relativeFrom="paragraph">
              <wp:posOffset>-625475</wp:posOffset>
            </wp:positionV>
            <wp:extent cx="1824990" cy="928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24990" cy="92837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44"/>
        <w:spacing w:after="0"/>
        <w:rPr>
          <w:sz w:val="20"/>
          <w:szCs w:val="20"/>
          <w:color w:val="auto"/>
        </w:rPr>
      </w:pPr>
      <w:r>
        <w:rPr>
          <w:rFonts w:ascii="Arial" w:cs="Arial" w:eastAsia="Arial" w:hAnsi="Arial"/>
          <w:sz w:val="12"/>
          <w:szCs w:val="12"/>
          <w:b w:val="1"/>
          <w:bCs w:val="1"/>
          <w:color w:val="00254F"/>
        </w:rPr>
        <w:t>TENURE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-99695</wp:posOffset>
            </wp:positionV>
            <wp:extent cx="207137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071370" cy="7620"/>
                    </a:xfrm>
                    <a:prstGeom prst="rect">
                      <a:avLst/>
                    </a:prstGeom>
                    <a:noFill/>
                  </pic:spPr>
                </pic:pic>
              </a:graphicData>
            </a:graphic>
          </wp:anchor>
        </w:drawing>
      </w:r>
    </w:p>
    <w:p>
      <w:pPr>
        <w:spacing w:after="0" w:line="8" w:lineRule="exact"/>
        <w:rPr>
          <w:sz w:val="20"/>
          <w:szCs w:val="20"/>
          <w:color w:val="auto"/>
        </w:rPr>
      </w:pPr>
    </w:p>
    <w:p>
      <w:pPr>
        <w:ind w:left="444" w:hanging="444"/>
        <w:spacing w:after="0"/>
        <w:tabs>
          <w:tab w:leader="none" w:pos="444" w:val="left"/>
        </w:tabs>
        <w:numPr>
          <w:ilvl w:val="0"/>
          <w:numId w:val="11"/>
        </w:numPr>
        <w:rPr>
          <w:rFonts w:ascii="Arial" w:cs="Arial" w:eastAsia="Arial" w:hAnsi="Arial"/>
          <w:sz w:val="23"/>
          <w:szCs w:val="23"/>
          <w:color w:val="auto"/>
          <w:vertAlign w:val="superscript"/>
        </w:rPr>
      </w:pPr>
      <w:r>
        <w:rPr>
          <w:rFonts w:ascii="Times New Roman" w:cs="Times New Roman" w:eastAsia="Times New Roman" w:hAnsi="Times New Roman"/>
          <w:sz w:val="13"/>
          <w:szCs w:val="13"/>
          <w:color w:val="28C0DA"/>
        </w:rPr>
        <w:t>●</w:t>
      </w:r>
      <w:r>
        <w:rPr>
          <w:rFonts w:ascii="Times New Roman" w:cs="Times New Roman" w:eastAsia="Times New Roman" w:hAnsi="Times New Roman"/>
          <w:sz w:val="16"/>
          <w:szCs w:val="16"/>
          <w:color w:val="000000"/>
        </w:rPr>
        <w:t>       </w:t>
      </w:r>
      <w:r>
        <w:rPr>
          <w:rFonts w:ascii="Arial" w:cs="Arial" w:eastAsia="Arial" w:hAnsi="Arial"/>
          <w:sz w:val="11"/>
          <w:szCs w:val="11"/>
          <w:color w:val="000000"/>
        </w:rPr>
        <w:t>Balanced mix of short- and long-tenured directors</w:t>
      </w:r>
    </w:p>
    <w:p>
      <w:pPr>
        <w:spacing w:after="0" w:line="44" w:lineRule="exact"/>
        <w:rPr>
          <w:rFonts w:ascii="Arial" w:cs="Arial" w:eastAsia="Arial" w:hAnsi="Arial"/>
          <w:sz w:val="23"/>
          <w:szCs w:val="23"/>
          <w:color w:val="auto"/>
          <w:vertAlign w:val="superscript"/>
        </w:rPr>
      </w:pPr>
    </w:p>
    <w:p>
      <w:pPr>
        <w:ind w:left="744" w:right="100" w:hanging="300"/>
        <w:spacing w:after="0" w:line="217" w:lineRule="auto"/>
        <w:rPr>
          <w:rFonts w:ascii="Arial" w:cs="Arial" w:eastAsia="Arial" w:hAnsi="Arial"/>
          <w:sz w:val="23"/>
          <w:szCs w:val="23"/>
          <w:color w:val="auto"/>
          <w:vertAlign w:val="superscript"/>
        </w:rPr>
      </w:pPr>
      <w:r>
        <w:rPr>
          <w:rFonts w:ascii="Times New Roman" w:cs="Times New Roman" w:eastAsia="Times New Roman" w:hAnsi="Times New Roman"/>
          <w:sz w:val="13"/>
          <w:szCs w:val="13"/>
          <w:color w:val="28C0DA"/>
        </w:rPr>
        <w:t>●</w:t>
      </w:r>
      <w:r>
        <w:rPr>
          <w:rFonts w:ascii="Times New Roman" w:cs="Times New Roman" w:eastAsia="Times New Roman" w:hAnsi="Times New Roman"/>
          <w:sz w:val="16"/>
          <w:szCs w:val="16"/>
          <w:color w:val="000000"/>
        </w:rPr>
        <w:t>       </w:t>
      </w:r>
      <w:r>
        <w:rPr>
          <w:rFonts w:ascii="Arial" w:cs="Arial" w:eastAsia="Arial" w:hAnsi="Arial"/>
          <w:sz w:val="11"/>
          <w:szCs w:val="11"/>
          <w:color w:val="000000"/>
        </w:rPr>
        <w:t>The tenure of our independent director nominees ranges</w:t>
      </w:r>
      <w:r>
        <w:rPr>
          <w:rFonts w:ascii="Times New Roman" w:cs="Times New Roman" w:eastAsia="Times New Roman" w:hAnsi="Times New Roman"/>
          <w:sz w:val="13"/>
          <w:szCs w:val="13"/>
          <w:color w:val="28C0DA"/>
        </w:rPr>
        <w:t xml:space="preserve"> </w:t>
      </w:r>
      <w:r>
        <w:rPr>
          <w:rFonts w:ascii="Arial" w:cs="Arial" w:eastAsia="Arial" w:hAnsi="Arial"/>
          <w:sz w:val="11"/>
          <w:szCs w:val="11"/>
          <w:color w:val="000000"/>
        </w:rPr>
        <w:t>from 5 months to 14 years, with an average tenure of approximately six years</w:t>
      </w:r>
    </w:p>
    <w:p>
      <w:pPr>
        <w:ind w:left="444"/>
        <w:spacing w:after="0"/>
        <w:rPr>
          <w:rFonts w:ascii="Arial" w:cs="Arial" w:eastAsia="Arial" w:hAnsi="Arial"/>
          <w:sz w:val="23"/>
          <w:szCs w:val="23"/>
          <w:color w:val="auto"/>
          <w:vertAlign w:val="superscript"/>
        </w:rPr>
      </w:pPr>
      <w:r>
        <w:rPr>
          <w:rFonts w:ascii="Times New Roman" w:cs="Times New Roman" w:eastAsia="Times New Roman" w:hAnsi="Times New Roman"/>
          <w:sz w:val="13"/>
          <w:szCs w:val="13"/>
          <w:color w:val="28C0DA"/>
        </w:rPr>
        <w:t>●</w:t>
      </w:r>
      <w:r>
        <w:rPr>
          <w:rFonts w:ascii="Times New Roman" w:cs="Times New Roman" w:eastAsia="Times New Roman" w:hAnsi="Times New Roman"/>
          <w:sz w:val="16"/>
          <w:szCs w:val="16"/>
          <w:color w:val="000000"/>
        </w:rPr>
        <w:t>       </w:t>
      </w:r>
      <w:r>
        <w:rPr>
          <w:rFonts w:ascii="Arial" w:cs="Arial" w:eastAsia="Arial" w:hAnsi="Arial"/>
          <w:sz w:val="11"/>
          <w:szCs w:val="11"/>
          <w:color w:val="000000"/>
        </w:rPr>
        <w:t>Longer-tenured directors in leadership roles</w:t>
      </w:r>
    </w:p>
    <w:p>
      <w:pPr>
        <w:spacing w:after="0" w:line="1055" w:lineRule="exact"/>
        <w:rPr>
          <w:sz w:val="20"/>
          <w:szCs w:val="20"/>
          <w:color w:val="auto"/>
        </w:rPr>
      </w:pPr>
    </w:p>
    <w:p>
      <w:pPr>
        <w:sectPr>
          <w:pgSz w:w="11900" w:h="16838" w:orient="portrait"/>
          <w:cols w:equalWidth="0" w:num="2">
            <w:col w:w="7540" w:space="4294967293"/>
            <w:col w:w="3704"/>
          </w:cols>
          <w:pgMar w:left="320" w:top="323" w:right="339" w:bottom="1440" w:gutter="0" w:footer="0" w:header="0"/>
        </w:sectPr>
      </w:pPr>
    </w:p>
    <w:tbl>
      <w:tblPr>
        <w:tblLayout w:type="fixed"/>
        <w:tblInd w:w="0" w:type="dxa"/>
        <w:tblCellMar>
          <w:top w:w="0" w:type="dxa"/>
          <w:left w:w="0" w:type="dxa"/>
          <w:bottom w:w="0" w:type="dxa"/>
          <w:right w:w="0" w:type="dxa"/>
        </w:tblCellMar>
      </w:tblPr>
      <w:tr>
        <w:trPr>
          <w:trHeight w:val="131"/>
        </w:trPr>
        <w:tc>
          <w:tcPr>
            <w:tcW w:w="2660" w:type="dxa"/>
            <w:vAlign w:val="bottom"/>
            <w:tcBorders>
              <w:top w:val="single" w:sz="8" w:color="77C6DB"/>
            </w:tcBorders>
            <w:gridSpan w:val="4"/>
          </w:tcPr>
          <w:p>
            <w:pPr>
              <w:spacing w:after="0" w:line="131" w:lineRule="exact"/>
              <w:rPr>
                <w:sz w:val="20"/>
                <w:szCs w:val="20"/>
                <w:color w:val="auto"/>
              </w:rPr>
            </w:pPr>
            <w:r>
              <w:rPr>
                <w:rFonts w:ascii="Arial" w:cs="Arial" w:eastAsia="Arial" w:hAnsi="Arial"/>
                <w:sz w:val="12"/>
                <w:szCs w:val="12"/>
                <w:b w:val="1"/>
                <w:bCs w:val="1"/>
                <w:color w:val="00254F"/>
                <w:w w:val="99"/>
              </w:rPr>
              <w:t>QUALIFICATIONS, SKILLS, AND EXPERIENCE</w:t>
            </w:r>
          </w:p>
        </w:tc>
        <w:tc>
          <w:tcPr>
            <w:tcW w:w="320" w:type="dxa"/>
            <w:vAlign w:val="bottom"/>
            <w:tcBorders>
              <w:top w:val="single" w:sz="8" w:color="77C6DB"/>
            </w:tcBorders>
          </w:tcPr>
          <w:p>
            <w:pPr>
              <w:spacing w:after="0"/>
              <w:rPr>
                <w:sz w:val="11"/>
                <w:szCs w:val="11"/>
                <w:color w:val="auto"/>
              </w:rPr>
            </w:pPr>
          </w:p>
        </w:tc>
        <w:tc>
          <w:tcPr>
            <w:tcW w:w="1560" w:type="dxa"/>
            <w:vAlign w:val="bottom"/>
            <w:tcBorders>
              <w:top w:val="single" w:sz="8" w:color="77C6DB"/>
            </w:tcBorders>
          </w:tcPr>
          <w:p>
            <w:pPr>
              <w:spacing w:after="0"/>
              <w:rPr>
                <w:sz w:val="11"/>
                <w:szCs w:val="11"/>
                <w:color w:val="auto"/>
              </w:rPr>
            </w:pPr>
          </w:p>
        </w:tc>
        <w:tc>
          <w:tcPr>
            <w:tcW w:w="480" w:type="dxa"/>
            <w:vAlign w:val="bottom"/>
            <w:tcBorders>
              <w:top w:val="single" w:sz="8" w:color="77C6DB"/>
            </w:tcBorders>
          </w:tcPr>
          <w:p>
            <w:pPr>
              <w:spacing w:after="0"/>
              <w:rPr>
                <w:sz w:val="11"/>
                <w:szCs w:val="11"/>
                <w:color w:val="auto"/>
              </w:rPr>
            </w:pPr>
          </w:p>
        </w:tc>
        <w:tc>
          <w:tcPr>
            <w:tcW w:w="360" w:type="dxa"/>
            <w:vAlign w:val="bottom"/>
            <w:tcBorders>
              <w:top w:val="single" w:sz="8" w:color="77C6DB"/>
            </w:tcBorders>
          </w:tcPr>
          <w:p>
            <w:pPr>
              <w:spacing w:after="0"/>
              <w:rPr>
                <w:sz w:val="11"/>
                <w:szCs w:val="11"/>
                <w:color w:val="auto"/>
              </w:rPr>
            </w:pPr>
          </w:p>
        </w:tc>
        <w:tc>
          <w:tcPr>
            <w:tcW w:w="2160" w:type="dxa"/>
            <w:vAlign w:val="bottom"/>
            <w:tcBorders>
              <w:top w:val="single" w:sz="8" w:color="77C6DB"/>
            </w:tcBorders>
          </w:tcPr>
          <w:p>
            <w:pPr>
              <w:spacing w:after="0"/>
              <w:rPr>
                <w:sz w:val="11"/>
                <w:szCs w:val="11"/>
                <w:color w:val="auto"/>
              </w:rPr>
            </w:pPr>
          </w:p>
        </w:tc>
        <w:tc>
          <w:tcPr>
            <w:tcW w:w="460" w:type="dxa"/>
            <w:vAlign w:val="bottom"/>
          </w:tcPr>
          <w:p>
            <w:pPr>
              <w:spacing w:after="0" w:line="131" w:lineRule="exact"/>
              <w:rPr>
                <w:sz w:val="20"/>
                <w:szCs w:val="20"/>
                <w:color w:val="auto"/>
              </w:rPr>
            </w:pPr>
            <w:r>
              <w:rPr>
                <w:rFonts w:ascii="Arial" w:cs="Arial" w:eastAsia="Arial" w:hAnsi="Arial"/>
                <w:sz w:val="12"/>
                <w:szCs w:val="12"/>
                <w:color w:val="00254F"/>
              </w:rPr>
              <w:t> </w:t>
            </w:r>
          </w:p>
        </w:tc>
        <w:tc>
          <w:tcPr>
            <w:tcW w:w="3240" w:type="dxa"/>
            <w:vAlign w:val="bottom"/>
            <w:tcBorders>
              <w:top w:val="single" w:sz="8" w:color="77C6DB"/>
            </w:tcBorders>
          </w:tcPr>
          <w:p>
            <w:pPr>
              <w:spacing w:after="0" w:line="131" w:lineRule="exact"/>
              <w:rPr>
                <w:sz w:val="20"/>
                <w:szCs w:val="20"/>
                <w:color w:val="auto"/>
              </w:rPr>
            </w:pPr>
            <w:r>
              <w:rPr>
                <w:rFonts w:ascii="Arial" w:cs="Arial" w:eastAsia="Arial" w:hAnsi="Arial"/>
                <w:sz w:val="12"/>
                <w:szCs w:val="12"/>
                <w:b w:val="1"/>
                <w:bCs w:val="1"/>
                <w:color w:val="00254F"/>
              </w:rPr>
              <w:t>BOARD ENGAGEMENT</w:t>
            </w:r>
          </w:p>
        </w:tc>
        <w:tc>
          <w:tcPr>
            <w:tcW w:w="0" w:type="dxa"/>
            <w:vAlign w:val="bottom"/>
          </w:tcPr>
          <w:p>
            <w:pPr>
              <w:spacing w:after="0"/>
              <w:rPr>
                <w:sz w:val="1"/>
                <w:szCs w:val="1"/>
                <w:color w:val="auto"/>
              </w:rPr>
            </w:pPr>
          </w:p>
        </w:tc>
      </w:tr>
      <w:tr>
        <w:trPr>
          <w:trHeight w:val="108"/>
        </w:trPr>
        <w:tc>
          <w:tcPr>
            <w:tcW w:w="24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 </w:t>
            </w:r>
          </w:p>
        </w:tc>
        <w:tc>
          <w:tcPr>
            <w:tcW w:w="380" w:type="dxa"/>
            <w:vAlign w:val="bottom"/>
          </w:tcPr>
          <w:p>
            <w:pPr>
              <w:spacing w:after="0"/>
              <w:rPr>
                <w:sz w:val="9"/>
                <w:szCs w:val="9"/>
                <w:color w:val="auto"/>
              </w:rPr>
            </w:pPr>
          </w:p>
        </w:tc>
        <w:tc>
          <w:tcPr>
            <w:tcW w:w="1500" w:type="dxa"/>
            <w:vAlign w:val="bottom"/>
            <w:vMerge w:val="restart"/>
          </w:tcPr>
          <w:p>
            <w:pPr>
              <w:ind w:left="40"/>
              <w:spacing w:after="0"/>
              <w:rPr>
                <w:sz w:val="20"/>
                <w:szCs w:val="20"/>
                <w:color w:val="auto"/>
              </w:rPr>
            </w:pPr>
            <w:r>
              <w:rPr>
                <w:rFonts w:ascii="Times New Roman" w:cs="Times New Roman" w:eastAsia="Times New Roman" w:hAnsi="Times New Roman"/>
                <w:sz w:val="12"/>
                <w:szCs w:val="12"/>
                <w:b w:val="1"/>
                <w:bCs w:val="1"/>
                <w:color w:val="00254F"/>
              </w:rPr>
              <w:t>100%</w:t>
            </w: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60" w:type="dxa"/>
            <w:vAlign w:val="bottom"/>
            <w:vMerge w:val="restart"/>
          </w:tcPr>
          <w:p>
            <w:pPr>
              <w:ind w:left="40"/>
              <w:spacing w:after="0"/>
              <w:rPr>
                <w:sz w:val="20"/>
                <w:szCs w:val="20"/>
                <w:color w:val="auto"/>
              </w:rPr>
            </w:pPr>
            <w:r>
              <w:rPr>
                <w:rFonts w:ascii="Times New Roman" w:cs="Times New Roman" w:eastAsia="Times New Roman" w:hAnsi="Times New Roman"/>
                <w:sz w:val="12"/>
                <w:szCs w:val="12"/>
                <w:b w:val="1"/>
                <w:bCs w:val="1"/>
                <w:color w:val="00254F"/>
              </w:rPr>
              <w:t>100%</w:t>
            </w: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160" w:type="dxa"/>
            <w:vAlign w:val="bottom"/>
            <w:vMerge w:val="restart"/>
          </w:tcPr>
          <w:p>
            <w:pPr>
              <w:ind w:left="40"/>
              <w:spacing w:after="0"/>
              <w:rPr>
                <w:sz w:val="20"/>
                <w:szCs w:val="20"/>
                <w:color w:val="auto"/>
              </w:rPr>
            </w:pPr>
            <w:r>
              <w:rPr>
                <w:rFonts w:ascii="Times New Roman" w:cs="Times New Roman" w:eastAsia="Times New Roman" w:hAnsi="Times New Roman"/>
                <w:sz w:val="12"/>
                <w:szCs w:val="12"/>
                <w:b w:val="1"/>
                <w:bCs w:val="1"/>
                <w:color w:val="00254F"/>
              </w:rPr>
              <w:t>64%</w:t>
            </w:r>
          </w:p>
        </w:tc>
        <w:tc>
          <w:tcPr>
            <w:tcW w:w="46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 </w:t>
            </w:r>
          </w:p>
        </w:tc>
        <w:tc>
          <w:tcPr>
            <w:tcW w:w="324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 </w:t>
            </w:r>
          </w:p>
        </w:tc>
        <w:tc>
          <w:tcPr>
            <w:tcW w:w="0" w:type="dxa"/>
            <w:vAlign w:val="bottom"/>
          </w:tcPr>
          <w:p>
            <w:pPr>
              <w:spacing w:after="0"/>
              <w:rPr>
                <w:sz w:val="1"/>
                <w:szCs w:val="1"/>
                <w:color w:val="auto"/>
              </w:rPr>
            </w:pPr>
          </w:p>
        </w:tc>
      </w:tr>
      <w:tr>
        <w:trPr>
          <w:trHeight w:val="166"/>
        </w:trPr>
        <w:tc>
          <w:tcPr>
            <w:tcW w:w="240" w:type="dxa"/>
            <w:vAlign w:val="bottom"/>
          </w:tcPr>
          <w:p>
            <w:pPr>
              <w:spacing w:after="0"/>
              <w:rPr>
                <w:sz w:val="14"/>
                <w:szCs w:val="14"/>
                <w:color w:val="auto"/>
              </w:rPr>
            </w:pPr>
          </w:p>
        </w:tc>
        <w:tc>
          <w:tcPr>
            <w:tcW w:w="380" w:type="dxa"/>
            <w:vAlign w:val="bottom"/>
          </w:tcPr>
          <w:p>
            <w:pPr>
              <w:ind w:left="300"/>
              <w:spacing w:after="0"/>
              <w:rPr>
                <w:sz w:val="20"/>
                <w:szCs w:val="20"/>
                <w:color w:val="auto"/>
              </w:rPr>
            </w:pPr>
            <w:r>
              <w:rPr>
                <w:rFonts w:ascii="Arial" w:cs="Arial" w:eastAsia="Arial" w:hAnsi="Arial"/>
                <w:sz w:val="12"/>
                <w:szCs w:val="12"/>
                <w:color w:val="auto"/>
              </w:rPr>
              <w:t> </w:t>
            </w:r>
          </w:p>
        </w:tc>
        <w:tc>
          <w:tcPr>
            <w:tcW w:w="1500" w:type="dxa"/>
            <w:vAlign w:val="bottom"/>
            <w:vMerge w:val="continue"/>
          </w:tcPr>
          <w:p>
            <w:pPr>
              <w:spacing w:after="0"/>
              <w:rPr>
                <w:sz w:val="14"/>
                <w:szCs w:val="14"/>
                <w:color w:val="auto"/>
              </w:rPr>
            </w:pPr>
          </w:p>
        </w:tc>
        <w:tc>
          <w:tcPr>
            <w:tcW w:w="540" w:type="dxa"/>
            <w:vAlign w:val="bottom"/>
          </w:tcPr>
          <w:p>
            <w:pPr>
              <w:ind w:left="100"/>
              <w:spacing w:after="0"/>
              <w:rPr>
                <w:sz w:val="20"/>
                <w:szCs w:val="20"/>
                <w:color w:val="auto"/>
              </w:rPr>
            </w:pPr>
            <w:r>
              <w:rPr>
                <w:rFonts w:ascii="Arial" w:cs="Arial" w:eastAsia="Arial" w:hAnsi="Arial"/>
                <w:sz w:val="12"/>
                <w:szCs w:val="12"/>
                <w:color w:val="auto"/>
              </w:rPr>
              <w:t> </w:t>
            </w:r>
          </w:p>
        </w:tc>
        <w:tc>
          <w:tcPr>
            <w:tcW w:w="320" w:type="dxa"/>
            <w:vAlign w:val="bottom"/>
          </w:tcPr>
          <w:p>
            <w:pPr>
              <w:ind w:left="240"/>
              <w:spacing w:after="0"/>
              <w:rPr>
                <w:sz w:val="20"/>
                <w:szCs w:val="20"/>
                <w:color w:val="auto"/>
              </w:rPr>
            </w:pPr>
            <w:r>
              <w:rPr>
                <w:rFonts w:ascii="Arial" w:cs="Arial" w:eastAsia="Arial" w:hAnsi="Arial"/>
                <w:sz w:val="12"/>
                <w:szCs w:val="12"/>
                <w:color w:val="auto"/>
              </w:rPr>
              <w:t> </w:t>
            </w:r>
          </w:p>
        </w:tc>
        <w:tc>
          <w:tcPr>
            <w:tcW w:w="1560" w:type="dxa"/>
            <w:vAlign w:val="bottom"/>
            <w:vMerge w:val="continue"/>
          </w:tcPr>
          <w:p>
            <w:pPr>
              <w:spacing w:after="0"/>
              <w:rPr>
                <w:sz w:val="14"/>
                <w:szCs w:val="14"/>
                <w:color w:val="auto"/>
              </w:rPr>
            </w:pPr>
          </w:p>
        </w:tc>
        <w:tc>
          <w:tcPr>
            <w:tcW w:w="480" w:type="dxa"/>
            <w:vAlign w:val="bottom"/>
          </w:tcPr>
          <w:p>
            <w:pPr>
              <w:ind w:left="40"/>
              <w:spacing w:after="0"/>
              <w:rPr>
                <w:sz w:val="20"/>
                <w:szCs w:val="20"/>
                <w:color w:val="auto"/>
              </w:rPr>
            </w:pPr>
            <w:r>
              <w:rPr>
                <w:rFonts w:ascii="Arial" w:cs="Arial" w:eastAsia="Arial" w:hAnsi="Arial"/>
                <w:sz w:val="12"/>
                <w:szCs w:val="12"/>
                <w:color w:val="auto"/>
              </w:rPr>
              <w:t> </w:t>
            </w:r>
          </w:p>
        </w:tc>
        <w:tc>
          <w:tcPr>
            <w:tcW w:w="360" w:type="dxa"/>
            <w:vAlign w:val="bottom"/>
          </w:tcPr>
          <w:p>
            <w:pPr>
              <w:ind w:left="280"/>
              <w:spacing w:after="0"/>
              <w:rPr>
                <w:sz w:val="20"/>
                <w:szCs w:val="20"/>
                <w:color w:val="auto"/>
              </w:rPr>
            </w:pPr>
            <w:r>
              <w:rPr>
                <w:rFonts w:ascii="Arial" w:cs="Arial" w:eastAsia="Arial" w:hAnsi="Arial"/>
                <w:sz w:val="12"/>
                <w:szCs w:val="12"/>
                <w:color w:val="auto"/>
              </w:rPr>
              <w:t> </w:t>
            </w:r>
          </w:p>
        </w:tc>
        <w:tc>
          <w:tcPr>
            <w:tcW w:w="2160" w:type="dxa"/>
            <w:vAlign w:val="bottom"/>
            <w:vMerge w:val="continue"/>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2"/>
                <w:szCs w:val="12"/>
                <w:color w:val="auto"/>
              </w:rPr>
              <w:t> </w:t>
            </w:r>
          </w:p>
        </w:tc>
        <w:tc>
          <w:tcPr>
            <w:tcW w:w="3240" w:type="dxa"/>
            <w:vAlign w:val="bottom"/>
          </w:tcPr>
          <w:p>
            <w:pPr>
              <w:spacing w:after="0" w:line="167" w:lineRule="exact"/>
              <w:rPr>
                <w:sz w:val="20"/>
                <w:szCs w:val="20"/>
                <w:color w:val="auto"/>
              </w:rPr>
            </w:pPr>
            <w:r>
              <w:rPr>
                <w:rFonts w:ascii="Times New Roman" w:cs="Times New Roman" w:eastAsia="Times New Roman" w:hAnsi="Times New Roman"/>
                <w:sz w:val="13"/>
                <w:szCs w:val="13"/>
                <w:color w:val="28C0DA"/>
              </w:rPr>
              <w:t>●</w:t>
            </w:r>
            <w:r>
              <w:rPr>
                <w:rFonts w:ascii="Times New Roman" w:cs="Times New Roman" w:eastAsia="Times New Roman" w:hAnsi="Times New Roman"/>
                <w:sz w:val="16"/>
                <w:szCs w:val="16"/>
                <w:color w:val="000000"/>
              </w:rPr>
              <w:t>      </w:t>
            </w:r>
            <w:r>
              <w:rPr>
                <w:rFonts w:ascii="Arial" w:cs="Arial" w:eastAsia="Arial" w:hAnsi="Arial"/>
                <w:sz w:val="11"/>
                <w:szCs w:val="11"/>
                <w:color w:val="000000"/>
              </w:rPr>
              <w:t>The Board held six meetings in 2023 </w:t>
            </w:r>
          </w:p>
        </w:tc>
        <w:tc>
          <w:tcPr>
            <w:tcW w:w="0" w:type="dxa"/>
            <w:vAlign w:val="bottom"/>
          </w:tcPr>
          <w:p>
            <w:pPr>
              <w:spacing w:after="0"/>
              <w:rPr>
                <w:sz w:val="1"/>
                <w:szCs w:val="1"/>
                <w:color w:val="auto"/>
              </w:rPr>
            </w:pPr>
          </w:p>
        </w:tc>
      </w:tr>
      <w:tr>
        <w:trPr>
          <w:trHeight w:val="152"/>
        </w:trPr>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00" w:type="dxa"/>
            <w:vAlign w:val="bottom"/>
          </w:tcPr>
          <w:p>
            <w:pPr>
              <w:ind w:left="40"/>
              <w:spacing w:after="0"/>
              <w:rPr>
                <w:sz w:val="20"/>
                <w:szCs w:val="20"/>
                <w:color w:val="auto"/>
              </w:rPr>
            </w:pPr>
            <w:r>
              <w:rPr>
                <w:rFonts w:ascii="Arial" w:cs="Arial" w:eastAsia="Arial" w:hAnsi="Arial"/>
                <w:sz w:val="12"/>
                <w:szCs w:val="12"/>
                <w:color w:val="auto"/>
              </w:rPr>
              <w:t>Executive Leadership</w:t>
            </w: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60" w:type="dxa"/>
            <w:vAlign w:val="bottom"/>
          </w:tcPr>
          <w:p>
            <w:pPr>
              <w:ind w:left="40"/>
              <w:spacing w:after="0"/>
              <w:rPr>
                <w:sz w:val="20"/>
                <w:szCs w:val="20"/>
                <w:color w:val="auto"/>
              </w:rPr>
            </w:pPr>
            <w:r>
              <w:rPr>
                <w:rFonts w:ascii="Arial" w:cs="Arial" w:eastAsia="Arial" w:hAnsi="Arial"/>
                <w:sz w:val="12"/>
                <w:szCs w:val="12"/>
                <w:color w:val="auto"/>
              </w:rPr>
              <w:t>Financial Management</w:t>
            </w: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160" w:type="dxa"/>
            <w:vAlign w:val="bottom"/>
          </w:tcPr>
          <w:p>
            <w:pPr>
              <w:ind w:left="40"/>
              <w:spacing w:after="0"/>
              <w:rPr>
                <w:sz w:val="20"/>
                <w:szCs w:val="20"/>
                <w:color w:val="auto"/>
              </w:rPr>
            </w:pPr>
            <w:r>
              <w:rPr>
                <w:rFonts w:ascii="Arial" w:cs="Arial" w:eastAsia="Arial" w:hAnsi="Arial"/>
                <w:sz w:val="12"/>
                <w:szCs w:val="12"/>
                <w:color w:val="auto"/>
              </w:rPr>
              <w:t>Investment Management</w:t>
            </w:r>
          </w:p>
        </w:tc>
        <w:tc>
          <w:tcPr>
            <w:tcW w:w="460" w:type="dxa"/>
            <w:vAlign w:val="bottom"/>
          </w:tcPr>
          <w:p>
            <w:pPr>
              <w:spacing w:after="0"/>
              <w:rPr>
                <w:sz w:val="13"/>
                <w:szCs w:val="13"/>
                <w:color w:val="auto"/>
              </w:rPr>
            </w:pPr>
          </w:p>
        </w:tc>
        <w:tc>
          <w:tcPr>
            <w:tcW w:w="3240" w:type="dxa"/>
            <w:vAlign w:val="bottom"/>
            <w:vMerge w:val="restart"/>
          </w:tcPr>
          <w:p>
            <w:pPr>
              <w:spacing w:after="0"/>
              <w:rPr>
                <w:sz w:val="20"/>
                <w:szCs w:val="20"/>
                <w:color w:val="auto"/>
              </w:rPr>
            </w:pPr>
            <w:r>
              <w:rPr>
                <w:rFonts w:ascii="Times New Roman" w:cs="Times New Roman" w:eastAsia="Times New Roman" w:hAnsi="Times New Roman"/>
                <w:sz w:val="13"/>
                <w:szCs w:val="13"/>
                <w:color w:val="28C0DA"/>
              </w:rPr>
              <w:t>●</w:t>
            </w:r>
            <w:r>
              <w:rPr>
                <w:rFonts w:ascii="Times New Roman" w:cs="Times New Roman" w:eastAsia="Times New Roman" w:hAnsi="Times New Roman"/>
                <w:sz w:val="16"/>
                <w:szCs w:val="16"/>
                <w:color w:val="000000"/>
              </w:rPr>
              <w:t>     </w:t>
            </w:r>
            <w:r>
              <w:rPr>
                <w:rFonts w:ascii="Arial" w:cs="Arial" w:eastAsia="Arial" w:hAnsi="Arial"/>
                <w:sz w:val="11"/>
                <w:szCs w:val="11"/>
                <w:color w:val="000000"/>
              </w:rPr>
              <w:t>Each director attended at least 75% of the combined total</w:t>
            </w:r>
          </w:p>
        </w:tc>
        <w:tc>
          <w:tcPr>
            <w:tcW w:w="0" w:type="dxa"/>
            <w:vAlign w:val="bottom"/>
          </w:tcPr>
          <w:p>
            <w:pPr>
              <w:spacing w:after="0"/>
              <w:rPr>
                <w:sz w:val="1"/>
                <w:szCs w:val="1"/>
                <w:color w:val="auto"/>
              </w:rPr>
            </w:pPr>
          </w:p>
        </w:tc>
      </w:tr>
      <w:tr>
        <w:trPr>
          <w:trHeight w:val="83"/>
        </w:trPr>
        <w:tc>
          <w:tcPr>
            <w:tcW w:w="240" w:type="dxa"/>
            <w:vAlign w:val="bottom"/>
          </w:tcPr>
          <w:p>
            <w:pPr>
              <w:spacing w:after="0"/>
              <w:rPr>
                <w:sz w:val="7"/>
                <w:szCs w:val="7"/>
                <w:color w:val="auto"/>
              </w:rPr>
            </w:pPr>
          </w:p>
        </w:tc>
        <w:tc>
          <w:tcPr>
            <w:tcW w:w="380" w:type="dxa"/>
            <w:vAlign w:val="bottom"/>
            <w:vMerge w:val="restart"/>
          </w:tcPr>
          <w:p>
            <w:pPr>
              <w:ind w:left="200"/>
              <w:spacing w:after="0"/>
              <w:rPr>
                <w:sz w:val="20"/>
                <w:szCs w:val="20"/>
                <w:color w:val="auto"/>
              </w:rPr>
            </w:pPr>
            <w:r>
              <w:rPr>
                <w:rFonts w:ascii="Arial" w:cs="Arial" w:eastAsia="Arial" w:hAnsi="Arial"/>
                <w:sz w:val="12"/>
                <w:szCs w:val="12"/>
                <w:color w:val="auto"/>
              </w:rPr>
              <w:t> </w:t>
            </w:r>
          </w:p>
        </w:tc>
        <w:tc>
          <w:tcPr>
            <w:tcW w:w="1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4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1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vMerge w:val="restart"/>
          </w:tcPr>
          <w:p>
            <w:pPr>
              <w:ind w:left="120"/>
              <w:spacing w:after="0"/>
              <w:rPr>
                <w:sz w:val="20"/>
                <w:szCs w:val="20"/>
                <w:color w:val="auto"/>
              </w:rPr>
            </w:pPr>
            <w:r>
              <w:rPr>
                <w:rFonts w:ascii="Arial" w:cs="Arial" w:eastAsia="Arial" w:hAnsi="Arial"/>
                <w:sz w:val="12"/>
                <w:szCs w:val="12"/>
                <w:color w:val="auto"/>
              </w:rPr>
              <w:t> </w:t>
            </w:r>
          </w:p>
        </w:tc>
        <w:tc>
          <w:tcPr>
            <w:tcW w:w="1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40" w:type="dxa"/>
            <w:vAlign w:val="bottom"/>
            <w:vMerge w:val="restart"/>
          </w:tcPr>
          <w:p>
            <w:pPr>
              <w:ind w:left="300"/>
              <w:spacing w:after="0" w:line="125" w:lineRule="exact"/>
              <w:rPr>
                <w:sz w:val="20"/>
                <w:szCs w:val="20"/>
                <w:color w:val="auto"/>
              </w:rPr>
            </w:pPr>
            <w:r>
              <w:rPr>
                <w:rFonts w:ascii="Arial" w:cs="Arial" w:eastAsia="Arial" w:hAnsi="Arial"/>
                <w:sz w:val="12"/>
                <w:szCs w:val="12"/>
                <w:color w:val="auto"/>
                <w:w w:val="97"/>
              </w:rPr>
              <w:t>number of meetings of the Board and Board committees</w:t>
            </w:r>
          </w:p>
        </w:tc>
        <w:tc>
          <w:tcPr>
            <w:tcW w:w="0" w:type="dxa"/>
            <w:vAlign w:val="bottom"/>
          </w:tcPr>
          <w:p>
            <w:pPr>
              <w:spacing w:after="0"/>
              <w:rPr>
                <w:sz w:val="1"/>
                <w:szCs w:val="1"/>
                <w:color w:val="auto"/>
              </w:rPr>
            </w:pPr>
          </w:p>
        </w:tc>
      </w:tr>
      <w:tr>
        <w:trPr>
          <w:trHeight w:val="48"/>
        </w:trPr>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1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40" w:type="dxa"/>
            <w:vAlign w:val="bottom"/>
            <w:vMerge w:val="restart"/>
          </w:tcPr>
          <w:p>
            <w:pPr>
              <w:ind w:left="300"/>
              <w:spacing w:after="0" w:line="124" w:lineRule="exact"/>
              <w:rPr>
                <w:sz w:val="20"/>
                <w:szCs w:val="20"/>
                <w:color w:val="auto"/>
              </w:rPr>
            </w:pPr>
            <w:r>
              <w:rPr>
                <w:rFonts w:ascii="Arial" w:cs="Arial" w:eastAsia="Arial" w:hAnsi="Arial"/>
                <w:sz w:val="12"/>
                <w:szCs w:val="12"/>
                <w:color w:val="auto"/>
              </w:rPr>
              <w:t>of which he or she was a member</w:t>
            </w:r>
          </w:p>
        </w:tc>
        <w:tc>
          <w:tcPr>
            <w:tcW w:w="0" w:type="dxa"/>
            <w:vAlign w:val="bottom"/>
          </w:tcPr>
          <w:p>
            <w:pPr>
              <w:spacing w:after="0"/>
              <w:rPr>
                <w:sz w:val="1"/>
                <w:szCs w:val="1"/>
                <w:color w:val="auto"/>
              </w:rPr>
            </w:pPr>
          </w:p>
        </w:tc>
      </w:tr>
      <w:tr>
        <w:trPr>
          <w:trHeight w:val="49"/>
        </w:trPr>
        <w:tc>
          <w:tcPr>
            <w:tcW w:w="240" w:type="dxa"/>
            <w:vAlign w:val="bottom"/>
            <w:vMerge w:val="restart"/>
          </w:tcPr>
          <w:p>
            <w:pPr>
              <w:spacing w:after="0" w:line="123" w:lineRule="exact"/>
              <w:rPr>
                <w:sz w:val="20"/>
                <w:szCs w:val="20"/>
                <w:color w:val="auto"/>
              </w:rPr>
            </w:pPr>
            <w:r>
              <w:rPr>
                <w:rFonts w:ascii="Arial" w:cs="Arial" w:eastAsia="Arial" w:hAnsi="Arial"/>
                <w:sz w:val="12"/>
                <w:szCs w:val="12"/>
                <w:color w:val="auto"/>
              </w:rPr>
              <w:t> </w:t>
            </w:r>
          </w:p>
        </w:tc>
        <w:tc>
          <w:tcPr>
            <w:tcW w:w="1880" w:type="dxa"/>
            <w:vAlign w:val="bottom"/>
            <w:gridSpan w:val="2"/>
            <w:vMerge w:val="restart"/>
          </w:tcPr>
          <w:p>
            <w:pPr>
              <w:ind w:left="300"/>
              <w:spacing w:after="0" w:line="123" w:lineRule="exact"/>
              <w:rPr>
                <w:sz w:val="20"/>
                <w:szCs w:val="20"/>
                <w:color w:val="auto"/>
              </w:rPr>
            </w:pPr>
            <w:r>
              <w:rPr>
                <w:rFonts w:ascii="Arial" w:cs="Arial" w:eastAsia="Arial" w:hAnsi="Arial"/>
                <w:sz w:val="12"/>
                <w:szCs w:val="12"/>
                <w:color w:val="auto"/>
              </w:rPr>
              <w:t>   </w:t>
            </w:r>
          </w:p>
        </w:tc>
        <w:tc>
          <w:tcPr>
            <w:tcW w:w="540" w:type="dxa"/>
            <w:vAlign w:val="bottom"/>
            <w:vMerge w:val="restart"/>
          </w:tcPr>
          <w:p>
            <w:pPr>
              <w:ind w:left="100"/>
              <w:spacing w:after="0" w:line="123" w:lineRule="exact"/>
              <w:rPr>
                <w:sz w:val="20"/>
                <w:szCs w:val="20"/>
                <w:color w:val="auto"/>
              </w:rPr>
            </w:pPr>
            <w:r>
              <w:rPr>
                <w:rFonts w:ascii="Arial" w:cs="Arial" w:eastAsia="Arial" w:hAnsi="Arial"/>
                <w:sz w:val="12"/>
                <w:szCs w:val="12"/>
                <w:color w:val="auto"/>
              </w:rPr>
              <w:t>   </w:t>
            </w:r>
          </w:p>
        </w:tc>
        <w:tc>
          <w:tcPr>
            <w:tcW w:w="1880" w:type="dxa"/>
            <w:vAlign w:val="bottom"/>
            <w:gridSpan w:val="2"/>
            <w:vMerge w:val="restart"/>
          </w:tcPr>
          <w:p>
            <w:pPr>
              <w:ind w:left="240"/>
              <w:spacing w:after="0" w:line="123" w:lineRule="exact"/>
              <w:rPr>
                <w:sz w:val="20"/>
                <w:szCs w:val="20"/>
                <w:color w:val="auto"/>
              </w:rPr>
            </w:pPr>
            <w:r>
              <w:rPr>
                <w:rFonts w:ascii="Arial" w:cs="Arial" w:eastAsia="Arial" w:hAnsi="Arial"/>
                <w:sz w:val="12"/>
                <w:szCs w:val="12"/>
                <w:color w:val="auto"/>
              </w:rPr>
              <w:t>   </w:t>
            </w:r>
          </w:p>
        </w:tc>
        <w:tc>
          <w:tcPr>
            <w:tcW w:w="480" w:type="dxa"/>
            <w:vAlign w:val="bottom"/>
            <w:vMerge w:val="restart"/>
          </w:tcPr>
          <w:p>
            <w:pPr>
              <w:ind w:left="40"/>
              <w:spacing w:after="0" w:line="123" w:lineRule="exact"/>
              <w:rPr>
                <w:sz w:val="20"/>
                <w:szCs w:val="20"/>
                <w:color w:val="auto"/>
              </w:rPr>
            </w:pPr>
            <w:r>
              <w:rPr>
                <w:rFonts w:ascii="Arial" w:cs="Arial" w:eastAsia="Arial" w:hAnsi="Arial"/>
                <w:sz w:val="12"/>
                <w:szCs w:val="12"/>
                <w:color w:val="auto"/>
              </w:rPr>
              <w:t>   </w:t>
            </w:r>
          </w:p>
        </w:tc>
        <w:tc>
          <w:tcPr>
            <w:tcW w:w="2520" w:type="dxa"/>
            <w:vAlign w:val="bottom"/>
            <w:gridSpan w:val="2"/>
            <w:vMerge w:val="restart"/>
          </w:tcPr>
          <w:p>
            <w:pPr>
              <w:ind w:left="280"/>
              <w:spacing w:after="0" w:line="123" w:lineRule="exact"/>
              <w:rPr>
                <w:sz w:val="20"/>
                <w:szCs w:val="20"/>
                <w:color w:val="auto"/>
              </w:rPr>
            </w:pPr>
            <w:r>
              <w:rPr>
                <w:rFonts w:ascii="Arial" w:cs="Arial" w:eastAsia="Arial" w:hAnsi="Arial"/>
                <w:sz w:val="12"/>
                <w:szCs w:val="12"/>
                <w:color w:val="auto"/>
              </w:rPr>
              <w:t>   </w:t>
            </w:r>
          </w:p>
        </w:tc>
        <w:tc>
          <w:tcPr>
            <w:tcW w:w="460" w:type="dxa"/>
            <w:vAlign w:val="bottom"/>
            <w:vMerge w:val="restart"/>
          </w:tcPr>
          <w:p>
            <w:pPr>
              <w:spacing w:after="0" w:line="123" w:lineRule="exact"/>
              <w:rPr>
                <w:sz w:val="20"/>
                <w:szCs w:val="20"/>
                <w:color w:val="auto"/>
              </w:rPr>
            </w:pPr>
            <w:r>
              <w:rPr>
                <w:rFonts w:ascii="Arial" w:cs="Arial" w:eastAsia="Arial" w:hAnsi="Arial"/>
                <w:sz w:val="12"/>
                <w:szCs w:val="12"/>
                <w:color w:val="auto"/>
              </w:rPr>
              <w:t> </w:t>
            </w:r>
          </w:p>
        </w:tc>
        <w:tc>
          <w:tcPr>
            <w:tcW w:w="3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240" w:type="dxa"/>
            <w:vAlign w:val="bottom"/>
            <w:vMerge w:val="continue"/>
          </w:tcPr>
          <w:p>
            <w:pPr>
              <w:spacing w:after="0"/>
              <w:rPr>
                <w:sz w:val="6"/>
                <w:szCs w:val="6"/>
                <w:color w:val="auto"/>
              </w:rPr>
            </w:pPr>
          </w:p>
        </w:tc>
        <w:tc>
          <w:tcPr>
            <w:tcW w:w="188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88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3240" w:type="dxa"/>
            <w:vAlign w:val="bottom"/>
            <w:vMerge w:val="restart"/>
          </w:tcPr>
          <w:p>
            <w:pPr>
              <w:spacing w:after="0"/>
              <w:rPr>
                <w:sz w:val="20"/>
                <w:szCs w:val="20"/>
                <w:color w:val="auto"/>
              </w:rPr>
            </w:pPr>
            <w:r>
              <w:rPr>
                <w:rFonts w:ascii="Times New Roman" w:cs="Times New Roman" w:eastAsia="Times New Roman" w:hAnsi="Times New Roman"/>
                <w:sz w:val="13"/>
                <w:szCs w:val="13"/>
                <w:color w:val="28C0DA"/>
              </w:rPr>
              <w:t>●</w:t>
            </w:r>
            <w:r>
              <w:rPr>
                <w:rFonts w:ascii="Times New Roman" w:cs="Times New Roman" w:eastAsia="Times New Roman" w:hAnsi="Times New Roman"/>
                <w:sz w:val="16"/>
                <w:szCs w:val="16"/>
                <w:color w:val="000000"/>
              </w:rPr>
              <w:t>      </w:t>
            </w:r>
            <w:r>
              <w:rPr>
                <w:rFonts w:ascii="Arial" w:cs="Arial" w:eastAsia="Arial" w:hAnsi="Arial"/>
                <w:sz w:val="11"/>
                <w:szCs w:val="11"/>
                <w:color w:val="000000"/>
              </w:rPr>
              <w:t>The independent directors met in executive session at all</w:t>
            </w:r>
          </w:p>
        </w:tc>
        <w:tc>
          <w:tcPr>
            <w:tcW w:w="0" w:type="dxa"/>
            <w:vAlign w:val="bottom"/>
          </w:tcPr>
          <w:p>
            <w:pPr>
              <w:spacing w:after="0"/>
              <w:rPr>
                <w:sz w:val="1"/>
                <w:szCs w:val="1"/>
                <w:color w:val="auto"/>
              </w:rPr>
            </w:pPr>
          </w:p>
        </w:tc>
      </w:tr>
      <w:tr>
        <w:trPr>
          <w:trHeight w:val="127"/>
        </w:trPr>
        <w:tc>
          <w:tcPr>
            <w:tcW w:w="240" w:type="dxa"/>
            <w:vAlign w:val="bottom"/>
          </w:tcPr>
          <w:p>
            <w:pPr>
              <w:spacing w:after="0"/>
              <w:rPr>
                <w:sz w:val="11"/>
                <w:szCs w:val="11"/>
                <w:color w:val="auto"/>
              </w:rPr>
            </w:pPr>
          </w:p>
        </w:tc>
        <w:tc>
          <w:tcPr>
            <w:tcW w:w="380" w:type="dxa"/>
            <w:vAlign w:val="bottom"/>
          </w:tcPr>
          <w:p>
            <w:pPr>
              <w:ind w:left="300"/>
              <w:spacing w:after="0" w:line="128" w:lineRule="exact"/>
              <w:rPr>
                <w:sz w:val="20"/>
                <w:szCs w:val="20"/>
                <w:color w:val="auto"/>
              </w:rPr>
            </w:pPr>
            <w:r>
              <w:rPr>
                <w:rFonts w:ascii="Arial" w:cs="Arial" w:eastAsia="Arial" w:hAnsi="Arial"/>
                <w:sz w:val="12"/>
                <w:szCs w:val="12"/>
                <w:color w:val="auto"/>
              </w:rPr>
              <w:t> </w:t>
            </w:r>
          </w:p>
        </w:tc>
        <w:tc>
          <w:tcPr>
            <w:tcW w:w="1500" w:type="dxa"/>
            <w:vAlign w:val="bottom"/>
          </w:tcPr>
          <w:p>
            <w:pPr>
              <w:ind w:left="40"/>
              <w:spacing w:after="0" w:line="128" w:lineRule="exact"/>
              <w:rPr>
                <w:sz w:val="20"/>
                <w:szCs w:val="20"/>
                <w:color w:val="auto"/>
              </w:rPr>
            </w:pPr>
            <w:r>
              <w:rPr>
                <w:rFonts w:ascii="Times New Roman" w:cs="Times New Roman" w:eastAsia="Times New Roman" w:hAnsi="Times New Roman"/>
                <w:sz w:val="12"/>
                <w:szCs w:val="12"/>
                <w:b w:val="1"/>
                <w:bCs w:val="1"/>
                <w:color w:val="00254F"/>
              </w:rPr>
              <w:t>82%</w:t>
            </w:r>
          </w:p>
        </w:tc>
        <w:tc>
          <w:tcPr>
            <w:tcW w:w="540" w:type="dxa"/>
            <w:vAlign w:val="bottom"/>
          </w:tcPr>
          <w:p>
            <w:pPr>
              <w:ind w:left="100"/>
              <w:spacing w:after="0" w:line="128" w:lineRule="exact"/>
              <w:rPr>
                <w:sz w:val="20"/>
                <w:szCs w:val="20"/>
                <w:color w:val="auto"/>
              </w:rPr>
            </w:pPr>
            <w:r>
              <w:rPr>
                <w:rFonts w:ascii="Arial" w:cs="Arial" w:eastAsia="Arial" w:hAnsi="Arial"/>
                <w:sz w:val="12"/>
                <w:szCs w:val="12"/>
                <w:color w:val="auto"/>
              </w:rPr>
              <w:t> </w:t>
            </w:r>
          </w:p>
        </w:tc>
        <w:tc>
          <w:tcPr>
            <w:tcW w:w="320" w:type="dxa"/>
            <w:vAlign w:val="bottom"/>
          </w:tcPr>
          <w:p>
            <w:pPr>
              <w:ind w:left="240"/>
              <w:spacing w:after="0" w:line="128" w:lineRule="exact"/>
              <w:rPr>
                <w:sz w:val="20"/>
                <w:szCs w:val="20"/>
                <w:color w:val="auto"/>
              </w:rPr>
            </w:pPr>
            <w:r>
              <w:rPr>
                <w:rFonts w:ascii="Arial" w:cs="Arial" w:eastAsia="Arial" w:hAnsi="Arial"/>
                <w:sz w:val="12"/>
                <w:szCs w:val="12"/>
                <w:color w:val="auto"/>
              </w:rPr>
              <w:t> </w:t>
            </w:r>
          </w:p>
        </w:tc>
        <w:tc>
          <w:tcPr>
            <w:tcW w:w="1560" w:type="dxa"/>
            <w:vAlign w:val="bottom"/>
          </w:tcPr>
          <w:p>
            <w:pPr>
              <w:ind w:left="40"/>
              <w:spacing w:after="0" w:line="128" w:lineRule="exact"/>
              <w:rPr>
                <w:sz w:val="20"/>
                <w:szCs w:val="20"/>
                <w:color w:val="auto"/>
              </w:rPr>
            </w:pPr>
            <w:r>
              <w:rPr>
                <w:rFonts w:ascii="Times New Roman" w:cs="Times New Roman" w:eastAsia="Times New Roman" w:hAnsi="Times New Roman"/>
                <w:sz w:val="12"/>
                <w:szCs w:val="12"/>
                <w:b w:val="1"/>
                <w:bCs w:val="1"/>
                <w:color w:val="00254F"/>
              </w:rPr>
              <w:t>73%</w:t>
            </w:r>
          </w:p>
        </w:tc>
        <w:tc>
          <w:tcPr>
            <w:tcW w:w="480" w:type="dxa"/>
            <w:vAlign w:val="bottom"/>
          </w:tcPr>
          <w:p>
            <w:pPr>
              <w:ind w:left="40"/>
              <w:spacing w:after="0" w:line="128" w:lineRule="exact"/>
              <w:rPr>
                <w:sz w:val="20"/>
                <w:szCs w:val="20"/>
                <w:color w:val="auto"/>
              </w:rPr>
            </w:pPr>
            <w:r>
              <w:rPr>
                <w:rFonts w:ascii="Arial" w:cs="Arial" w:eastAsia="Arial" w:hAnsi="Arial"/>
                <w:sz w:val="12"/>
                <w:szCs w:val="12"/>
                <w:color w:val="auto"/>
              </w:rPr>
              <w:t> </w:t>
            </w:r>
          </w:p>
        </w:tc>
        <w:tc>
          <w:tcPr>
            <w:tcW w:w="360" w:type="dxa"/>
            <w:vAlign w:val="bottom"/>
          </w:tcPr>
          <w:p>
            <w:pPr>
              <w:ind w:left="280"/>
              <w:spacing w:after="0" w:line="128" w:lineRule="exact"/>
              <w:rPr>
                <w:sz w:val="20"/>
                <w:szCs w:val="20"/>
                <w:color w:val="auto"/>
              </w:rPr>
            </w:pPr>
            <w:r>
              <w:rPr>
                <w:rFonts w:ascii="Arial" w:cs="Arial" w:eastAsia="Arial" w:hAnsi="Arial"/>
                <w:sz w:val="12"/>
                <w:szCs w:val="12"/>
                <w:color w:val="auto"/>
              </w:rPr>
              <w:t> </w:t>
            </w:r>
          </w:p>
        </w:tc>
        <w:tc>
          <w:tcPr>
            <w:tcW w:w="2160" w:type="dxa"/>
            <w:vAlign w:val="bottom"/>
          </w:tcPr>
          <w:p>
            <w:pPr>
              <w:ind w:left="40"/>
              <w:spacing w:after="0" w:line="128" w:lineRule="exact"/>
              <w:rPr>
                <w:sz w:val="20"/>
                <w:szCs w:val="20"/>
                <w:color w:val="auto"/>
              </w:rPr>
            </w:pPr>
            <w:r>
              <w:rPr>
                <w:rFonts w:ascii="Times New Roman" w:cs="Times New Roman" w:eastAsia="Times New Roman" w:hAnsi="Times New Roman"/>
                <w:sz w:val="12"/>
                <w:szCs w:val="12"/>
                <w:b w:val="1"/>
                <w:bCs w:val="1"/>
                <w:color w:val="00254F"/>
              </w:rPr>
              <w:t>100%</w:t>
            </w:r>
          </w:p>
        </w:tc>
        <w:tc>
          <w:tcPr>
            <w:tcW w:w="460" w:type="dxa"/>
            <w:vAlign w:val="bottom"/>
          </w:tcPr>
          <w:p>
            <w:pPr>
              <w:spacing w:after="0" w:line="128" w:lineRule="exact"/>
              <w:rPr>
                <w:sz w:val="20"/>
                <w:szCs w:val="20"/>
                <w:color w:val="auto"/>
              </w:rPr>
            </w:pPr>
            <w:r>
              <w:rPr>
                <w:rFonts w:ascii="Arial" w:cs="Arial" w:eastAsia="Arial" w:hAnsi="Arial"/>
                <w:sz w:val="12"/>
                <w:szCs w:val="12"/>
                <w:color w:val="auto"/>
              </w:rPr>
              <w:t> </w:t>
            </w:r>
          </w:p>
        </w:tc>
        <w:tc>
          <w:tcPr>
            <w:tcW w:w="3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500" w:type="dxa"/>
            <w:vAlign w:val="bottom"/>
          </w:tcPr>
          <w:p>
            <w:pPr>
              <w:ind w:left="40"/>
              <w:spacing w:after="0" w:line="124" w:lineRule="exact"/>
              <w:rPr>
                <w:sz w:val="20"/>
                <w:szCs w:val="20"/>
                <w:color w:val="auto"/>
              </w:rPr>
            </w:pPr>
            <w:r>
              <w:rPr>
                <w:rFonts w:ascii="Arial" w:cs="Arial" w:eastAsia="Arial" w:hAnsi="Arial"/>
                <w:sz w:val="12"/>
                <w:szCs w:val="12"/>
                <w:color w:val="auto"/>
              </w:rPr>
              <w:t>International</w:t>
            </w: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60" w:type="dxa"/>
            <w:vAlign w:val="bottom"/>
          </w:tcPr>
          <w:p>
            <w:pPr>
              <w:ind w:left="40"/>
              <w:spacing w:after="0" w:line="124" w:lineRule="exact"/>
              <w:rPr>
                <w:sz w:val="20"/>
                <w:szCs w:val="20"/>
                <w:color w:val="auto"/>
              </w:rPr>
            </w:pPr>
            <w:r>
              <w:rPr>
                <w:rFonts w:ascii="Arial" w:cs="Arial" w:eastAsia="Arial" w:hAnsi="Arial"/>
                <w:sz w:val="12"/>
                <w:szCs w:val="12"/>
                <w:color w:val="auto"/>
              </w:rPr>
              <w:t>Accounting and Financial</w:t>
            </w: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160" w:type="dxa"/>
            <w:vAlign w:val="bottom"/>
          </w:tcPr>
          <w:p>
            <w:pPr>
              <w:ind w:left="40"/>
              <w:spacing w:after="0" w:line="124" w:lineRule="exact"/>
              <w:rPr>
                <w:sz w:val="20"/>
                <w:szCs w:val="20"/>
                <w:color w:val="auto"/>
              </w:rPr>
            </w:pPr>
            <w:r>
              <w:rPr>
                <w:rFonts w:ascii="Arial" w:cs="Arial" w:eastAsia="Arial" w:hAnsi="Arial"/>
                <w:sz w:val="12"/>
                <w:szCs w:val="12"/>
                <w:color w:val="auto"/>
              </w:rPr>
              <w:t>Strategy and Execution</w:t>
            </w:r>
          </w:p>
        </w:tc>
        <w:tc>
          <w:tcPr>
            <w:tcW w:w="460" w:type="dxa"/>
            <w:vAlign w:val="bottom"/>
          </w:tcPr>
          <w:p>
            <w:pPr>
              <w:spacing w:after="0"/>
              <w:rPr>
                <w:sz w:val="10"/>
                <w:szCs w:val="10"/>
                <w:color w:val="auto"/>
              </w:rPr>
            </w:pPr>
          </w:p>
        </w:tc>
        <w:tc>
          <w:tcPr>
            <w:tcW w:w="3240" w:type="dxa"/>
            <w:vAlign w:val="bottom"/>
          </w:tcPr>
          <w:p>
            <w:pPr>
              <w:ind w:left="300"/>
              <w:spacing w:after="0" w:line="124" w:lineRule="exact"/>
              <w:rPr>
                <w:sz w:val="20"/>
                <w:szCs w:val="20"/>
                <w:color w:val="auto"/>
              </w:rPr>
            </w:pPr>
            <w:r>
              <w:rPr>
                <w:rFonts w:ascii="Arial" w:cs="Arial" w:eastAsia="Arial" w:hAnsi="Arial"/>
                <w:sz w:val="12"/>
                <w:szCs w:val="12"/>
                <w:color w:val="auto"/>
              </w:rPr>
              <w:t>six of the Board meetings in 2023</w:t>
            </w:r>
          </w:p>
        </w:tc>
        <w:tc>
          <w:tcPr>
            <w:tcW w:w="0" w:type="dxa"/>
            <w:vAlign w:val="bottom"/>
          </w:tcPr>
          <w:p>
            <w:pPr>
              <w:spacing w:after="0"/>
              <w:rPr>
                <w:sz w:val="1"/>
                <w:szCs w:val="1"/>
                <w:color w:val="auto"/>
              </w:rPr>
            </w:pPr>
          </w:p>
        </w:tc>
      </w:tr>
      <w:tr>
        <w:trPr>
          <w:trHeight w:val="201"/>
        </w:trPr>
        <w:tc>
          <w:tcPr>
            <w:tcW w:w="240" w:type="dxa"/>
            <w:vAlign w:val="bottom"/>
          </w:tcPr>
          <w:p>
            <w:pPr>
              <w:spacing w:after="0"/>
              <w:rPr>
                <w:sz w:val="17"/>
                <w:szCs w:val="17"/>
                <w:color w:val="auto"/>
              </w:rPr>
            </w:pPr>
          </w:p>
        </w:tc>
        <w:tc>
          <w:tcPr>
            <w:tcW w:w="380" w:type="dxa"/>
            <w:vAlign w:val="bottom"/>
            <w:vMerge w:val="restart"/>
          </w:tcPr>
          <w:p>
            <w:pPr>
              <w:ind w:left="200"/>
              <w:spacing w:after="0"/>
              <w:rPr>
                <w:sz w:val="20"/>
                <w:szCs w:val="20"/>
                <w:color w:val="auto"/>
              </w:rPr>
            </w:pPr>
            <w:r>
              <w:rPr>
                <w:rFonts w:ascii="Arial" w:cs="Arial" w:eastAsia="Arial" w:hAnsi="Arial"/>
                <w:sz w:val="12"/>
                <w:szCs w:val="12"/>
                <w:color w:val="auto"/>
              </w:rPr>
              <w:t> </w:t>
            </w:r>
          </w:p>
        </w:tc>
        <w:tc>
          <w:tcPr>
            <w:tcW w:w="1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vMerge w:val="restart"/>
          </w:tcPr>
          <w:p>
            <w:pPr>
              <w:ind w:left="120"/>
              <w:spacing w:after="0"/>
              <w:rPr>
                <w:sz w:val="20"/>
                <w:szCs w:val="20"/>
                <w:color w:val="auto"/>
              </w:rPr>
            </w:pPr>
            <w:r>
              <w:rPr>
                <w:rFonts w:ascii="Arial" w:cs="Arial" w:eastAsia="Arial" w:hAnsi="Arial"/>
                <w:sz w:val="12"/>
                <w:szCs w:val="12"/>
                <w:color w:val="auto"/>
              </w:rPr>
              <w:t> </w:t>
            </w:r>
          </w:p>
        </w:tc>
        <w:tc>
          <w:tcPr>
            <w:tcW w:w="1560" w:type="dxa"/>
            <w:vAlign w:val="bottom"/>
          </w:tcPr>
          <w:p>
            <w:pPr>
              <w:ind w:left="40"/>
              <w:spacing w:after="0"/>
              <w:rPr>
                <w:sz w:val="20"/>
                <w:szCs w:val="20"/>
                <w:color w:val="auto"/>
              </w:rPr>
            </w:pPr>
            <w:r>
              <w:rPr>
                <w:rFonts w:ascii="Arial" w:cs="Arial" w:eastAsia="Arial" w:hAnsi="Arial"/>
                <w:sz w:val="12"/>
                <w:szCs w:val="12"/>
                <w:color w:val="auto"/>
              </w:rPr>
              <w:t>Reporting</w:t>
            </w: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3"/>
                <w:szCs w:val="13"/>
                <w:color w:val="28C0DA"/>
              </w:rPr>
              <w:t>●</w:t>
            </w:r>
            <w:r>
              <w:rPr>
                <w:rFonts w:ascii="Times New Roman" w:cs="Times New Roman" w:eastAsia="Times New Roman" w:hAnsi="Times New Roman"/>
                <w:sz w:val="16"/>
                <w:szCs w:val="16"/>
                <w:color w:val="000000"/>
              </w:rPr>
              <w:t>      </w:t>
            </w:r>
            <w:r>
              <w:rPr>
                <w:rFonts w:ascii="Arial" w:cs="Arial" w:eastAsia="Arial" w:hAnsi="Arial"/>
                <w:sz w:val="11"/>
                <w:szCs w:val="11"/>
                <w:color w:val="000000"/>
              </w:rPr>
              <w:t>All directors were at the 2023 annual meeting of</w:t>
            </w:r>
          </w:p>
        </w:tc>
        <w:tc>
          <w:tcPr>
            <w:tcW w:w="0" w:type="dxa"/>
            <w:vAlign w:val="bottom"/>
          </w:tcPr>
          <w:p>
            <w:pPr>
              <w:spacing w:after="0"/>
              <w:rPr>
                <w:sz w:val="1"/>
                <w:szCs w:val="1"/>
                <w:color w:val="auto"/>
              </w:rPr>
            </w:pPr>
          </w:p>
        </w:tc>
      </w:tr>
      <w:tr>
        <w:trPr>
          <w:trHeight w:val="62"/>
        </w:trPr>
        <w:tc>
          <w:tcPr>
            <w:tcW w:w="24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1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40" w:type="dxa"/>
            <w:vAlign w:val="bottom"/>
            <w:vMerge w:val="restart"/>
          </w:tcPr>
          <w:p>
            <w:pPr>
              <w:ind w:left="300"/>
              <w:spacing w:after="0" w:line="125" w:lineRule="exact"/>
              <w:rPr>
                <w:sz w:val="20"/>
                <w:szCs w:val="20"/>
                <w:color w:val="auto"/>
              </w:rPr>
            </w:pPr>
            <w:r>
              <w:rPr>
                <w:rFonts w:ascii="Arial" w:cs="Arial" w:eastAsia="Arial" w:hAnsi="Arial"/>
                <w:sz w:val="12"/>
                <w:szCs w:val="12"/>
                <w:color w:val="auto"/>
                <w:w w:val="97"/>
              </w:rPr>
              <w:t>stockholders and were available to respond to questions</w:t>
            </w:r>
          </w:p>
        </w:tc>
        <w:tc>
          <w:tcPr>
            <w:tcW w:w="0" w:type="dxa"/>
            <w:vAlign w:val="bottom"/>
          </w:tcPr>
          <w:p>
            <w:pPr>
              <w:spacing w:after="0"/>
              <w:rPr>
                <w:sz w:val="1"/>
                <w:szCs w:val="1"/>
                <w:color w:val="auto"/>
              </w:rPr>
            </w:pPr>
          </w:p>
        </w:tc>
      </w:tr>
      <w:tr>
        <w:trPr>
          <w:trHeight w:val="62"/>
        </w:trPr>
        <w:tc>
          <w:tcPr>
            <w:tcW w:w="240" w:type="dxa"/>
            <w:vAlign w:val="bottom"/>
            <w:vMerge w:val="restart"/>
          </w:tcPr>
          <w:p>
            <w:pPr>
              <w:spacing w:after="0" w:line="123" w:lineRule="exact"/>
              <w:rPr>
                <w:sz w:val="20"/>
                <w:szCs w:val="20"/>
                <w:color w:val="auto"/>
              </w:rPr>
            </w:pPr>
            <w:r>
              <w:rPr>
                <w:rFonts w:ascii="Arial" w:cs="Arial" w:eastAsia="Arial" w:hAnsi="Arial"/>
                <w:sz w:val="12"/>
                <w:szCs w:val="12"/>
                <w:color w:val="auto"/>
              </w:rPr>
              <w:t> </w:t>
            </w:r>
          </w:p>
        </w:tc>
        <w:tc>
          <w:tcPr>
            <w:tcW w:w="1880" w:type="dxa"/>
            <w:vAlign w:val="bottom"/>
            <w:gridSpan w:val="2"/>
            <w:vMerge w:val="restart"/>
          </w:tcPr>
          <w:p>
            <w:pPr>
              <w:ind w:left="300"/>
              <w:spacing w:after="0" w:line="123" w:lineRule="exact"/>
              <w:rPr>
                <w:sz w:val="20"/>
                <w:szCs w:val="20"/>
                <w:color w:val="auto"/>
              </w:rPr>
            </w:pPr>
            <w:r>
              <w:rPr>
                <w:rFonts w:ascii="Arial" w:cs="Arial" w:eastAsia="Arial" w:hAnsi="Arial"/>
                <w:sz w:val="12"/>
                <w:szCs w:val="12"/>
                <w:color w:val="auto"/>
              </w:rPr>
              <w:t>   </w:t>
            </w:r>
          </w:p>
        </w:tc>
        <w:tc>
          <w:tcPr>
            <w:tcW w:w="540" w:type="dxa"/>
            <w:vAlign w:val="bottom"/>
            <w:vMerge w:val="restart"/>
          </w:tcPr>
          <w:p>
            <w:pPr>
              <w:ind w:left="100"/>
              <w:spacing w:after="0" w:line="123" w:lineRule="exact"/>
              <w:rPr>
                <w:sz w:val="20"/>
                <w:szCs w:val="20"/>
                <w:color w:val="auto"/>
              </w:rPr>
            </w:pPr>
            <w:r>
              <w:rPr>
                <w:rFonts w:ascii="Arial" w:cs="Arial" w:eastAsia="Arial" w:hAnsi="Arial"/>
                <w:sz w:val="12"/>
                <w:szCs w:val="12"/>
                <w:color w:val="auto"/>
              </w:rPr>
              <w:t>   </w:t>
            </w:r>
          </w:p>
        </w:tc>
        <w:tc>
          <w:tcPr>
            <w:tcW w:w="1880" w:type="dxa"/>
            <w:vAlign w:val="bottom"/>
            <w:gridSpan w:val="2"/>
            <w:vMerge w:val="restart"/>
          </w:tcPr>
          <w:p>
            <w:pPr>
              <w:ind w:left="240"/>
              <w:spacing w:after="0" w:line="123" w:lineRule="exact"/>
              <w:rPr>
                <w:sz w:val="20"/>
                <w:szCs w:val="20"/>
                <w:color w:val="auto"/>
              </w:rPr>
            </w:pPr>
            <w:r>
              <w:rPr>
                <w:rFonts w:ascii="Arial" w:cs="Arial" w:eastAsia="Arial" w:hAnsi="Arial"/>
                <w:sz w:val="12"/>
                <w:szCs w:val="12"/>
                <w:color w:val="auto"/>
              </w:rPr>
              <w:t>   </w:t>
            </w:r>
          </w:p>
        </w:tc>
        <w:tc>
          <w:tcPr>
            <w:tcW w:w="480" w:type="dxa"/>
            <w:vAlign w:val="bottom"/>
            <w:vMerge w:val="restart"/>
          </w:tcPr>
          <w:p>
            <w:pPr>
              <w:ind w:left="40"/>
              <w:spacing w:after="0" w:line="123" w:lineRule="exact"/>
              <w:rPr>
                <w:sz w:val="20"/>
                <w:szCs w:val="20"/>
                <w:color w:val="auto"/>
              </w:rPr>
            </w:pPr>
            <w:r>
              <w:rPr>
                <w:rFonts w:ascii="Arial" w:cs="Arial" w:eastAsia="Arial" w:hAnsi="Arial"/>
                <w:sz w:val="12"/>
                <w:szCs w:val="12"/>
                <w:color w:val="auto"/>
              </w:rPr>
              <w:t>   </w:t>
            </w:r>
          </w:p>
        </w:tc>
        <w:tc>
          <w:tcPr>
            <w:tcW w:w="2520" w:type="dxa"/>
            <w:vAlign w:val="bottom"/>
            <w:gridSpan w:val="2"/>
            <w:vMerge w:val="restart"/>
          </w:tcPr>
          <w:p>
            <w:pPr>
              <w:ind w:left="280"/>
              <w:spacing w:after="0" w:line="123" w:lineRule="exact"/>
              <w:rPr>
                <w:sz w:val="20"/>
                <w:szCs w:val="20"/>
                <w:color w:val="auto"/>
              </w:rPr>
            </w:pPr>
            <w:r>
              <w:rPr>
                <w:rFonts w:ascii="Arial" w:cs="Arial" w:eastAsia="Arial" w:hAnsi="Arial"/>
                <w:sz w:val="12"/>
                <w:szCs w:val="12"/>
                <w:color w:val="auto"/>
              </w:rPr>
              <w:t>   </w:t>
            </w:r>
          </w:p>
        </w:tc>
        <w:tc>
          <w:tcPr>
            <w:tcW w:w="460" w:type="dxa"/>
            <w:vAlign w:val="bottom"/>
            <w:vMerge w:val="restart"/>
          </w:tcPr>
          <w:p>
            <w:pPr>
              <w:spacing w:after="0" w:line="123" w:lineRule="exact"/>
              <w:rPr>
                <w:sz w:val="20"/>
                <w:szCs w:val="20"/>
                <w:color w:val="auto"/>
              </w:rPr>
            </w:pPr>
            <w:r>
              <w:rPr>
                <w:rFonts w:ascii="Arial" w:cs="Arial" w:eastAsia="Arial" w:hAnsi="Arial"/>
                <w:sz w:val="12"/>
                <w:szCs w:val="12"/>
                <w:color w:val="auto"/>
              </w:rPr>
              <w:t> </w:t>
            </w:r>
          </w:p>
        </w:tc>
        <w:tc>
          <w:tcPr>
            <w:tcW w:w="3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240" w:type="dxa"/>
            <w:vAlign w:val="bottom"/>
            <w:vMerge w:val="continue"/>
          </w:tcPr>
          <w:p>
            <w:pPr>
              <w:spacing w:after="0"/>
              <w:rPr>
                <w:sz w:val="5"/>
                <w:szCs w:val="5"/>
                <w:color w:val="auto"/>
              </w:rPr>
            </w:pPr>
          </w:p>
        </w:tc>
        <w:tc>
          <w:tcPr>
            <w:tcW w:w="18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880" w:type="dxa"/>
            <w:vAlign w:val="bottom"/>
            <w:gridSpan w:val="2"/>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3240" w:type="dxa"/>
            <w:vAlign w:val="bottom"/>
            <w:vMerge w:val="restart"/>
          </w:tcPr>
          <w:p>
            <w:pPr>
              <w:ind w:left="300"/>
              <w:spacing w:after="0" w:line="124" w:lineRule="exact"/>
              <w:rPr>
                <w:sz w:val="20"/>
                <w:szCs w:val="20"/>
                <w:color w:val="auto"/>
              </w:rPr>
            </w:pPr>
            <w:r>
              <w:rPr>
                <w:rFonts w:ascii="Arial" w:cs="Arial" w:eastAsia="Arial" w:hAnsi="Arial"/>
                <w:sz w:val="12"/>
                <w:szCs w:val="12"/>
                <w:color w:val="auto"/>
              </w:rPr>
              <w:t>from our stockholders</w:t>
            </w:r>
          </w:p>
        </w:tc>
        <w:tc>
          <w:tcPr>
            <w:tcW w:w="0" w:type="dxa"/>
            <w:vAlign w:val="bottom"/>
          </w:tcPr>
          <w:p>
            <w:pPr>
              <w:spacing w:after="0"/>
              <w:rPr>
                <w:sz w:val="1"/>
                <w:szCs w:val="1"/>
                <w:color w:val="auto"/>
              </w:rPr>
            </w:pPr>
          </w:p>
        </w:tc>
      </w:tr>
      <w:tr>
        <w:trPr>
          <w:trHeight w:val="64"/>
        </w:trPr>
        <w:tc>
          <w:tcPr>
            <w:tcW w:w="240" w:type="dxa"/>
            <w:vAlign w:val="bottom"/>
          </w:tcPr>
          <w:p>
            <w:pPr>
              <w:spacing w:after="0"/>
              <w:rPr>
                <w:sz w:val="5"/>
                <w:szCs w:val="5"/>
                <w:color w:val="auto"/>
              </w:rPr>
            </w:pPr>
          </w:p>
        </w:tc>
        <w:tc>
          <w:tcPr>
            <w:tcW w:w="380" w:type="dxa"/>
            <w:vAlign w:val="bottom"/>
            <w:vMerge w:val="restart"/>
          </w:tcPr>
          <w:p>
            <w:pPr>
              <w:ind w:left="300"/>
              <w:spacing w:after="0" w:line="128" w:lineRule="exact"/>
              <w:rPr>
                <w:sz w:val="20"/>
                <w:szCs w:val="20"/>
                <w:color w:val="auto"/>
              </w:rPr>
            </w:pPr>
            <w:r>
              <w:rPr>
                <w:rFonts w:ascii="Arial" w:cs="Arial" w:eastAsia="Arial" w:hAnsi="Arial"/>
                <w:sz w:val="12"/>
                <w:szCs w:val="12"/>
                <w:color w:val="auto"/>
              </w:rPr>
              <w:t> </w:t>
            </w:r>
          </w:p>
        </w:tc>
        <w:tc>
          <w:tcPr>
            <w:tcW w:w="1500" w:type="dxa"/>
            <w:vAlign w:val="bottom"/>
            <w:vMerge w:val="restart"/>
          </w:tcPr>
          <w:p>
            <w:pPr>
              <w:ind w:left="40"/>
              <w:spacing w:after="0" w:line="128" w:lineRule="exact"/>
              <w:rPr>
                <w:sz w:val="20"/>
                <w:szCs w:val="20"/>
                <w:color w:val="auto"/>
              </w:rPr>
            </w:pPr>
            <w:r>
              <w:rPr>
                <w:rFonts w:ascii="Times New Roman" w:cs="Times New Roman" w:eastAsia="Times New Roman" w:hAnsi="Times New Roman"/>
                <w:sz w:val="12"/>
                <w:szCs w:val="12"/>
                <w:b w:val="1"/>
                <w:bCs w:val="1"/>
                <w:color w:val="00254F"/>
              </w:rPr>
              <w:t>91%</w:t>
            </w:r>
          </w:p>
        </w:tc>
        <w:tc>
          <w:tcPr>
            <w:tcW w:w="540" w:type="dxa"/>
            <w:vAlign w:val="bottom"/>
            <w:vMerge w:val="restart"/>
          </w:tcPr>
          <w:p>
            <w:pPr>
              <w:ind w:left="100"/>
              <w:spacing w:after="0" w:line="128" w:lineRule="exact"/>
              <w:rPr>
                <w:sz w:val="20"/>
                <w:szCs w:val="20"/>
                <w:color w:val="auto"/>
              </w:rPr>
            </w:pPr>
            <w:r>
              <w:rPr>
                <w:rFonts w:ascii="Arial" w:cs="Arial" w:eastAsia="Arial" w:hAnsi="Arial"/>
                <w:sz w:val="12"/>
                <w:szCs w:val="12"/>
                <w:color w:val="auto"/>
              </w:rPr>
              <w:t> </w:t>
            </w:r>
          </w:p>
        </w:tc>
        <w:tc>
          <w:tcPr>
            <w:tcW w:w="320" w:type="dxa"/>
            <w:vAlign w:val="bottom"/>
            <w:vMerge w:val="restart"/>
          </w:tcPr>
          <w:p>
            <w:pPr>
              <w:ind w:left="240"/>
              <w:spacing w:after="0" w:line="128" w:lineRule="exact"/>
              <w:rPr>
                <w:sz w:val="20"/>
                <w:szCs w:val="20"/>
                <w:color w:val="auto"/>
              </w:rPr>
            </w:pPr>
            <w:r>
              <w:rPr>
                <w:rFonts w:ascii="Arial" w:cs="Arial" w:eastAsia="Arial" w:hAnsi="Arial"/>
                <w:sz w:val="12"/>
                <w:szCs w:val="12"/>
                <w:color w:val="auto"/>
              </w:rPr>
              <w:t> </w:t>
            </w:r>
          </w:p>
        </w:tc>
        <w:tc>
          <w:tcPr>
            <w:tcW w:w="1560" w:type="dxa"/>
            <w:vAlign w:val="bottom"/>
            <w:vMerge w:val="restart"/>
          </w:tcPr>
          <w:p>
            <w:pPr>
              <w:ind w:left="40"/>
              <w:spacing w:after="0" w:line="128" w:lineRule="exact"/>
              <w:rPr>
                <w:sz w:val="20"/>
                <w:szCs w:val="20"/>
                <w:color w:val="auto"/>
              </w:rPr>
            </w:pPr>
            <w:r>
              <w:rPr>
                <w:rFonts w:ascii="Times New Roman" w:cs="Times New Roman" w:eastAsia="Times New Roman" w:hAnsi="Times New Roman"/>
                <w:sz w:val="12"/>
                <w:szCs w:val="12"/>
                <w:b w:val="1"/>
                <w:bCs w:val="1"/>
                <w:color w:val="00254F"/>
              </w:rPr>
              <w:t>45%</w:t>
            </w:r>
          </w:p>
        </w:tc>
        <w:tc>
          <w:tcPr>
            <w:tcW w:w="480" w:type="dxa"/>
            <w:vAlign w:val="bottom"/>
            <w:vMerge w:val="restart"/>
          </w:tcPr>
          <w:p>
            <w:pPr>
              <w:ind w:left="40"/>
              <w:spacing w:after="0" w:line="128" w:lineRule="exact"/>
              <w:rPr>
                <w:sz w:val="20"/>
                <w:szCs w:val="20"/>
                <w:color w:val="auto"/>
              </w:rPr>
            </w:pPr>
            <w:r>
              <w:rPr>
                <w:rFonts w:ascii="Arial" w:cs="Arial" w:eastAsia="Arial" w:hAnsi="Arial"/>
                <w:sz w:val="12"/>
                <w:szCs w:val="12"/>
                <w:color w:val="auto"/>
              </w:rPr>
              <w:t> </w:t>
            </w:r>
          </w:p>
        </w:tc>
        <w:tc>
          <w:tcPr>
            <w:tcW w:w="360" w:type="dxa"/>
            <w:vAlign w:val="bottom"/>
            <w:vMerge w:val="restart"/>
          </w:tcPr>
          <w:p>
            <w:pPr>
              <w:ind w:left="280"/>
              <w:spacing w:after="0" w:line="128" w:lineRule="exact"/>
              <w:rPr>
                <w:sz w:val="20"/>
                <w:szCs w:val="20"/>
                <w:color w:val="auto"/>
              </w:rPr>
            </w:pPr>
            <w:r>
              <w:rPr>
                <w:rFonts w:ascii="Arial" w:cs="Arial" w:eastAsia="Arial" w:hAnsi="Arial"/>
                <w:sz w:val="12"/>
                <w:szCs w:val="12"/>
                <w:color w:val="auto"/>
              </w:rPr>
              <w:t> </w:t>
            </w:r>
          </w:p>
        </w:tc>
        <w:tc>
          <w:tcPr>
            <w:tcW w:w="2160" w:type="dxa"/>
            <w:vAlign w:val="bottom"/>
            <w:vMerge w:val="restart"/>
          </w:tcPr>
          <w:p>
            <w:pPr>
              <w:ind w:left="40"/>
              <w:spacing w:after="0" w:line="128" w:lineRule="exact"/>
              <w:rPr>
                <w:sz w:val="20"/>
                <w:szCs w:val="20"/>
                <w:color w:val="auto"/>
              </w:rPr>
            </w:pPr>
            <w:r>
              <w:rPr>
                <w:rFonts w:ascii="Times New Roman" w:cs="Times New Roman" w:eastAsia="Times New Roman" w:hAnsi="Times New Roman"/>
                <w:sz w:val="12"/>
                <w:szCs w:val="12"/>
                <w:b w:val="1"/>
                <w:bCs w:val="1"/>
                <w:color w:val="00254F"/>
              </w:rPr>
              <w:t>36%</w:t>
            </w:r>
          </w:p>
        </w:tc>
        <w:tc>
          <w:tcPr>
            <w:tcW w:w="460" w:type="dxa"/>
            <w:vAlign w:val="bottom"/>
            <w:vMerge w:val="restart"/>
          </w:tcPr>
          <w:p>
            <w:pPr>
              <w:spacing w:after="0" w:line="128" w:lineRule="exact"/>
              <w:rPr>
                <w:sz w:val="20"/>
                <w:szCs w:val="20"/>
                <w:color w:val="auto"/>
              </w:rPr>
            </w:pPr>
            <w:r>
              <w:rPr>
                <w:rFonts w:ascii="Arial" w:cs="Arial" w:eastAsia="Arial" w:hAnsi="Arial"/>
                <w:sz w:val="12"/>
                <w:szCs w:val="12"/>
                <w:color w:val="auto"/>
              </w:rPr>
              <w:t> </w:t>
            </w:r>
          </w:p>
        </w:tc>
        <w:tc>
          <w:tcPr>
            <w:tcW w:w="3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4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216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32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153"/>
        </w:trPr>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00" w:type="dxa"/>
            <w:vAlign w:val="bottom"/>
          </w:tcPr>
          <w:p>
            <w:pPr>
              <w:ind w:left="40"/>
              <w:spacing w:after="0"/>
              <w:rPr>
                <w:sz w:val="20"/>
                <w:szCs w:val="20"/>
                <w:color w:val="auto"/>
              </w:rPr>
            </w:pPr>
            <w:r>
              <w:rPr>
                <w:rFonts w:ascii="Arial" w:cs="Arial" w:eastAsia="Arial" w:hAnsi="Arial"/>
                <w:sz w:val="12"/>
                <w:szCs w:val="12"/>
                <w:color w:val="auto"/>
              </w:rPr>
              <w:t>Marketing and Distribution</w:t>
            </w: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60" w:type="dxa"/>
            <w:vAlign w:val="bottom"/>
          </w:tcPr>
          <w:p>
            <w:pPr>
              <w:ind w:left="40"/>
              <w:spacing w:after="0"/>
              <w:rPr>
                <w:sz w:val="20"/>
                <w:szCs w:val="20"/>
                <w:color w:val="auto"/>
              </w:rPr>
            </w:pPr>
            <w:r>
              <w:rPr>
                <w:rFonts w:ascii="Arial" w:cs="Arial" w:eastAsia="Arial" w:hAnsi="Arial"/>
                <w:sz w:val="12"/>
                <w:szCs w:val="12"/>
                <w:color w:val="auto"/>
                <w:w w:val="99"/>
              </w:rPr>
              <w:t>Government and Regulatory</w:t>
            </w: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160" w:type="dxa"/>
            <w:vAlign w:val="bottom"/>
          </w:tcPr>
          <w:p>
            <w:pPr>
              <w:ind w:left="40"/>
              <w:spacing w:after="0"/>
              <w:rPr>
                <w:sz w:val="20"/>
                <w:szCs w:val="20"/>
                <w:color w:val="auto"/>
              </w:rPr>
            </w:pPr>
            <w:r>
              <w:rPr>
                <w:rFonts w:ascii="Arial" w:cs="Arial" w:eastAsia="Arial" w:hAnsi="Arial"/>
                <w:sz w:val="12"/>
                <w:szCs w:val="12"/>
                <w:color w:val="auto"/>
              </w:rPr>
              <w:t>Technology</w:t>
            </w:r>
          </w:p>
        </w:tc>
        <w:tc>
          <w:tcPr>
            <w:tcW w:w="460" w:type="dxa"/>
            <w:vAlign w:val="bottom"/>
          </w:tcPr>
          <w:p>
            <w:pPr>
              <w:spacing w:after="0"/>
              <w:rPr>
                <w:sz w:val="13"/>
                <w:szCs w:val="13"/>
                <w:color w:val="auto"/>
              </w:rPr>
            </w:pPr>
          </w:p>
        </w:tc>
        <w:tc>
          <w:tcPr>
            <w:tcW w:w="3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1483995</wp:posOffset>
            </wp:positionH>
            <wp:positionV relativeFrom="paragraph">
              <wp:posOffset>-1031240</wp:posOffset>
            </wp:positionV>
            <wp:extent cx="277495" cy="3651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7495" cy="365125"/>
                    </a:xfrm>
                    <a:prstGeom prst="rect">
                      <a:avLst/>
                    </a:prstGeom>
                    <a:noFill/>
                  </pic:spPr>
                </pic:pic>
              </a:graphicData>
            </a:graphic>
          </wp:anchor>
        </w:drawing>
        <w:drawing>
          <wp:anchor simplePos="0" relativeHeight="251657728" behindDoc="1" locked="0" layoutInCell="0" allowOverlap="1">
            <wp:simplePos x="0" y="0"/>
            <wp:positionH relativeFrom="column">
              <wp:posOffset>2983865</wp:posOffset>
            </wp:positionH>
            <wp:positionV relativeFrom="paragraph">
              <wp:posOffset>-1031240</wp:posOffset>
            </wp:positionV>
            <wp:extent cx="277495" cy="3251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7495" cy="3251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-570865</wp:posOffset>
            </wp:positionV>
            <wp:extent cx="277495" cy="3016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7495" cy="301625"/>
                    </a:xfrm>
                    <a:prstGeom prst="rect">
                      <a:avLst/>
                    </a:prstGeom>
                    <a:noFill/>
                  </pic:spPr>
                </pic:pic>
              </a:graphicData>
            </a:graphic>
          </wp:anchor>
        </w:drawing>
        <w:drawing>
          <wp:anchor simplePos="0" relativeHeight="251657728" behindDoc="1" locked="0" layoutInCell="0" allowOverlap="1">
            <wp:simplePos x="0" y="0"/>
            <wp:positionH relativeFrom="column">
              <wp:posOffset>1483995</wp:posOffset>
            </wp:positionH>
            <wp:positionV relativeFrom="paragraph">
              <wp:posOffset>-570865</wp:posOffset>
            </wp:positionV>
            <wp:extent cx="277495" cy="309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7495" cy="309245"/>
                    </a:xfrm>
                    <a:prstGeom prst="rect">
                      <a:avLst/>
                    </a:prstGeom>
                    <a:noFill/>
                  </pic:spPr>
                </pic:pic>
              </a:graphicData>
            </a:graphic>
          </wp:anchor>
        </w:drawing>
        <w:drawing>
          <wp:anchor simplePos="0" relativeHeight="251657728" behindDoc="1" locked="0" layoutInCell="0" allowOverlap="1">
            <wp:simplePos x="0" y="0"/>
            <wp:positionH relativeFrom="column">
              <wp:posOffset>2983865</wp:posOffset>
            </wp:positionH>
            <wp:positionV relativeFrom="paragraph">
              <wp:posOffset>-570865</wp:posOffset>
            </wp:positionV>
            <wp:extent cx="277495" cy="309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7495" cy="3092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-165735</wp:posOffset>
            </wp:positionV>
            <wp:extent cx="277495" cy="3333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7495" cy="333375"/>
                    </a:xfrm>
                    <a:prstGeom prst="rect">
                      <a:avLst/>
                    </a:prstGeom>
                    <a:noFill/>
                  </pic:spPr>
                </pic:pic>
              </a:graphicData>
            </a:graphic>
          </wp:anchor>
        </w:drawing>
        <w:drawing>
          <wp:anchor simplePos="0" relativeHeight="251657728" behindDoc="1" locked="0" layoutInCell="0" allowOverlap="1">
            <wp:simplePos x="0" y="0"/>
            <wp:positionH relativeFrom="column">
              <wp:posOffset>1483995</wp:posOffset>
            </wp:positionH>
            <wp:positionV relativeFrom="paragraph">
              <wp:posOffset>-165735</wp:posOffset>
            </wp:positionV>
            <wp:extent cx="277495" cy="261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7495" cy="261620"/>
                    </a:xfrm>
                    <a:prstGeom prst="rect">
                      <a:avLst/>
                    </a:prstGeom>
                    <a:noFill/>
                  </pic:spPr>
                </pic:pic>
              </a:graphicData>
            </a:graphic>
          </wp:anchor>
        </w:drawing>
        <w:drawing>
          <wp:anchor simplePos="0" relativeHeight="251657728" behindDoc="1" locked="0" layoutInCell="0" allowOverlap="1">
            <wp:simplePos x="0" y="0"/>
            <wp:positionH relativeFrom="column">
              <wp:posOffset>2983865</wp:posOffset>
            </wp:positionH>
            <wp:positionV relativeFrom="paragraph">
              <wp:posOffset>-165735</wp:posOffset>
            </wp:positionV>
            <wp:extent cx="277495" cy="309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7495" cy="309245"/>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ind w:left="440"/>
              <w:spacing w:after="0"/>
              <w:rPr>
                <w:sz w:val="20"/>
                <w:szCs w:val="20"/>
                <w:color w:val="auto"/>
              </w:rPr>
            </w:pPr>
            <w:r>
              <w:rPr>
                <w:rFonts w:ascii="Arial" w:cs="Arial" w:eastAsia="Arial" w:hAnsi="Arial"/>
                <w:sz w:val="12"/>
                <w:szCs w:val="12"/>
                <w:color w:val="auto"/>
              </w:rPr>
              <w:t> </w:t>
            </w:r>
          </w:p>
        </w:tc>
        <w:tc>
          <w:tcPr>
            <w:tcW w:w="6620" w:type="dxa"/>
            <w:vAlign w:val="bottom"/>
            <w:gridSpan w:val="2"/>
          </w:tcPr>
          <w:p>
            <w:pPr>
              <w:ind w:left="520"/>
              <w:spacing w:after="0"/>
              <w:rPr>
                <w:sz w:val="20"/>
                <w:szCs w:val="20"/>
                <w:color w:val="auto"/>
              </w:rPr>
            </w:pPr>
            <w:r>
              <w:rPr>
                <w:rFonts w:ascii="Arial" w:cs="Arial" w:eastAsia="Arial" w:hAnsi="Arial"/>
                <w:sz w:val="12"/>
                <w:szCs w:val="12"/>
                <w:color w:val="auto"/>
              </w:rPr>
              <w:t> </w:t>
            </w:r>
          </w:p>
        </w:tc>
      </w:tr>
      <w:tr>
        <w:trPr>
          <w:trHeight w:val="234"/>
        </w:trPr>
        <w:tc>
          <w:tcPr>
            <w:tcW w:w="4620" w:type="dxa"/>
            <w:vAlign w:val="bottom"/>
            <w:tcBorders>
              <w:bottom w:val="single" w:sz="8" w:color="28C0DA"/>
            </w:tcBorders>
          </w:tcPr>
          <w:p>
            <w:pPr>
              <w:spacing w:after="0"/>
              <w:rPr>
                <w:sz w:val="20"/>
                <w:szCs w:val="20"/>
                <w:color w:val="auto"/>
              </w:rPr>
            </w:pPr>
            <w:r>
              <w:rPr>
                <w:rFonts w:ascii="Arial" w:cs="Arial" w:eastAsia="Arial" w:hAnsi="Arial"/>
                <w:sz w:val="17"/>
                <w:szCs w:val="17"/>
                <w:color w:val="auto"/>
              </w:rPr>
              <w:t> </w:t>
            </w:r>
          </w:p>
        </w:tc>
        <w:tc>
          <w:tcPr>
            <w:tcW w:w="5280" w:type="dxa"/>
            <w:vAlign w:val="bottom"/>
            <w:tcBorders>
              <w:bottom w:val="single" w:sz="8" w:color="28C0DA"/>
            </w:tcBorders>
          </w:tcPr>
          <w:p>
            <w:pPr>
              <w:spacing w:after="0"/>
              <w:rPr>
                <w:sz w:val="20"/>
                <w:szCs w:val="20"/>
                <w:color w:val="auto"/>
              </w:rPr>
            </w:pPr>
          </w:p>
        </w:tc>
        <w:tc>
          <w:tcPr>
            <w:tcW w:w="1340" w:type="dxa"/>
            <w:vAlign w:val="bottom"/>
            <w:tcBorders>
              <w:bottom w:val="single" w:sz="8" w:color="28C0DA"/>
            </w:tcBorders>
          </w:tcPr>
          <w:p>
            <w:pPr>
              <w:spacing w:after="0"/>
              <w:rPr>
                <w:sz w:val="20"/>
                <w:szCs w:val="20"/>
                <w:color w:val="auto"/>
              </w:rPr>
            </w:pPr>
          </w:p>
        </w:tc>
      </w:tr>
      <w:tr>
        <w:trPr>
          <w:trHeight w:val="256"/>
        </w:trPr>
        <w:tc>
          <w:tcPr>
            <w:tcW w:w="4620" w:type="dxa"/>
            <w:vAlign w:val="bottom"/>
          </w:tcPr>
          <w:p>
            <w:pPr>
              <w:ind w:left="1920"/>
              <w:spacing w:after="0"/>
              <w:rPr>
                <w:sz w:val="20"/>
                <w:szCs w:val="20"/>
                <w:color w:val="auto"/>
              </w:rPr>
            </w:pPr>
            <w:r>
              <w:rPr>
                <w:rFonts w:ascii="Arial" w:cs="Arial" w:eastAsia="Arial" w:hAnsi="Arial"/>
                <w:sz w:val="15"/>
                <w:szCs w:val="15"/>
                <w:b w:val="1"/>
                <w:bCs w:val="1"/>
                <w:color w:val="auto"/>
              </w:rPr>
              <w:t>Recommendation of the Board</w:t>
            </w:r>
          </w:p>
        </w:tc>
        <w:tc>
          <w:tcPr>
            <w:tcW w:w="5280" w:type="dxa"/>
            <w:vAlign w:val="bottom"/>
          </w:tcPr>
          <w:p>
            <w:pPr>
              <w:spacing w:after="0"/>
              <w:rPr>
                <w:sz w:val="22"/>
                <w:szCs w:val="22"/>
                <w:color w:val="auto"/>
              </w:rPr>
            </w:pPr>
          </w:p>
        </w:tc>
        <w:tc>
          <w:tcPr>
            <w:tcW w:w="1340" w:type="dxa"/>
            <w:vAlign w:val="bottom"/>
            <w:shd w:val="clear" w:color="auto" w:fill="28C0DA"/>
          </w:tcPr>
          <w:p>
            <w:pPr>
              <w:ind w:left="140"/>
              <w:spacing w:after="0"/>
              <w:rPr>
                <w:sz w:val="20"/>
                <w:szCs w:val="20"/>
                <w:color w:val="auto"/>
              </w:rPr>
            </w:pPr>
            <w:r>
              <w:rPr>
                <w:rFonts w:ascii="Arial" w:cs="Arial" w:eastAsia="Arial" w:hAnsi="Arial"/>
                <w:sz w:val="15"/>
                <w:szCs w:val="15"/>
                <w:b w:val="1"/>
                <w:bCs w:val="1"/>
                <w:color w:val="FFFFFF"/>
              </w:rPr>
              <w:t>Vote Required</w:t>
            </w:r>
          </w:p>
        </w:tc>
      </w:tr>
      <w:tr>
        <w:trPr>
          <w:trHeight w:val="31"/>
        </w:trPr>
        <w:tc>
          <w:tcPr>
            <w:tcW w:w="46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340" w:type="dxa"/>
            <w:vAlign w:val="bottom"/>
            <w:shd w:val="clear" w:color="auto" w:fill="28C0DA"/>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-213360</wp:posOffset>
            </wp:positionV>
            <wp:extent cx="7142480" cy="4127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2480" cy="412750"/>
                    </a:xfrm>
                    <a:prstGeom prst="rect">
                      <a:avLst/>
                    </a:prstGeom>
                    <a:noFill/>
                  </pic:spPr>
                </pic:pic>
              </a:graphicData>
            </a:graphic>
          </wp:anchor>
        </w:drawing>
      </w:r>
    </w:p>
    <w:p>
      <w:pPr>
        <w:ind w:left="1920"/>
        <w:spacing w:after="0"/>
        <w:rPr>
          <w:sz w:val="20"/>
          <w:szCs w:val="20"/>
          <w:color w:val="auto"/>
        </w:rPr>
      </w:pPr>
      <w:r>
        <w:rPr>
          <w:rFonts w:ascii="Arial" w:cs="Arial" w:eastAsia="Arial" w:hAnsi="Arial"/>
          <w:sz w:val="15"/>
          <w:szCs w:val="15"/>
          <w:b w:val="1"/>
          <w:bCs w:val="1"/>
          <w:color w:val="00244F"/>
        </w:rPr>
        <w:t>We recommend that you vote FOR all the director nominees under Proposal 1.</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tabs>
          <w:tab w:leader="none" w:pos="540" w:val="left"/>
          <w:tab w:leader="none" w:pos="9480" w:val="left"/>
          <w:tab w:leader="none" w:pos="11160" w:val="left"/>
        </w:tabs>
        <w:rPr>
          <w:sz w:val="20"/>
          <w:szCs w:val="20"/>
          <w:color w:val="auto"/>
        </w:rPr>
      </w:pPr>
      <w:r>
        <w:rPr>
          <w:rFonts w:ascii="Times New Roman" w:cs="Times New Roman" w:eastAsia="Times New Roman" w:hAnsi="Times New Roman"/>
          <w:sz w:val="13"/>
          <w:szCs w:val="13"/>
          <w:b w:val="1"/>
          <w:bCs w:val="1"/>
          <w:color w:val="00254F"/>
        </w:rPr>
        <w:t> </w:t>
      </w:r>
      <w:r>
        <w:rPr>
          <w:sz w:val="20"/>
          <w:szCs w:val="20"/>
          <w:color w:val="auto"/>
        </w:rPr>
        <w:tab/>
      </w:r>
      <w:r>
        <w:rPr>
          <w:rFonts w:ascii="Times New Roman" w:cs="Times New Roman" w:eastAsia="Times New Roman" w:hAnsi="Times New Roman"/>
          <w:sz w:val="13"/>
          <w:szCs w:val="13"/>
          <w:b w:val="1"/>
          <w:bCs w:val="1"/>
          <w:color w:val="00254F"/>
        </w:rPr>
        <w:t> </w:t>
      </w:r>
      <w:r>
        <w:rPr>
          <w:sz w:val="20"/>
          <w:szCs w:val="20"/>
          <w:color w:val="auto"/>
        </w:rPr>
        <w:tab/>
      </w:r>
      <w:r>
        <w:rPr>
          <w:rFonts w:ascii="Times New Roman" w:cs="Times New Roman" w:eastAsia="Times New Roman" w:hAnsi="Times New Roman"/>
          <w:sz w:val="13"/>
          <w:szCs w:val="13"/>
          <w:b w:val="1"/>
          <w:bCs w:val="1"/>
          <w:color w:val="00254F"/>
        </w:rPr>
        <w:t xml:space="preserve">2024 </w:t>
      </w:r>
      <w:r>
        <w:rPr>
          <w:rFonts w:ascii="Times New Roman" w:cs="Times New Roman" w:eastAsia="Times New Roman" w:hAnsi="Times New Roman"/>
          <w:sz w:val="13"/>
          <w:szCs w:val="13"/>
          <w:color w:val="00254F"/>
        </w:rPr>
        <w:t>Proxy Statement</w:t>
      </w:r>
      <w:r>
        <w:rPr>
          <w:sz w:val="20"/>
          <w:szCs w:val="20"/>
          <w:color w:val="auto"/>
        </w:rPr>
        <w:tab/>
      </w:r>
      <w:r>
        <w:rPr>
          <w:rFonts w:ascii="Times New Roman" w:cs="Times New Roman" w:eastAsia="Times New Roman" w:hAnsi="Times New Roman"/>
          <w:sz w:val="12"/>
          <w:szCs w:val="12"/>
          <w:b w:val="1"/>
          <w:bCs w:val="1"/>
          <w:color w:val="00244F"/>
        </w:rPr>
        <w:t>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571500" cy="2222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1500" cy="222250"/>
                    </a:xfrm>
                    <a:prstGeom prst="rect">
                      <a:avLst/>
                    </a:prstGeom>
                    <a:noFill/>
                  </pic:spPr>
                </pic:pic>
              </a:graphicData>
            </a:graphic>
          </wp:anchor>
        </w:drawing>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FFFFFF"/>
        </w:rPr>
        <w:t>Proposal 2</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5"/>
          <w:szCs w:val="5"/>
          <w:color w:val="auto"/>
        </w:rPr>
        <w:t> </w:t>
      </w:r>
    </w:p>
    <w:p>
      <w:pPr>
        <w:spacing w:after="0" w:line="238" w:lineRule="auto"/>
        <w:rPr>
          <w:sz w:val="20"/>
          <w:szCs w:val="20"/>
          <w:color w:val="auto"/>
        </w:rPr>
      </w:pPr>
      <w:r>
        <w:rPr>
          <w:rFonts w:ascii="Times New Roman" w:cs="Times New Roman" w:eastAsia="Times New Roman" w:hAnsi="Times New Roman"/>
          <w:sz w:val="30"/>
          <w:szCs w:val="30"/>
          <w:b w:val="1"/>
          <w:bCs w:val="1"/>
          <w:color w:val="00254F"/>
        </w:rPr>
        <w:t>Advisory Vote on the Compensation Paid to Our Named Executive Officers</w:t>
      </w:r>
    </w:p>
    <w:p>
      <w:pPr>
        <w:spacing w:after="0" w:line="226" w:lineRule="auto"/>
        <w:rPr>
          <w:sz w:val="20"/>
          <w:szCs w:val="20"/>
          <w:color w:val="auto"/>
        </w:rPr>
      </w:pPr>
      <w:r>
        <w:rPr>
          <w:rFonts w:ascii="Times New Roman" w:cs="Times New Roman" w:eastAsia="Times New Roman" w:hAnsi="Times New Roman"/>
          <w:sz w:val="8"/>
          <w:szCs w:val="8"/>
          <w:color w:val="auto"/>
        </w:rPr>
        <w:t> </w:t>
      </w:r>
    </w:p>
    <w:p>
      <w:pPr>
        <w:spacing w:after="0"/>
        <w:rPr>
          <w:sz w:val="20"/>
          <w:szCs w:val="20"/>
          <w:color w:val="auto"/>
        </w:rPr>
      </w:pPr>
      <w:r>
        <w:rPr>
          <w:rFonts w:ascii="Arial" w:cs="Arial" w:eastAsia="Arial" w:hAnsi="Arial"/>
          <w:sz w:val="12"/>
          <w:szCs w:val="12"/>
          <w:color w:val="auto"/>
        </w:rPr>
        <w:t>Our Named Executive Officers' (NEOs) compensation is straight-forward, goal oriented, long-term focused, transparent, and aligned with the interests of our stockholders.</w:t>
      </w:r>
    </w:p>
    <w:p>
      <w:pPr>
        <w:spacing w:after="0" w:line="227" w:lineRule="auto"/>
        <w:rPr>
          <w:sz w:val="20"/>
          <w:szCs w:val="20"/>
          <w:color w:val="auto"/>
        </w:rPr>
      </w:pPr>
      <w:r>
        <w:rPr>
          <w:rFonts w:ascii="Arial" w:cs="Arial" w:eastAsia="Arial" w:hAnsi="Arial"/>
          <w:sz w:val="8"/>
          <w:szCs w:val="8"/>
          <w:color w:val="auto"/>
        </w:rPr>
        <w:t> </w:t>
      </w:r>
    </w:p>
    <w:p>
      <w:pPr>
        <w:spacing w:after="0"/>
        <w:rPr>
          <w:sz w:val="20"/>
          <w:szCs w:val="20"/>
          <w:color w:val="auto"/>
        </w:rPr>
      </w:pPr>
      <w:r>
        <w:rPr>
          <w:rFonts w:ascii="Arial" w:cs="Arial" w:eastAsia="Arial" w:hAnsi="Arial"/>
          <w:sz w:val="12"/>
          <w:szCs w:val="12"/>
          <w:color w:val="auto"/>
        </w:rPr>
        <w:t>Our incentive compensation programs are designed to motivate and reward performance, as measured by several factors, including:</w:t>
      </w:r>
    </w:p>
    <w:p>
      <w:pPr>
        <w:spacing w:after="0" w:line="212" w:lineRule="auto"/>
        <w:rPr>
          <w:sz w:val="20"/>
          <w:szCs w:val="20"/>
          <w:color w:val="auto"/>
        </w:rPr>
      </w:pPr>
      <w:r>
        <w:rPr>
          <w:rFonts w:ascii="Arial" w:cs="Arial" w:eastAsia="Arial" w:hAnsi="Arial"/>
          <w:sz w:val="8"/>
          <w:szCs w:val="8"/>
          <w:color w:val="auto"/>
        </w:rPr>
        <w:t> </w:t>
      </w:r>
    </w:p>
    <w:p>
      <w:pPr>
        <w:spacing w:after="0" w:line="230" w:lineRule="auto"/>
        <w:rPr>
          <w:sz w:val="20"/>
          <w:szCs w:val="20"/>
          <w:color w:val="auto"/>
        </w:rPr>
      </w:pPr>
      <w:r>
        <w:rPr>
          <w:rFonts w:ascii="Times New Roman" w:cs="Times New Roman" w:eastAsia="Times New Roman" w:hAnsi="Times New Roman"/>
          <w:sz w:val="13"/>
          <w:szCs w:val="13"/>
          <w:color w:val="28C0DA"/>
        </w:rPr>
        <w:t>●</w:t>
      </w:r>
      <w:r>
        <w:rPr>
          <w:rFonts w:ascii="Arial" w:cs="Arial" w:eastAsia="Arial" w:hAnsi="Arial"/>
          <w:sz w:val="12"/>
          <w:szCs w:val="12"/>
          <w:color w:val="000000"/>
        </w:rPr>
        <w:t>  the financial performance and financial stability of Price Group</w:t>
      </w:r>
    </w:p>
    <w:p>
      <w:pPr>
        <w:spacing w:after="0" w:line="234" w:lineRule="auto"/>
        <w:rPr>
          <w:sz w:val="20"/>
          <w:szCs w:val="20"/>
          <w:color w:val="auto"/>
        </w:rPr>
      </w:pPr>
      <w:r>
        <w:rPr>
          <w:rFonts w:ascii="Arial" w:cs="Arial" w:eastAsia="Arial" w:hAnsi="Arial"/>
          <w:sz w:val="8"/>
          <w:szCs w:val="8"/>
          <w:color w:val="auto"/>
        </w:rPr>
        <w:t> </w:t>
      </w:r>
    </w:p>
    <w:p>
      <w:pPr>
        <w:spacing w:after="0"/>
        <w:rPr>
          <w:sz w:val="20"/>
          <w:szCs w:val="20"/>
          <w:color w:val="auto"/>
        </w:rPr>
      </w:pPr>
      <w:r>
        <w:rPr>
          <w:rFonts w:ascii="Times New Roman" w:cs="Times New Roman" w:eastAsia="Times New Roman" w:hAnsi="Times New Roman"/>
          <w:sz w:val="13"/>
          <w:szCs w:val="13"/>
          <w:color w:val="28C0DA"/>
        </w:rPr>
        <w:t>●</w:t>
      </w:r>
      <w:r>
        <w:rPr>
          <w:rFonts w:ascii="Times New Roman" w:cs="Times New Roman" w:eastAsia="Times New Roman" w:hAnsi="Times New Roman"/>
          <w:sz w:val="16"/>
          <w:szCs w:val="16"/>
          <w:color w:val="000000"/>
        </w:rPr>
        <w:t> </w:t>
      </w:r>
      <w:r>
        <w:rPr>
          <w:rFonts w:ascii="Arial" w:cs="Arial" w:eastAsia="Arial" w:hAnsi="Arial"/>
          <w:sz w:val="12"/>
          <w:szCs w:val="12"/>
          <w:color w:val="000000"/>
        </w:rPr>
        <w:t> the relative investment performance of our investment products</w:t>
      </w:r>
    </w:p>
    <w:p>
      <w:pPr>
        <w:spacing w:after="0" w:line="11" w:lineRule="exact"/>
        <w:rPr>
          <w:sz w:val="20"/>
          <w:szCs w:val="20"/>
          <w:color w:val="auto"/>
        </w:rPr>
      </w:pPr>
    </w:p>
    <w:p>
      <w:pPr>
        <w:spacing w:after="0"/>
        <w:rPr>
          <w:sz w:val="20"/>
          <w:szCs w:val="20"/>
          <w:color w:val="auto"/>
        </w:rPr>
      </w:pPr>
      <w:r>
        <w:rPr>
          <w:rFonts w:ascii="Arial" w:cs="Arial" w:eastAsia="Arial" w:hAnsi="Arial"/>
          <w:sz w:val="8"/>
          <w:szCs w:val="8"/>
          <w:color w:val="auto"/>
        </w:rPr>
        <w:t> </w:t>
      </w:r>
    </w:p>
    <w:p>
      <w:pPr>
        <w:spacing w:after="0"/>
        <w:rPr>
          <w:sz w:val="20"/>
          <w:szCs w:val="20"/>
          <w:color w:val="auto"/>
        </w:rPr>
      </w:pPr>
      <w:r>
        <w:rPr>
          <w:rFonts w:ascii="Times New Roman" w:cs="Times New Roman" w:eastAsia="Times New Roman" w:hAnsi="Times New Roman"/>
          <w:sz w:val="13"/>
          <w:szCs w:val="13"/>
          <w:color w:val="28C0DA"/>
        </w:rPr>
        <w:t>●</w:t>
      </w:r>
      <w:r>
        <w:rPr>
          <w:rFonts w:ascii="Times New Roman" w:cs="Times New Roman" w:eastAsia="Times New Roman" w:hAnsi="Times New Roman"/>
          <w:sz w:val="16"/>
          <w:szCs w:val="16"/>
          <w:color w:val="000000"/>
        </w:rPr>
        <w:t> </w:t>
      </w:r>
      <w:r>
        <w:rPr>
          <w:rFonts w:ascii="Arial" w:cs="Arial" w:eastAsia="Arial" w:hAnsi="Arial"/>
          <w:sz w:val="12"/>
          <w:szCs w:val="12"/>
          <w:color w:val="000000"/>
        </w:rPr>
        <w:t> the performance of our NEOs against the corporate and individual goals established at the beginning of the year</w:t>
      </w:r>
    </w:p>
    <w:p>
      <w:pPr>
        <w:spacing w:after="0" w:line="9" w:lineRule="exact"/>
        <w:rPr>
          <w:sz w:val="20"/>
          <w:szCs w:val="20"/>
          <w:color w:val="auto"/>
        </w:rPr>
      </w:pPr>
    </w:p>
    <w:p>
      <w:pPr>
        <w:spacing w:after="0"/>
        <w:rPr>
          <w:sz w:val="20"/>
          <w:szCs w:val="20"/>
          <w:color w:val="auto"/>
        </w:rPr>
      </w:pPr>
      <w:r>
        <w:rPr>
          <w:rFonts w:ascii="Arial" w:cs="Arial" w:eastAsia="Arial" w:hAnsi="Arial"/>
          <w:sz w:val="8"/>
          <w:szCs w:val="8"/>
          <w:color w:val="auto"/>
        </w:rPr>
        <w:t> </w:t>
      </w:r>
    </w:p>
    <w:p>
      <w:pPr>
        <w:ind w:right="640"/>
        <w:spacing w:after="0" w:line="239" w:lineRule="auto"/>
        <w:rPr>
          <w:sz w:val="20"/>
          <w:szCs w:val="20"/>
          <w:color w:val="auto"/>
        </w:rPr>
      </w:pPr>
      <w:r>
        <w:rPr>
          <w:rFonts w:ascii="Arial" w:cs="Arial" w:eastAsia="Arial" w:hAnsi="Arial"/>
          <w:sz w:val="12"/>
          <w:szCs w:val="12"/>
          <w:color w:val="auto"/>
        </w:rPr>
        <w:t>Our executive compensation programs are also designed to reward our NEOs for other important contributions to our success, including corporate integrity, service quality, customer loyalty, risk management, corporate reputation, and the quality of our team of professionals and collaboration within that team.</w:t>
      </w:r>
    </w:p>
    <w:p>
      <w:pPr>
        <w:spacing w:after="0" w:line="228" w:lineRule="auto"/>
        <w:rPr>
          <w:sz w:val="20"/>
          <w:szCs w:val="20"/>
          <w:color w:val="auto"/>
        </w:rPr>
      </w:pPr>
      <w:r>
        <w:rPr>
          <w:rFonts w:ascii="Arial" w:cs="Arial" w:eastAsia="Arial" w:hAnsi="Arial"/>
          <w:sz w:val="8"/>
          <w:szCs w:val="8"/>
          <w:color w:val="auto"/>
        </w:rPr>
        <w:t> </w:t>
      </w:r>
    </w:p>
    <w:p>
      <w:pPr>
        <w:spacing w:after="0"/>
        <w:rPr>
          <w:sz w:val="20"/>
          <w:szCs w:val="20"/>
          <w:color w:val="auto"/>
        </w:rPr>
      </w:pPr>
      <w:r>
        <w:rPr>
          <w:rFonts w:ascii="Arial" w:cs="Arial" w:eastAsia="Arial" w:hAnsi="Arial"/>
          <w:sz w:val="12"/>
          <w:szCs w:val="12"/>
          <w:color w:val="auto"/>
        </w:rPr>
        <w:t>Our long-term variable compensation creates a strong alignment of the financial interests of our NEOs directly to the long-term performance of our Company.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35" w:lineRule="exact"/>
        <w:rPr>
          <w:sz w:val="20"/>
          <w:szCs w:val="20"/>
          <w:color w:val="auto"/>
        </w:rPr>
      </w:pPr>
    </w:p>
    <w:tbl>
      <w:tblPr>
        <w:tblLayout w:type="fixed"/>
        <w:tblInd w:w="680" w:type="dxa"/>
        <w:tblCellMar>
          <w:top w:w="0" w:type="dxa"/>
          <w:left w:w="0" w:type="dxa"/>
          <w:bottom w:w="0" w:type="dxa"/>
          <w:right w:w="0" w:type="dxa"/>
        </w:tblCellMar>
      </w:tblPr>
      <w:tr>
        <w:trPr>
          <w:trHeight w:val="138"/>
        </w:trPr>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CEO</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OTHER NEOs</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FORM OF</w:t>
            </w:r>
          </w:p>
        </w:tc>
        <w:tc>
          <w:tcPr>
            <w:tcW w:w="22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PERFORMANCE PERIOD</w:t>
            </w:r>
          </w:p>
        </w:tc>
        <w:tc>
          <w:tcPr>
            <w:tcW w:w="100" w:type="dxa"/>
            <w:vAlign w:val="bottom"/>
            <w:vMerge w:val="restart"/>
          </w:tcPr>
          <w:p>
            <w:pPr>
              <w:spacing w:after="0"/>
              <w:rPr>
                <w:sz w:val="12"/>
                <w:szCs w:val="12"/>
                <w:color w:val="auto"/>
              </w:rPr>
            </w:pPr>
          </w:p>
        </w:tc>
        <w:tc>
          <w:tcPr>
            <w:tcW w:w="3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PERFORMANCE ALIGNMENT</w:t>
            </w:r>
          </w:p>
        </w:tc>
        <w:tc>
          <w:tcPr>
            <w:tcW w:w="0" w:type="dxa"/>
            <w:vAlign w:val="bottom"/>
          </w:tcPr>
          <w:p>
            <w:pPr>
              <w:spacing w:after="0"/>
              <w:rPr>
                <w:sz w:val="1"/>
                <w:szCs w:val="1"/>
                <w:color w:val="auto"/>
              </w:rPr>
            </w:pPr>
          </w:p>
        </w:tc>
      </w:tr>
      <w:tr>
        <w:trPr>
          <w:trHeight w:val="143"/>
        </w:trPr>
        <w:tc>
          <w:tcPr>
            <w:tcW w:w="146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COMPENSATION</w:t>
            </w:r>
          </w:p>
        </w:tc>
        <w:tc>
          <w:tcPr>
            <w:tcW w:w="100" w:type="dxa"/>
            <w:vAlign w:val="bottom"/>
          </w:tcPr>
          <w:p>
            <w:pPr>
              <w:spacing w:after="0"/>
              <w:rPr>
                <w:sz w:val="12"/>
                <w:szCs w:val="12"/>
                <w:color w:val="auto"/>
              </w:rPr>
            </w:pPr>
          </w:p>
        </w:tc>
        <w:tc>
          <w:tcPr>
            <w:tcW w:w="136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COMPENSATION</w:t>
            </w:r>
          </w:p>
        </w:tc>
        <w:tc>
          <w:tcPr>
            <w:tcW w:w="120" w:type="dxa"/>
            <w:vAlign w:val="bottom"/>
          </w:tcPr>
          <w:p>
            <w:pPr>
              <w:spacing w:after="0"/>
              <w:rPr>
                <w:sz w:val="12"/>
                <w:szCs w:val="12"/>
                <w:color w:val="auto"/>
              </w:rPr>
            </w:pPr>
          </w:p>
        </w:tc>
        <w:tc>
          <w:tcPr>
            <w:tcW w:w="146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COMPENSATION</w:t>
            </w:r>
          </w:p>
        </w:tc>
        <w:tc>
          <w:tcPr>
            <w:tcW w:w="100" w:type="dxa"/>
            <w:vAlign w:val="bottom"/>
          </w:tcPr>
          <w:p>
            <w:pPr>
              <w:spacing w:after="0"/>
              <w:rPr>
                <w:sz w:val="12"/>
                <w:szCs w:val="12"/>
                <w:color w:val="auto"/>
              </w:rPr>
            </w:pPr>
          </w:p>
        </w:tc>
        <w:tc>
          <w:tcPr>
            <w:tcW w:w="226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36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2094865" cy="23888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094865" cy="2388870"/>
                    </a:xfrm>
                    <a:prstGeom prst="rect">
                      <a:avLst/>
                    </a:prstGeom>
                    <a:noFill/>
                  </pic:spPr>
                </pic:pic>
              </a:graphicData>
            </a:graphic>
          </wp:anchor>
        </w:drawing>
      </w:r>
    </w:p>
    <w:p>
      <w:pPr>
        <w:spacing w:after="0" w:line="335" w:lineRule="exact"/>
        <w:rPr>
          <w:sz w:val="20"/>
          <w:szCs w:val="20"/>
          <w:color w:val="auto"/>
        </w:rPr>
      </w:pPr>
    </w:p>
    <w:p>
      <w:pPr>
        <w:ind w:left="3760"/>
        <w:spacing w:after="0"/>
        <w:tabs>
          <w:tab w:leader="none" w:pos="5320" w:val="left"/>
          <w:tab w:leader="none" w:pos="7680" w:val="left"/>
        </w:tabs>
        <w:rPr>
          <w:sz w:val="20"/>
          <w:szCs w:val="20"/>
          <w:color w:val="auto"/>
        </w:rPr>
      </w:pPr>
      <w:r>
        <w:rPr>
          <w:rFonts w:ascii="Arial" w:cs="Arial" w:eastAsia="Arial" w:hAnsi="Arial"/>
          <w:sz w:val="13"/>
          <w:szCs w:val="13"/>
          <w:color w:val="auto"/>
        </w:rPr>
        <w:t>Cash</w:t>
      </w:r>
      <w:r>
        <w:rPr>
          <w:sz w:val="20"/>
          <w:szCs w:val="20"/>
          <w:color w:val="auto"/>
        </w:rPr>
        <w:tab/>
      </w:r>
      <w:r>
        <w:rPr>
          <w:rFonts w:ascii="Arial" w:cs="Arial" w:eastAsia="Arial" w:hAnsi="Arial"/>
          <w:sz w:val="13"/>
          <w:szCs w:val="13"/>
          <w:color w:val="auto"/>
        </w:rPr>
        <w:t>Ongoing</w:t>
      </w:r>
      <w:r>
        <w:rPr>
          <w:sz w:val="20"/>
          <w:szCs w:val="20"/>
          <w:color w:val="auto"/>
        </w:rPr>
        <w:tab/>
      </w:r>
      <w:r>
        <w:rPr>
          <w:rFonts w:ascii="Arial" w:cs="Arial" w:eastAsia="Arial" w:hAnsi="Arial"/>
          <w:sz w:val="20"/>
          <w:szCs w:val="20"/>
          <w:color w:val="28C0DA"/>
          <w:vertAlign w:val="superscript"/>
        </w:rPr>
        <w:t xml:space="preserve">•  </w:t>
      </w:r>
      <w:r>
        <w:rPr>
          <w:rFonts w:ascii="Arial" w:cs="Arial" w:eastAsia="Arial" w:hAnsi="Arial"/>
          <w:sz w:val="20"/>
          <w:szCs w:val="20"/>
          <w:color w:val="000000"/>
          <w:vertAlign w:val="superscript"/>
        </w:rPr>
        <w:t>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192405</wp:posOffset>
            </wp:positionV>
            <wp:extent cx="671385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13855" cy="7620"/>
                    </a:xfrm>
                    <a:prstGeom prst="rect">
                      <a:avLst/>
                    </a:prstGeom>
                    <a:noFill/>
                  </pic:spPr>
                </pic:pic>
              </a:graphicData>
            </a:graphic>
          </wp:anchor>
        </w:drawing>
      </w:r>
    </w:p>
    <w:p>
      <w:pPr>
        <w:sectPr>
          <w:pgSz w:w="11900" w:h="16838" w:orient="portrait"/>
          <w:cols w:equalWidth="0" w:num="1">
            <w:col w:w="11260"/>
          </w:cols>
          <w:pgMar w:left="320" w:top="223"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60"/>
        <w:spacing w:after="0"/>
        <w:rPr>
          <w:sz w:val="20"/>
          <w:szCs w:val="20"/>
          <w:color w:val="auto"/>
        </w:rPr>
      </w:pPr>
      <w:r>
        <w:rPr>
          <w:rFonts w:ascii="Arial" w:cs="Arial" w:eastAsia="Arial" w:hAnsi="Arial"/>
          <w:sz w:val="13"/>
          <w:szCs w:val="13"/>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274955</wp:posOffset>
            </wp:positionV>
            <wp:extent cx="285686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56865" cy="7620"/>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-295910</wp:posOffset>
            </wp:positionV>
            <wp:extent cx="499745" cy="4997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000000"/>
                        </a:clrFrom>
                        <a:clrTo>
                          <a:srgbClr val="000000">
                            <a:alpha val="0"/>
                          </a:srgbClr>
                        </a:clrTo>
                      </a:clrChange>
                      <a:extLst>
                        <a:ext uri="{28A0092B-C50C-407E-A947-70E740481C1C}"/>
                      </a:extLst>
                    </a:blip>
                    <a:srcRect/>
                    <a:stretch>
                      <a:fillRect/>
                    </a:stretch>
                  </pic:blipFill>
                  <pic:spPr bwMode="auto">
                    <a:xfrm>
                      <a:off x="0" y="0"/>
                      <a:ext cx="499745" cy="49974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-295910</wp:posOffset>
            </wp:positionV>
            <wp:extent cx="499745" cy="4997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499745" cy="499745"/>
                    </a:xfrm>
                    <a:prstGeom prst="rect">
                      <a:avLst/>
                    </a:prstGeom>
                    <a:noFill/>
                  </pic:spPr>
                </pic:pic>
              </a:graphicData>
            </a:graphic>
          </wp:anchor>
        </w:drawing>
        <w:drawing>
          <wp:anchor simplePos="0" relativeHeight="251657728" behindDoc="1" locked="0" layoutInCell="0" allowOverlap="1">
            <wp:simplePos x="0" y="0"/>
            <wp:positionH relativeFrom="column">
              <wp:posOffset>1595120</wp:posOffset>
            </wp:positionH>
            <wp:positionV relativeFrom="paragraph">
              <wp:posOffset>-295910</wp:posOffset>
            </wp:positionV>
            <wp:extent cx="499745" cy="4997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000000"/>
                        </a:clrFrom>
                        <a:clrTo>
                          <a:srgbClr val="000000">
                            <a:alpha val="0"/>
                          </a:srgbClr>
                        </a:clrTo>
                      </a:clrChange>
                      <a:extLst>
                        <a:ext uri="{28A0092B-C50C-407E-A947-70E740481C1C}"/>
                      </a:extLst>
                    </a:blip>
                    <a:srcRect/>
                    <a:stretch>
                      <a:fillRect/>
                    </a:stretch>
                  </pic:blipFill>
                  <pic:spPr bwMode="auto">
                    <a:xfrm>
                      <a:off x="0" y="0"/>
                      <a:ext cx="499745" cy="499745"/>
                    </a:xfrm>
                    <a:prstGeom prst="rect">
                      <a:avLst/>
                    </a:prstGeom>
                    <a:noFill/>
                  </pic:spPr>
                </pic:pic>
              </a:graphicData>
            </a:graphic>
          </wp:anchor>
        </w:drawing>
        <w:drawing>
          <wp:anchor simplePos="0" relativeHeight="251657728" behindDoc="1" locked="0" layoutInCell="0" allowOverlap="1">
            <wp:simplePos x="0" y="0"/>
            <wp:positionH relativeFrom="column">
              <wp:posOffset>1595120</wp:posOffset>
            </wp:positionH>
            <wp:positionV relativeFrom="paragraph">
              <wp:posOffset>-295910</wp:posOffset>
            </wp:positionV>
            <wp:extent cx="499745" cy="4997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499745" cy="49974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3760"/>
        <w:spacing w:after="0"/>
        <w:rPr>
          <w:sz w:val="20"/>
          <w:szCs w:val="20"/>
          <w:color w:val="auto"/>
        </w:rPr>
      </w:pPr>
      <w:r>
        <w:rPr>
          <w:rFonts w:ascii="Arial" w:cs="Arial" w:eastAsia="Arial" w:hAnsi="Arial"/>
          <w:sz w:val="13"/>
          <w:szCs w:val="13"/>
          <w:color w:val="auto"/>
        </w:rPr>
        <w:t>Performance Stock</w:t>
      </w:r>
    </w:p>
    <w:p>
      <w:pPr>
        <w:spacing w:after="0" w:line="12" w:lineRule="exact"/>
        <w:rPr>
          <w:sz w:val="20"/>
          <w:szCs w:val="20"/>
          <w:color w:val="auto"/>
        </w:rPr>
      </w:pPr>
    </w:p>
    <w:p>
      <w:pPr>
        <w:ind w:left="3760"/>
        <w:spacing w:after="0"/>
        <w:rPr>
          <w:sz w:val="20"/>
          <w:szCs w:val="20"/>
          <w:color w:val="auto"/>
        </w:rPr>
      </w:pPr>
      <w:r>
        <w:rPr>
          <w:rFonts w:ascii="Arial" w:cs="Arial" w:eastAsia="Arial" w:hAnsi="Arial"/>
          <w:sz w:val="13"/>
          <w:szCs w:val="13"/>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37465</wp:posOffset>
            </wp:positionV>
            <wp:extent cx="2650490" cy="4997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50490" cy="49974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37465</wp:posOffset>
            </wp:positionV>
            <wp:extent cx="2650490" cy="4997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50490" cy="499745"/>
                    </a:xfrm>
                    <a:prstGeom prst="rect">
                      <a:avLst/>
                    </a:prstGeom>
                    <a:noFill/>
                  </pic:spPr>
                </pic:pic>
              </a:graphicData>
            </a:graphic>
          </wp:anchor>
        </w:drawing>
      </w:r>
    </w:p>
    <w:p>
      <w:pPr>
        <w:spacing w:after="0" w:line="268" w:lineRule="exact"/>
        <w:rPr>
          <w:sz w:val="20"/>
          <w:szCs w:val="20"/>
          <w:color w:val="auto"/>
        </w:rPr>
      </w:pPr>
    </w:p>
    <w:p>
      <w:pPr>
        <w:ind w:left="3760"/>
        <w:spacing w:after="0"/>
        <w:rPr>
          <w:sz w:val="20"/>
          <w:szCs w:val="20"/>
          <w:color w:val="auto"/>
        </w:rPr>
      </w:pPr>
      <w:r>
        <w:rPr>
          <w:rFonts w:ascii="Arial" w:cs="Arial" w:eastAsia="Arial" w:hAnsi="Arial"/>
          <w:sz w:val="13"/>
          <w:szCs w:val="13"/>
          <w:color w:val="auto"/>
        </w:rPr>
        <w:t>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2357120</wp:posOffset>
            </wp:positionH>
            <wp:positionV relativeFrom="paragraph">
              <wp:posOffset>84455</wp:posOffset>
            </wp:positionV>
            <wp:extent cx="92837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28370" cy="7620"/>
                    </a:xfrm>
                    <a:prstGeom prst="rect">
                      <a:avLst/>
                    </a:prstGeom>
                    <a:noFill/>
                  </pic:spPr>
                </pic:pic>
              </a:graphicData>
            </a:graphic>
          </wp:anchor>
        </w:drawing>
      </w:r>
    </w:p>
    <w:p>
      <w:pPr>
        <w:spacing w:after="0" w:line="243" w:lineRule="exact"/>
        <w:rPr>
          <w:sz w:val="20"/>
          <w:szCs w:val="20"/>
          <w:color w:val="auto"/>
        </w:rPr>
      </w:pPr>
    </w:p>
    <w:p>
      <w:pPr>
        <w:jc w:val="center"/>
        <w:ind w:left="3520"/>
        <w:spacing w:after="0"/>
        <w:rPr>
          <w:sz w:val="20"/>
          <w:szCs w:val="20"/>
          <w:color w:val="auto"/>
        </w:rPr>
      </w:pPr>
      <w:r>
        <w:rPr>
          <w:rFonts w:ascii="Arial" w:cs="Arial" w:eastAsia="Arial" w:hAnsi="Arial"/>
          <w:sz w:val="13"/>
          <w:szCs w:val="13"/>
          <w:color w:val="auto"/>
        </w:rPr>
        <w:t>Mutual Fund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2357120</wp:posOffset>
            </wp:positionH>
            <wp:positionV relativeFrom="paragraph">
              <wp:posOffset>84455</wp:posOffset>
            </wp:positionV>
            <wp:extent cx="92837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28370" cy="7620"/>
                    </a:xfrm>
                    <a:prstGeom prst="rect">
                      <a:avLst/>
                    </a:prstGeom>
                    <a:noFill/>
                  </pic:spPr>
                </pic:pic>
              </a:graphicData>
            </a:graphic>
          </wp:anchor>
        </w:drawing>
      </w:r>
    </w:p>
    <w:p>
      <w:pPr>
        <w:spacing w:after="0" w:line="243" w:lineRule="exact"/>
        <w:rPr>
          <w:sz w:val="20"/>
          <w:szCs w:val="20"/>
          <w:color w:val="auto"/>
        </w:rPr>
      </w:pPr>
    </w:p>
    <w:p>
      <w:pPr>
        <w:ind w:left="3760"/>
        <w:spacing w:after="0"/>
        <w:rPr>
          <w:sz w:val="20"/>
          <w:szCs w:val="20"/>
          <w:color w:val="auto"/>
        </w:rPr>
      </w:pPr>
      <w:r>
        <w:rPr>
          <w:rFonts w:ascii="Arial" w:cs="Arial" w:eastAsia="Arial" w:hAnsi="Arial"/>
          <w:sz w:val="13"/>
          <w:szCs w:val="13"/>
          <w:color w:val="auto"/>
        </w:rPr>
        <w:t>Carried Interest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3"/>
          <w:szCs w:val="13"/>
          <w:color w:val="auto"/>
        </w:rPr>
        <w:t>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274955</wp:posOffset>
            </wp:positionV>
            <wp:extent cx="142875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28750" cy="762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line="260" w:lineRule="auto"/>
        <w:rPr>
          <w:sz w:val="20"/>
          <w:szCs w:val="20"/>
          <w:color w:val="auto"/>
        </w:rPr>
      </w:pPr>
      <w:r>
        <w:rPr>
          <w:rFonts w:ascii="Arial" w:cs="Arial" w:eastAsia="Arial" w:hAnsi="Arial"/>
          <w:sz w:val="13"/>
          <w:szCs w:val="13"/>
          <w:color w:val="auto"/>
        </w:rPr>
        <w:t>Three-year performance period then vest 50% per year over two following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37465</wp:posOffset>
            </wp:positionV>
            <wp:extent cx="142875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28750" cy="7620"/>
                    </a:xfrm>
                    <a:prstGeom prst="rect">
                      <a:avLst/>
                    </a:prstGeom>
                    <a:noFill/>
                  </pic:spPr>
                </pic:pic>
              </a:graphicData>
            </a:graphic>
          </wp:anchor>
        </w:drawing>
      </w:r>
    </w:p>
    <w:p>
      <w:pPr>
        <w:spacing w:after="0" w:line="94" w:lineRule="exact"/>
        <w:rPr>
          <w:sz w:val="20"/>
          <w:szCs w:val="20"/>
          <w:color w:val="auto"/>
        </w:rPr>
      </w:pPr>
    </w:p>
    <w:p>
      <w:pPr>
        <w:ind w:right="160"/>
        <w:spacing w:after="0" w:line="281" w:lineRule="auto"/>
        <w:rPr>
          <w:sz w:val="20"/>
          <w:szCs w:val="20"/>
          <w:color w:val="auto"/>
        </w:rPr>
      </w:pPr>
      <w:r>
        <w:rPr>
          <w:rFonts w:ascii="Arial" w:cs="Arial" w:eastAsia="Arial" w:hAnsi="Arial"/>
          <w:sz w:val="13"/>
          <w:szCs w:val="13"/>
          <w:color w:val="auto"/>
        </w:rPr>
        <w:t>Vest one-third per year over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4445</wp:posOffset>
            </wp:positionV>
            <wp:extent cx="142875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28750" cy="7620"/>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color w:val="auto"/>
        </w:rPr>
        <w:t>Pro Rata over 3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84455</wp:posOffset>
            </wp:positionV>
            <wp:extent cx="142875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28750" cy="7620"/>
                    </a:xfrm>
                    <a:prstGeom prst="rect">
                      <a:avLst/>
                    </a:prstGeom>
                    <a:noFill/>
                  </pic:spPr>
                </pic:pic>
              </a:graphicData>
            </a:graphic>
          </wp:anchor>
        </w:drawing>
      </w:r>
    </w:p>
    <w:p>
      <w:pPr>
        <w:spacing w:after="0" w:line="168" w:lineRule="exact"/>
        <w:rPr>
          <w:sz w:val="20"/>
          <w:szCs w:val="20"/>
          <w:color w:val="auto"/>
        </w:rPr>
      </w:pPr>
    </w:p>
    <w:p>
      <w:pPr>
        <w:ind w:right="520"/>
        <w:spacing w:after="0" w:line="281" w:lineRule="auto"/>
        <w:rPr>
          <w:sz w:val="20"/>
          <w:szCs w:val="20"/>
          <w:color w:val="auto"/>
        </w:rPr>
      </w:pPr>
      <w:r>
        <w:rPr>
          <w:rFonts w:ascii="Arial" w:cs="Arial" w:eastAsia="Arial" w:hAnsi="Arial"/>
          <w:sz w:val="13"/>
          <w:szCs w:val="13"/>
          <w:color w:val="auto"/>
        </w:rPr>
        <w:t>Varies based on OHA Fund performance</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ind w:left="181" w:right="640" w:hanging="181"/>
        <w:spacing w:after="0" w:line="281" w:lineRule="auto"/>
        <w:tabs>
          <w:tab w:leader="none" w:pos="159" w:val="left"/>
        </w:tabs>
        <w:numPr>
          <w:ilvl w:val="0"/>
          <w:numId w:val="12"/>
        </w:numPr>
        <w:rPr>
          <w:rFonts w:ascii="Arial" w:cs="Arial" w:eastAsia="Arial" w:hAnsi="Arial"/>
          <w:sz w:val="13"/>
          <w:szCs w:val="13"/>
          <w:color w:val="28C0DA"/>
        </w:rPr>
      </w:pPr>
      <w:r>
        <w:rPr>
          <w:rFonts w:ascii="Arial" w:cs="Arial" w:eastAsia="Arial" w:hAnsi="Arial"/>
          <w:sz w:val="13"/>
          <w:szCs w:val="13"/>
          <w:color w:val="auto"/>
        </w:rPr>
        <w:t>Maximum bonus pool cannot exceed 5% of net operating income (adjusted)</w:t>
      </w:r>
    </w:p>
    <w:p>
      <w:pPr>
        <w:spacing w:after="0" w:line="12" w:lineRule="exact"/>
        <w:rPr>
          <w:rFonts w:ascii="Arial" w:cs="Arial" w:eastAsia="Arial" w:hAnsi="Arial"/>
          <w:sz w:val="13"/>
          <w:szCs w:val="13"/>
          <w:color w:val="28C0DA"/>
        </w:rPr>
      </w:pPr>
    </w:p>
    <w:p>
      <w:pPr>
        <w:ind w:left="181" w:right="280" w:hanging="181"/>
        <w:spacing w:after="0" w:line="260" w:lineRule="auto"/>
        <w:tabs>
          <w:tab w:leader="none" w:pos="152" w:val="left"/>
        </w:tabs>
        <w:numPr>
          <w:ilvl w:val="0"/>
          <w:numId w:val="12"/>
        </w:numPr>
        <w:rPr>
          <w:rFonts w:ascii="Arial" w:cs="Arial" w:eastAsia="Arial" w:hAnsi="Arial"/>
          <w:sz w:val="13"/>
          <w:szCs w:val="13"/>
          <w:color w:val="28C0DA"/>
        </w:rPr>
      </w:pPr>
      <w:r>
        <w:rPr>
          <w:rFonts w:ascii="Arial" w:cs="Arial" w:eastAsia="Arial" w:hAnsi="Arial"/>
          <w:sz w:val="13"/>
          <w:szCs w:val="13"/>
          <w:color w:val="auto"/>
        </w:rPr>
        <w:t>Actual NEO bonus amounts based on Company performance against financial and strategic goals, as well as individual performance</w:t>
      </w:r>
    </w:p>
    <w:p>
      <w:pPr>
        <w:spacing w:after="0" w:line="114" w:lineRule="exact"/>
        <w:rPr>
          <w:rFonts w:ascii="Arial" w:cs="Arial" w:eastAsia="Arial" w:hAnsi="Arial"/>
          <w:sz w:val="13"/>
          <w:szCs w:val="13"/>
          <w:color w:val="28C0DA"/>
        </w:rPr>
      </w:pPr>
    </w:p>
    <w:p>
      <w:pPr>
        <w:ind w:left="181" w:right="100" w:hanging="181"/>
        <w:spacing w:after="0" w:line="281" w:lineRule="auto"/>
        <w:tabs>
          <w:tab w:leader="none" w:pos="159" w:val="left"/>
        </w:tabs>
        <w:numPr>
          <w:ilvl w:val="0"/>
          <w:numId w:val="12"/>
        </w:numPr>
        <w:rPr>
          <w:rFonts w:ascii="Arial" w:cs="Arial" w:eastAsia="Arial" w:hAnsi="Arial"/>
          <w:sz w:val="13"/>
          <w:szCs w:val="13"/>
          <w:color w:val="28C0DA"/>
        </w:rPr>
      </w:pPr>
      <w:r>
        <w:rPr>
          <w:rFonts w:ascii="Arial" w:cs="Arial" w:eastAsia="Arial" w:hAnsi="Arial"/>
          <w:sz w:val="13"/>
          <w:szCs w:val="13"/>
          <w:color w:val="auto"/>
        </w:rPr>
        <w:t>Company operating margin performance compared with peers</w:t>
      </w:r>
    </w:p>
    <w:p>
      <w:pPr>
        <w:spacing w:after="0" w:line="12" w:lineRule="exact"/>
        <w:rPr>
          <w:rFonts w:ascii="Arial" w:cs="Arial" w:eastAsia="Arial" w:hAnsi="Arial"/>
          <w:sz w:val="13"/>
          <w:szCs w:val="13"/>
          <w:color w:val="28C0DA"/>
        </w:rPr>
      </w:pPr>
    </w:p>
    <w:p>
      <w:pPr>
        <w:ind w:left="161" w:hanging="161"/>
        <w:spacing w:after="0"/>
        <w:tabs>
          <w:tab w:leader="none" w:pos="161" w:val="left"/>
        </w:tabs>
        <w:numPr>
          <w:ilvl w:val="0"/>
          <w:numId w:val="12"/>
        </w:numPr>
        <w:rPr>
          <w:rFonts w:ascii="Arial" w:cs="Arial" w:eastAsia="Arial" w:hAnsi="Arial"/>
          <w:sz w:val="13"/>
          <w:szCs w:val="13"/>
          <w:color w:val="28C0DA"/>
        </w:rPr>
      </w:pPr>
      <w:r>
        <w:rPr>
          <w:rFonts w:ascii="Arial" w:cs="Arial" w:eastAsia="Arial" w:hAnsi="Arial"/>
          <w:sz w:val="13"/>
          <w:szCs w:val="13"/>
          <w:color w:val="auto"/>
        </w:rPr>
        <w:t>Company stock price</w:t>
      </w:r>
    </w:p>
    <w:p>
      <w:pPr>
        <w:spacing w:after="0" w:line="187" w:lineRule="exact"/>
        <w:rPr>
          <w:rFonts w:ascii="Arial" w:cs="Arial" w:eastAsia="Arial" w:hAnsi="Arial"/>
          <w:sz w:val="13"/>
          <w:szCs w:val="13"/>
          <w:color w:val="28C0DA"/>
        </w:rPr>
      </w:pPr>
    </w:p>
    <w:p>
      <w:pPr>
        <w:ind w:left="161" w:hanging="161"/>
        <w:spacing w:after="0"/>
        <w:tabs>
          <w:tab w:leader="none" w:pos="161" w:val="left"/>
        </w:tabs>
        <w:numPr>
          <w:ilvl w:val="0"/>
          <w:numId w:val="12"/>
        </w:numPr>
        <w:rPr>
          <w:rFonts w:ascii="Arial" w:cs="Arial" w:eastAsia="Arial" w:hAnsi="Arial"/>
          <w:sz w:val="13"/>
          <w:szCs w:val="13"/>
          <w:color w:val="28C0DA"/>
        </w:rPr>
      </w:pPr>
      <w:r>
        <w:rPr>
          <w:rFonts w:ascii="Arial" w:cs="Arial" w:eastAsia="Arial" w:hAnsi="Arial"/>
          <w:sz w:val="13"/>
          <w:szCs w:val="13"/>
          <w:color w:val="auto"/>
        </w:rPr>
        <w:t>Company stock price</w:t>
      </w:r>
    </w:p>
    <w:p>
      <w:pPr>
        <w:spacing w:after="0" w:line="187" w:lineRule="exact"/>
        <w:rPr>
          <w:rFonts w:ascii="Arial" w:cs="Arial" w:eastAsia="Arial" w:hAnsi="Arial"/>
          <w:sz w:val="13"/>
          <w:szCs w:val="13"/>
          <w:color w:val="28C0DA"/>
        </w:rPr>
      </w:pPr>
    </w:p>
    <w:p>
      <w:pPr>
        <w:ind w:left="181" w:right="120" w:hanging="181"/>
        <w:spacing w:after="0" w:line="281" w:lineRule="auto"/>
        <w:tabs>
          <w:tab w:leader="none" w:pos="159" w:val="left"/>
        </w:tabs>
        <w:numPr>
          <w:ilvl w:val="0"/>
          <w:numId w:val="12"/>
        </w:numPr>
        <w:rPr>
          <w:rFonts w:ascii="Arial" w:cs="Arial" w:eastAsia="Arial" w:hAnsi="Arial"/>
          <w:sz w:val="13"/>
          <w:szCs w:val="13"/>
          <w:color w:val="28C0DA"/>
        </w:rPr>
      </w:pPr>
      <w:r>
        <w:rPr>
          <w:rFonts w:ascii="Arial" w:cs="Arial" w:eastAsia="Arial" w:hAnsi="Arial"/>
          <w:sz w:val="13"/>
          <w:szCs w:val="13"/>
          <w:color w:val="auto"/>
        </w:rPr>
        <w:t>Performance of investments managed by T. Rowe Price International Ltd. (TRPIL)</w:t>
      </w:r>
    </w:p>
    <w:p>
      <w:pPr>
        <w:spacing w:after="0" w:line="137" w:lineRule="exact"/>
        <w:rPr>
          <w:rFonts w:ascii="Arial" w:cs="Arial" w:eastAsia="Arial" w:hAnsi="Arial"/>
          <w:sz w:val="13"/>
          <w:szCs w:val="13"/>
          <w:color w:val="28C0DA"/>
        </w:rPr>
      </w:pPr>
    </w:p>
    <w:p>
      <w:pPr>
        <w:ind w:left="161" w:hanging="161"/>
        <w:spacing w:after="0"/>
        <w:tabs>
          <w:tab w:leader="none" w:pos="161" w:val="left"/>
        </w:tabs>
        <w:numPr>
          <w:ilvl w:val="0"/>
          <w:numId w:val="12"/>
        </w:numPr>
        <w:rPr>
          <w:rFonts w:ascii="Arial" w:cs="Arial" w:eastAsia="Arial" w:hAnsi="Arial"/>
          <w:sz w:val="13"/>
          <w:szCs w:val="13"/>
          <w:color w:val="28C0DA"/>
        </w:rPr>
      </w:pPr>
      <w:r>
        <w:rPr>
          <w:rFonts w:ascii="Arial" w:cs="Arial" w:eastAsia="Arial" w:hAnsi="Arial"/>
          <w:sz w:val="13"/>
          <w:szCs w:val="13"/>
          <w:color w:val="auto"/>
        </w:rPr>
        <w:t>OHA Fund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-176530</wp:posOffset>
            </wp:positionV>
            <wp:extent cx="228536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285365" cy="762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-438785</wp:posOffset>
            </wp:positionV>
            <wp:extent cx="228536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285365" cy="762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-700405</wp:posOffset>
            </wp:positionV>
            <wp:extent cx="2285365"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285365" cy="762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-1097280</wp:posOffset>
            </wp:positionV>
            <wp:extent cx="2285365"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85365" cy="7620"/>
                    </a:xfrm>
                    <a:prstGeom prst="rect">
                      <a:avLst/>
                    </a:prstGeom>
                    <a:noFill/>
                  </pic:spPr>
                </pic:pic>
              </a:graphicData>
            </a:graphic>
          </wp:anchor>
        </w:drawing>
      </w:r>
    </w:p>
    <w:p>
      <w:pPr>
        <w:spacing w:after="0" w:line="128" w:lineRule="exact"/>
        <w:rPr>
          <w:sz w:val="20"/>
          <w:szCs w:val="20"/>
          <w:color w:val="auto"/>
        </w:rPr>
      </w:pPr>
    </w:p>
    <w:p>
      <w:pPr>
        <w:sectPr>
          <w:pgSz w:w="11900" w:h="16838" w:orient="portrait"/>
          <w:cols w:equalWidth="0" w:num="3">
            <w:col w:w="5080" w:space="260"/>
            <w:col w:w="2140" w:space="219"/>
            <w:col w:w="3561"/>
          </w:cols>
          <w:pgMar w:left="320" w:top="223" w:right="319" w:bottom="1440" w:gutter="0" w:footer="0" w:header="0"/>
          <w:type w:val="continuous"/>
        </w:sectPr>
      </w:pPr>
    </w:p>
    <w:p>
      <w:pPr>
        <w:spacing w:after="0"/>
        <w:rPr>
          <w:sz w:val="20"/>
          <w:szCs w:val="20"/>
          <w:color w:val="auto"/>
        </w:rPr>
      </w:pPr>
      <w:r>
        <w:rPr>
          <w:rFonts w:ascii="Arial" w:cs="Arial" w:eastAsia="Arial" w:hAnsi="Arial"/>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-120650</wp:posOffset>
            </wp:positionV>
            <wp:extent cx="671385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1385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5715</wp:posOffset>
            </wp:positionV>
            <wp:extent cx="7142480" cy="4127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2480" cy="412750"/>
                    </a:xfrm>
                    <a:prstGeom prst="rect">
                      <a:avLst/>
                    </a:prstGeom>
                    <a:noFill/>
                  </pic:spPr>
                </pic:pic>
              </a:graphicData>
            </a:graphic>
          </wp:anchor>
        </w:drawing>
      </w:r>
    </w:p>
    <w:p>
      <w:pPr>
        <w:spacing w:after="0" w:line="89" w:lineRule="exact"/>
        <w:rPr>
          <w:sz w:val="20"/>
          <w:szCs w:val="20"/>
          <w:color w:val="auto"/>
        </w:rPr>
      </w:pPr>
    </w:p>
    <w:p>
      <w:pPr>
        <w:ind w:left="1920" w:right="200"/>
        <w:spacing w:after="0" w:line="299" w:lineRule="auto"/>
        <w:rPr>
          <w:sz w:val="20"/>
          <w:szCs w:val="20"/>
          <w:color w:val="auto"/>
        </w:rPr>
      </w:pPr>
      <w:r>
        <w:rPr>
          <w:rFonts w:ascii="Arial" w:cs="Arial" w:eastAsia="Arial" w:hAnsi="Arial"/>
          <w:sz w:val="15"/>
          <w:szCs w:val="15"/>
          <w:b w:val="1"/>
          <w:bCs w:val="1"/>
          <w:color w:val="auto"/>
        </w:rPr>
        <w:t xml:space="preserve">Recommendation of the Board </w:t>
      </w:r>
      <w:r>
        <w:rPr>
          <w:rFonts w:ascii="Arial" w:cs="Arial" w:eastAsia="Arial" w:hAnsi="Arial"/>
          <w:sz w:val="15"/>
          <w:szCs w:val="15"/>
          <w:b w:val="1"/>
          <w:bCs w:val="1"/>
          <w:color w:val="FFFFFF"/>
        </w:rPr>
        <w:t>Vote Required</w:t>
      </w:r>
      <w:r>
        <w:rPr>
          <w:rFonts w:ascii="Arial" w:cs="Arial" w:eastAsia="Arial" w:hAnsi="Arial"/>
          <w:sz w:val="15"/>
          <w:szCs w:val="15"/>
          <w:b w:val="1"/>
          <w:bCs w:val="1"/>
          <w:color w:val="auto"/>
        </w:rPr>
        <w:t xml:space="preserve"> </w:t>
      </w:r>
      <w:r>
        <w:rPr>
          <w:rFonts w:ascii="Arial" w:cs="Arial" w:eastAsia="Arial" w:hAnsi="Arial"/>
          <w:sz w:val="15"/>
          <w:szCs w:val="15"/>
          <w:b w:val="1"/>
          <w:bCs w:val="1"/>
          <w:color w:val="00244F"/>
        </w:rPr>
        <w:t>We recommend that you vote FOR this proposal.</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 </w:t>
      </w:r>
    </w:p>
    <w:p>
      <w:pPr>
        <w:spacing w:after="0"/>
        <w:rPr>
          <w:sz w:val="20"/>
          <w:szCs w:val="20"/>
          <w:color w:val="auto"/>
        </w:rPr>
      </w:pPr>
      <w:r>
        <w:rPr>
          <w:rFonts w:ascii="Arial" w:cs="Arial" w:eastAsia="Arial" w:hAnsi="Arial"/>
          <w:sz w:val="17"/>
          <w:szCs w:val="17"/>
          <w:color w:val="auto"/>
        </w:rPr>
        <w:t> </w:t>
      </w:r>
    </w:p>
    <w:p>
      <w:pPr>
        <w:spacing w:after="0" w:line="230" w:lineRule="auto"/>
        <w:rPr>
          <w:sz w:val="20"/>
          <w:szCs w:val="20"/>
          <w:color w:val="auto"/>
        </w:rPr>
      </w:pPr>
      <w:r>
        <w:rPr>
          <w:rFonts w:ascii="Arial" w:cs="Arial" w:eastAsia="Arial" w:hAnsi="Arial"/>
          <w:sz w:val="17"/>
          <w:szCs w:val="17"/>
          <w:color w:val="auto"/>
        </w:rPr>
        <w:t> </w:t>
      </w:r>
    </w:p>
    <w:p>
      <w:pPr>
        <w:spacing w:after="0" w:line="230" w:lineRule="auto"/>
        <w:rPr>
          <w:sz w:val="20"/>
          <w:szCs w:val="20"/>
          <w:color w:val="auto"/>
        </w:rPr>
      </w:pPr>
      <w:r>
        <w:rPr>
          <w:rFonts w:ascii="Arial" w:cs="Arial" w:eastAsia="Arial" w:hAnsi="Arial"/>
          <w:sz w:val="17"/>
          <w:szCs w:val="17"/>
          <w:color w:val="auto"/>
        </w:rPr>
        <w:t> </w:t>
      </w:r>
    </w:p>
    <w:p>
      <w:pPr>
        <w:spacing w:after="0" w:line="230" w:lineRule="auto"/>
        <w:rPr>
          <w:sz w:val="20"/>
          <w:szCs w:val="20"/>
          <w:color w:val="auto"/>
        </w:rPr>
      </w:pPr>
      <w:r>
        <w:rPr>
          <w:rFonts w:ascii="Arial" w:cs="Arial" w:eastAsia="Arial" w:hAnsi="Arial"/>
          <w:sz w:val="17"/>
          <w:szCs w:val="17"/>
          <w:color w:val="auto"/>
        </w:rPr>
        <w:t> </w:t>
      </w:r>
    </w:p>
    <w:p>
      <w:pPr>
        <w:spacing w:after="0" w:line="230" w:lineRule="auto"/>
        <w:rPr>
          <w:sz w:val="20"/>
          <w:szCs w:val="20"/>
          <w:color w:val="auto"/>
        </w:rPr>
      </w:pPr>
      <w:r>
        <w:rPr>
          <w:rFonts w:ascii="Arial" w:cs="Arial" w:eastAsia="Arial" w:hAnsi="Arial"/>
          <w:sz w:val="17"/>
          <w:szCs w:val="17"/>
          <w:color w:val="auto"/>
        </w:rPr>
        <w:t> </w:t>
      </w:r>
    </w:p>
    <w:p>
      <w:pPr>
        <w:spacing w:after="0" w:line="230" w:lineRule="auto"/>
        <w:rPr>
          <w:sz w:val="20"/>
          <w:szCs w:val="20"/>
          <w:color w:val="auto"/>
        </w:rPr>
      </w:pPr>
      <w:r>
        <w:rPr>
          <w:rFonts w:ascii="Arial" w:cs="Arial" w:eastAsia="Arial" w:hAnsi="Arial"/>
          <w:sz w:val="17"/>
          <w:szCs w:val="17"/>
          <w:color w:val="auto"/>
        </w:rPr>
        <w:t> </w:t>
      </w:r>
    </w:p>
    <w:p>
      <w:pPr>
        <w:spacing w:after="0" w:line="231" w:lineRule="auto"/>
        <w:rPr>
          <w:sz w:val="20"/>
          <w:szCs w:val="20"/>
          <w:color w:val="auto"/>
        </w:rPr>
      </w:pPr>
      <w:r>
        <w:rPr>
          <w:rFonts w:ascii="Arial" w:cs="Arial" w:eastAsia="Arial" w:hAnsi="Arial"/>
          <w:sz w:val="17"/>
          <w:szCs w:val="17"/>
          <w:color w:val="auto"/>
        </w:rPr>
        <w:t> </w:t>
      </w:r>
    </w:p>
    <w:p>
      <w:pPr>
        <w:spacing w:after="0" w:line="230" w:lineRule="auto"/>
        <w:rPr>
          <w:sz w:val="20"/>
          <w:szCs w:val="20"/>
          <w:color w:val="auto"/>
        </w:rPr>
      </w:pPr>
      <w:r>
        <w:rPr>
          <w:rFonts w:ascii="Arial" w:cs="Arial" w:eastAsia="Arial" w:hAnsi="Arial"/>
          <w:sz w:val="17"/>
          <w:szCs w:val="17"/>
          <w:color w:val="auto"/>
        </w:rPr>
        <w:t> </w:t>
      </w:r>
    </w:p>
    <w:p>
      <w:pPr>
        <w:spacing w:after="0" w:line="230" w:lineRule="auto"/>
        <w:rPr>
          <w:sz w:val="20"/>
          <w:szCs w:val="20"/>
          <w:color w:val="auto"/>
        </w:rPr>
      </w:pPr>
      <w:r>
        <w:rPr>
          <w:rFonts w:ascii="Arial" w:cs="Arial" w:eastAsia="Arial" w:hAnsi="Arial"/>
          <w:sz w:val="17"/>
          <w:szCs w:val="17"/>
          <w:color w:val="auto"/>
        </w:rPr>
        <w:t> </w:t>
      </w:r>
    </w:p>
    <w:p>
      <w:pPr>
        <w:spacing w:after="0" w:line="230" w:lineRule="auto"/>
        <w:rPr>
          <w:sz w:val="20"/>
          <w:szCs w:val="20"/>
          <w:color w:val="auto"/>
        </w:rPr>
      </w:pPr>
      <w:r>
        <w:rPr>
          <w:rFonts w:ascii="Arial" w:cs="Arial" w:eastAsia="Arial" w:hAnsi="Arial"/>
          <w:sz w:val="17"/>
          <w:szCs w:val="17"/>
          <w:color w:val="auto"/>
        </w:rPr>
        <w:t> </w:t>
      </w:r>
    </w:p>
    <w:p>
      <w:pPr>
        <w:spacing w:after="0" w:line="230" w:lineRule="auto"/>
        <w:rPr>
          <w:sz w:val="20"/>
          <w:szCs w:val="20"/>
          <w:color w:val="auto"/>
        </w:rPr>
      </w:pPr>
      <w:r>
        <w:rPr>
          <w:rFonts w:ascii="Arial" w:cs="Arial" w:eastAsia="Arial" w:hAnsi="Arial"/>
          <w:sz w:val="17"/>
          <w:szCs w:val="17"/>
          <w:color w:val="auto"/>
        </w:rPr>
        <w:t> </w:t>
      </w:r>
    </w:p>
    <w:p>
      <w:pPr>
        <w:spacing w:after="0" w:line="230" w:lineRule="auto"/>
        <w:rPr>
          <w:sz w:val="20"/>
          <w:szCs w:val="20"/>
          <w:color w:val="auto"/>
        </w:rPr>
      </w:pPr>
      <w:r>
        <w:rPr>
          <w:rFonts w:ascii="Arial" w:cs="Arial" w:eastAsia="Arial" w:hAnsi="Arial"/>
          <w:sz w:val="17"/>
          <w:szCs w:val="17"/>
          <w:color w:val="auto"/>
        </w:rPr>
        <w:t> </w:t>
      </w:r>
    </w:p>
    <w:p>
      <w:pPr>
        <w:spacing w:after="0" w:line="231" w:lineRule="auto"/>
        <w:rPr>
          <w:sz w:val="20"/>
          <w:szCs w:val="20"/>
          <w:color w:val="auto"/>
        </w:rPr>
      </w:pPr>
      <w:r>
        <w:rPr>
          <w:rFonts w:ascii="Arial" w:cs="Arial" w:eastAsia="Arial" w:hAnsi="Arial"/>
          <w:sz w:val="17"/>
          <w:szCs w:val="17"/>
          <w:color w:val="auto"/>
        </w:rPr>
        <w:t> </w:t>
      </w:r>
    </w:p>
    <w:p>
      <w:pPr>
        <w:spacing w:after="0" w:line="223" w:lineRule="auto"/>
        <w:rPr>
          <w:sz w:val="20"/>
          <w:szCs w:val="20"/>
          <w:color w:val="auto"/>
        </w:rPr>
      </w:pPr>
      <w:r>
        <w:rPr>
          <w:rFonts w:ascii="Arial" w:cs="Arial" w:eastAsia="Arial" w:hAnsi="Arial"/>
          <w:sz w:val="17"/>
          <w:szCs w:val="17"/>
          <w:color w:val="auto"/>
        </w:rPr>
        <w:t> </w:t>
      </w:r>
    </w:p>
    <w:p>
      <w:pPr>
        <w:spacing w:after="0"/>
        <w:tabs>
          <w:tab w:leader="none" w:pos="540" w:val="left"/>
          <w:tab w:leader="none" w:pos="10640" w:val="left"/>
          <w:tab w:leader="none" w:pos="11220" w:val="left"/>
        </w:tabs>
        <w:rPr>
          <w:sz w:val="20"/>
          <w:szCs w:val="20"/>
          <w:color w:val="auto"/>
        </w:rPr>
      </w:pPr>
      <w:r>
        <w:rPr>
          <w:rFonts w:ascii="Times New Roman" w:cs="Times New Roman" w:eastAsia="Times New Roman" w:hAnsi="Times New Roman"/>
          <w:sz w:val="13"/>
          <w:szCs w:val="13"/>
          <w:b w:val="1"/>
          <w:bCs w:val="1"/>
          <w:color w:val="00244F"/>
        </w:rPr>
        <w:t>4</w:t>
      </w:r>
      <w:r>
        <w:rPr>
          <w:sz w:val="20"/>
          <w:szCs w:val="20"/>
          <w:color w:val="auto"/>
        </w:rPr>
        <w:tab/>
      </w:r>
      <w:r>
        <w:rPr>
          <w:rFonts w:ascii="Times New Roman" w:cs="Times New Roman" w:eastAsia="Times New Roman" w:hAnsi="Times New Roman"/>
          <w:sz w:val="13"/>
          <w:szCs w:val="13"/>
          <w:b w:val="1"/>
          <w:bCs w:val="1"/>
          <w:color w:val="00244F"/>
        </w:rPr>
        <w:t>T. Rowe Price Group</w:t>
      </w:r>
      <w:r>
        <w:rPr>
          <w:sz w:val="20"/>
          <w:szCs w:val="20"/>
          <w:color w:val="auto"/>
        </w:rPr>
        <w:tab/>
      </w:r>
      <w:r>
        <w:rPr>
          <w:rFonts w:ascii="Times New Roman" w:cs="Times New Roman" w:eastAsia="Times New Roman" w:hAnsi="Times New Roman"/>
          <w:sz w:val="13"/>
          <w:szCs w:val="13"/>
          <w:b w:val="1"/>
          <w:bCs w:val="1"/>
          <w:color w:val="00244F"/>
        </w:rPr>
        <w:t> </w:t>
      </w:r>
      <w:r>
        <w:rPr>
          <w:sz w:val="20"/>
          <w:szCs w:val="20"/>
          <w:color w:val="auto"/>
        </w:rPr>
        <w:tab/>
      </w:r>
      <w:r>
        <w:rPr>
          <w:rFonts w:ascii="Times New Roman" w:cs="Times New Roman" w:eastAsia="Times New Roman" w:hAnsi="Times New Roman"/>
          <w:sz w:val="10"/>
          <w:szCs w:val="10"/>
          <w:b w:val="1"/>
          <w:bCs w:val="1"/>
          <w:color w:val="00244F"/>
        </w:rPr>
        <w:t> </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60"/>
          </w:cols>
          <w:pgMar w:left="320" w:top="223" w:right="31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571500" cy="2222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1500" cy="222250"/>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FFFFFF"/>
        </w:rPr>
        <w:t>Proposal 3</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 </w:t>
      </w:r>
    </w:p>
    <w:p>
      <w:pPr>
        <w:ind w:right="180"/>
        <w:spacing w:after="0" w:line="236" w:lineRule="auto"/>
        <w:rPr>
          <w:sz w:val="20"/>
          <w:szCs w:val="20"/>
          <w:color w:val="auto"/>
        </w:rPr>
      </w:pPr>
      <w:r>
        <w:rPr>
          <w:rFonts w:ascii="Times New Roman" w:cs="Times New Roman" w:eastAsia="Times New Roman" w:hAnsi="Times New Roman"/>
          <w:sz w:val="30"/>
          <w:szCs w:val="30"/>
          <w:b w:val="1"/>
          <w:bCs w:val="1"/>
          <w:color w:val="00254F"/>
        </w:rPr>
        <w:t>Ratification of the Appointment of KPMG LLP as Our Independent Registered Public Accounting Firm for 2024</w:t>
      </w:r>
    </w:p>
    <w:p>
      <w:pPr>
        <w:spacing w:after="0" w:line="230" w:lineRule="auto"/>
        <w:rPr>
          <w:sz w:val="20"/>
          <w:szCs w:val="20"/>
          <w:color w:val="auto"/>
        </w:rPr>
      </w:pPr>
      <w:r>
        <w:rPr>
          <w:rFonts w:ascii="Arial" w:cs="Arial" w:eastAsia="Arial" w:hAnsi="Arial"/>
          <w:sz w:val="17"/>
          <w:szCs w:val="17"/>
          <w:color w:val="auto"/>
        </w:rPr>
        <w:t> </w:t>
      </w:r>
    </w:p>
    <w:p>
      <w:pPr>
        <w:spacing w:after="0" w:line="230" w:lineRule="auto"/>
        <w:rPr>
          <w:sz w:val="20"/>
          <w:szCs w:val="20"/>
          <w:color w:val="auto"/>
        </w:rPr>
      </w:pPr>
      <w:r>
        <w:rPr>
          <w:rFonts w:ascii="Arial" w:cs="Arial" w:eastAsia="Arial" w:hAnsi="Arial"/>
          <w:sz w:val="17"/>
          <w:szCs w:val="17"/>
          <w:color w:val="auto"/>
        </w:rPr>
        <w:t>The Audit Committee and the Board believe that the continued retention of KPMG as our independent registered public accounting firm is in the best</w:t>
      </w:r>
    </w:p>
    <w:p>
      <w:pPr>
        <w:spacing w:after="0" w:line="231" w:lineRule="auto"/>
        <w:rPr>
          <w:sz w:val="20"/>
          <w:szCs w:val="20"/>
          <w:color w:val="auto"/>
        </w:rPr>
      </w:pPr>
      <w:r>
        <w:rPr>
          <w:rFonts w:ascii="Arial" w:cs="Arial" w:eastAsia="Arial" w:hAnsi="Arial"/>
          <w:sz w:val="17"/>
          <w:szCs w:val="17"/>
          <w:color w:val="auto"/>
        </w:rPr>
        <w:t>interest of Price Group and our stockholders.</w:t>
      </w:r>
    </w:p>
    <w:p>
      <w:pPr>
        <w:spacing w:after="0"/>
        <w:rPr>
          <w:sz w:val="20"/>
          <w:szCs w:val="20"/>
          <w:color w:val="auto"/>
        </w:rPr>
      </w:pPr>
      <w:r>
        <w:rPr>
          <w:rFonts w:ascii="Arial" w:cs="Arial" w:eastAsia="Arial" w:hAnsi="Arial"/>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2480" cy="4127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2480" cy="412750"/>
                    </a:xfrm>
                    <a:prstGeom prst="rect">
                      <a:avLst/>
                    </a:prstGeom>
                    <a:noFill/>
                  </pic:spPr>
                </pic:pic>
              </a:graphicData>
            </a:graphic>
          </wp:anchor>
        </w:drawing>
      </w:r>
    </w:p>
    <w:p>
      <w:pPr>
        <w:spacing w:after="0" w:line="73" w:lineRule="exact"/>
        <w:rPr>
          <w:sz w:val="20"/>
          <w:szCs w:val="20"/>
          <w:color w:val="auto"/>
        </w:rPr>
      </w:pPr>
    </w:p>
    <w:p>
      <w:pPr>
        <w:ind w:left="1920" w:right="180"/>
        <w:spacing w:after="0" w:line="299" w:lineRule="auto"/>
        <w:rPr>
          <w:sz w:val="20"/>
          <w:szCs w:val="20"/>
          <w:color w:val="auto"/>
        </w:rPr>
      </w:pPr>
      <w:r>
        <w:rPr>
          <w:rFonts w:ascii="Arial" w:cs="Arial" w:eastAsia="Arial" w:hAnsi="Arial"/>
          <w:sz w:val="15"/>
          <w:szCs w:val="15"/>
          <w:b w:val="1"/>
          <w:bCs w:val="1"/>
          <w:color w:val="auto"/>
        </w:rPr>
        <w:t xml:space="preserve">Recommendation of the Board </w:t>
      </w:r>
      <w:r>
        <w:rPr>
          <w:rFonts w:ascii="Arial" w:cs="Arial" w:eastAsia="Arial" w:hAnsi="Arial"/>
          <w:sz w:val="15"/>
          <w:szCs w:val="15"/>
          <w:b w:val="1"/>
          <w:bCs w:val="1"/>
          <w:color w:val="FFFFFF"/>
        </w:rPr>
        <w:t>Vote Required</w:t>
      </w:r>
      <w:r>
        <w:rPr>
          <w:rFonts w:ascii="Arial" w:cs="Arial" w:eastAsia="Arial" w:hAnsi="Arial"/>
          <w:sz w:val="15"/>
          <w:szCs w:val="15"/>
          <w:b w:val="1"/>
          <w:bCs w:val="1"/>
          <w:color w:val="auto"/>
        </w:rPr>
        <w:t xml:space="preserve"> </w:t>
      </w:r>
      <w:r>
        <w:rPr>
          <w:rFonts w:ascii="Arial" w:cs="Arial" w:eastAsia="Arial" w:hAnsi="Arial"/>
          <w:sz w:val="15"/>
          <w:szCs w:val="15"/>
          <w:b w:val="1"/>
          <w:bCs w:val="1"/>
          <w:color w:val="00244F"/>
        </w:rPr>
        <w:t>We recommend that you vote FOR this proposal.</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tabs>
          <w:tab w:leader="none" w:pos="540" w:val="left"/>
          <w:tab w:leader="none" w:pos="9480" w:val="left"/>
          <w:tab w:leader="none" w:pos="11160" w:val="left"/>
        </w:tabs>
        <w:rPr>
          <w:sz w:val="20"/>
          <w:szCs w:val="20"/>
          <w:color w:val="auto"/>
        </w:rPr>
      </w:pPr>
      <w:r>
        <w:rPr>
          <w:rFonts w:ascii="Times New Roman" w:cs="Times New Roman" w:eastAsia="Times New Roman" w:hAnsi="Times New Roman"/>
          <w:sz w:val="13"/>
          <w:szCs w:val="13"/>
          <w:b w:val="1"/>
          <w:bCs w:val="1"/>
          <w:color w:val="00254F"/>
        </w:rPr>
        <w:t> </w:t>
      </w:r>
      <w:r>
        <w:rPr>
          <w:sz w:val="20"/>
          <w:szCs w:val="20"/>
          <w:color w:val="auto"/>
        </w:rPr>
        <w:tab/>
      </w:r>
      <w:r>
        <w:rPr>
          <w:rFonts w:ascii="Times New Roman" w:cs="Times New Roman" w:eastAsia="Times New Roman" w:hAnsi="Times New Roman"/>
          <w:sz w:val="13"/>
          <w:szCs w:val="13"/>
          <w:b w:val="1"/>
          <w:bCs w:val="1"/>
          <w:color w:val="00254F"/>
        </w:rPr>
        <w:t> </w:t>
      </w:r>
      <w:r>
        <w:rPr>
          <w:sz w:val="20"/>
          <w:szCs w:val="20"/>
          <w:color w:val="auto"/>
        </w:rPr>
        <w:tab/>
      </w:r>
      <w:r>
        <w:rPr>
          <w:rFonts w:ascii="Times New Roman" w:cs="Times New Roman" w:eastAsia="Times New Roman" w:hAnsi="Times New Roman"/>
          <w:sz w:val="13"/>
          <w:szCs w:val="13"/>
          <w:b w:val="1"/>
          <w:bCs w:val="1"/>
          <w:color w:val="00254F"/>
        </w:rPr>
        <w:t xml:space="preserve">2024 </w:t>
      </w:r>
      <w:r>
        <w:rPr>
          <w:rFonts w:ascii="Times New Roman" w:cs="Times New Roman" w:eastAsia="Times New Roman" w:hAnsi="Times New Roman"/>
          <w:sz w:val="13"/>
          <w:szCs w:val="13"/>
          <w:color w:val="00254F"/>
        </w:rPr>
        <w:t>Proxy Statement</w:t>
      </w:r>
      <w:r>
        <w:rPr>
          <w:sz w:val="20"/>
          <w:szCs w:val="20"/>
          <w:color w:val="auto"/>
        </w:rPr>
        <w:tab/>
      </w:r>
      <w:r>
        <w:rPr>
          <w:rFonts w:ascii="Times New Roman" w:cs="Times New Roman" w:eastAsia="Times New Roman" w:hAnsi="Times New Roman"/>
          <w:sz w:val="12"/>
          <w:szCs w:val="12"/>
          <w:b w:val="1"/>
          <w:bCs w:val="1"/>
          <w:color w:val="00244F"/>
        </w:rPr>
        <w:t>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54"/>
          <w:szCs w:val="54"/>
          <w:color w:val="00254F"/>
        </w:rPr>
        <w:t>Table of Contents</w:t>
      </w:r>
    </w:p>
    <w:p>
      <w:pPr>
        <w:sectPr>
          <w:pgSz w:w="11900" w:h="16838" w:orient="portrait"/>
          <w:cols w:equalWidth="0" w:num="1">
            <w:col w:w="11260"/>
          </w:cols>
          <w:pgMar w:left="320" w:top="223" w:right="31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 </w:t>
      </w:r>
    </w:p>
    <w:p>
      <w:pPr>
        <w:spacing w:after="0" w:line="230" w:lineRule="auto"/>
        <w:rPr>
          <w:sz w:val="20"/>
          <w:szCs w:val="20"/>
          <w:color w:val="auto"/>
        </w:rPr>
      </w:pPr>
      <w:r>
        <w:rPr>
          <w:rFonts w:ascii="Arial" w:cs="Arial" w:eastAsia="Arial" w:hAnsi="Arial"/>
          <w:sz w:val="17"/>
          <w:szCs w:val="17"/>
          <w:color w:val="auto"/>
        </w:rPr>
        <w:t> </w:t>
      </w:r>
    </w:p>
    <w:p>
      <w:pPr>
        <w:spacing w:after="0" w:line="233" w:lineRule="auto"/>
        <w:rPr>
          <w:sz w:val="20"/>
          <w:szCs w:val="20"/>
          <w:color w:val="auto"/>
        </w:rPr>
      </w:pPr>
      <w:r>
        <w:rPr>
          <w:rFonts w:ascii="Arial" w:cs="Arial" w:eastAsia="Arial" w:hAnsi="Arial"/>
          <w:sz w:val="17"/>
          <w:szCs w:val="17"/>
          <w:color w:val="auto"/>
        </w:rPr>
        <w:t> </w:t>
      </w:r>
    </w:p>
    <w:tbl>
      <w:tblPr>
        <w:tblLayout w:type="fixed"/>
        <w:tblInd w:w="0" w:type="dxa"/>
        <w:tblCellMar>
          <w:top w:w="0" w:type="dxa"/>
          <w:left w:w="0" w:type="dxa"/>
          <w:bottom w:w="0" w:type="dxa"/>
          <w:right w:w="0" w:type="dxa"/>
        </w:tblCellMar>
      </w:tblPr>
      <w:tr>
        <w:trPr>
          <w:trHeight w:val="206"/>
        </w:trPr>
        <w:tc>
          <w:tcPr>
            <w:tcW w:w="4500" w:type="dxa"/>
            <w:vAlign w:val="bottom"/>
            <w:gridSpan w:val="3"/>
          </w:tcPr>
          <w:p>
            <w:pPr>
              <w:spacing w:after="0"/>
              <w:rPr>
                <w:sz w:val="20"/>
                <w:szCs w:val="20"/>
                <w:color w:val="auto"/>
              </w:rPr>
            </w:pPr>
            <w:r>
              <w:rPr>
                <w:rFonts w:ascii="Arial" w:cs="Arial" w:eastAsia="Arial" w:hAnsi="Arial"/>
                <w:sz w:val="15"/>
                <w:szCs w:val="15"/>
                <w:b w:val="1"/>
                <w:bCs w:val="1"/>
                <w:color w:val="auto"/>
              </w:rPr>
              <w:t>Notice of 2024 Annual Meeting of Stockholders</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1</w:t>
            </w:r>
          </w:p>
        </w:tc>
        <w:tc>
          <w:tcPr>
            <w:tcW w:w="0" w:type="dxa"/>
            <w:vAlign w:val="bottom"/>
          </w:tcPr>
          <w:p>
            <w:pPr>
              <w:spacing w:after="0"/>
              <w:rPr>
                <w:sz w:val="1"/>
                <w:szCs w:val="1"/>
                <w:color w:val="auto"/>
              </w:rPr>
            </w:pPr>
          </w:p>
        </w:tc>
      </w:tr>
      <w:tr>
        <w:trPr>
          <w:trHeight w:val="323"/>
        </w:trPr>
        <w:tc>
          <w:tcPr>
            <w:tcW w:w="4500" w:type="dxa"/>
            <w:vAlign w:val="bottom"/>
            <w:gridSpan w:val="3"/>
          </w:tcPr>
          <w:p>
            <w:pPr>
              <w:spacing w:after="0"/>
              <w:rPr>
                <w:sz w:val="20"/>
                <w:szCs w:val="20"/>
                <w:color w:val="auto"/>
              </w:rPr>
            </w:pPr>
            <w:r>
              <w:rPr>
                <w:rFonts w:ascii="Arial" w:cs="Arial" w:eastAsia="Arial" w:hAnsi="Arial"/>
                <w:sz w:val="15"/>
                <w:szCs w:val="15"/>
                <w:b w:val="1"/>
                <w:bCs w:val="1"/>
                <w:color w:val="auto"/>
              </w:rPr>
              <w:t>Introduction</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2</w:t>
            </w:r>
          </w:p>
        </w:tc>
        <w:tc>
          <w:tcPr>
            <w:tcW w:w="0" w:type="dxa"/>
            <w:vAlign w:val="bottom"/>
          </w:tcPr>
          <w:p>
            <w:pPr>
              <w:spacing w:after="0"/>
              <w:rPr>
                <w:sz w:val="1"/>
                <w:szCs w:val="1"/>
                <w:color w:val="auto"/>
              </w:rPr>
            </w:pPr>
          </w:p>
        </w:tc>
      </w:tr>
      <w:tr>
        <w:trPr>
          <w:trHeight w:val="337"/>
        </w:trPr>
        <w:tc>
          <w:tcPr>
            <w:tcW w:w="4500" w:type="dxa"/>
            <w:vAlign w:val="bottom"/>
            <w:gridSpan w:val="3"/>
          </w:tcPr>
          <w:p>
            <w:pPr>
              <w:spacing w:after="0"/>
              <w:rPr>
                <w:sz w:val="20"/>
                <w:szCs w:val="20"/>
                <w:color w:val="auto"/>
              </w:rPr>
            </w:pPr>
            <w:r>
              <w:rPr>
                <w:rFonts w:ascii="Arial" w:cs="Arial" w:eastAsia="Arial" w:hAnsi="Arial"/>
                <w:sz w:val="15"/>
                <w:szCs w:val="15"/>
                <w:b w:val="1"/>
                <w:bCs w:val="1"/>
                <w:color w:val="auto"/>
              </w:rPr>
              <w:t>Voting Road Map</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3</w:t>
            </w:r>
          </w:p>
        </w:tc>
        <w:tc>
          <w:tcPr>
            <w:tcW w:w="0" w:type="dxa"/>
            <w:vAlign w:val="bottom"/>
          </w:tcPr>
          <w:p>
            <w:pPr>
              <w:spacing w:after="0"/>
              <w:rPr>
                <w:sz w:val="1"/>
                <w:szCs w:val="1"/>
                <w:color w:val="auto"/>
              </w:rPr>
            </w:pPr>
          </w:p>
        </w:tc>
      </w:tr>
      <w:tr>
        <w:trPr>
          <w:trHeight w:val="337"/>
        </w:trPr>
        <w:tc>
          <w:tcPr>
            <w:tcW w:w="4500" w:type="dxa"/>
            <w:vAlign w:val="bottom"/>
            <w:gridSpan w:val="3"/>
          </w:tcPr>
          <w:p>
            <w:pPr>
              <w:spacing w:after="0"/>
              <w:rPr>
                <w:sz w:val="20"/>
                <w:szCs w:val="20"/>
                <w:color w:val="auto"/>
              </w:rPr>
            </w:pPr>
            <w:r>
              <w:rPr>
                <w:rFonts w:ascii="Arial" w:cs="Arial" w:eastAsia="Arial" w:hAnsi="Arial"/>
                <w:sz w:val="15"/>
                <w:szCs w:val="15"/>
                <w:b w:val="1"/>
                <w:bCs w:val="1"/>
                <w:color w:val="auto"/>
              </w:rPr>
              <w:t>Information About Our Board of Directors</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7</w:t>
            </w:r>
          </w:p>
        </w:tc>
        <w:tc>
          <w:tcPr>
            <w:tcW w:w="0" w:type="dxa"/>
            <w:vAlign w:val="bottom"/>
          </w:tcPr>
          <w:p>
            <w:pPr>
              <w:spacing w:after="0"/>
              <w:rPr>
                <w:sz w:val="1"/>
                <w:szCs w:val="1"/>
                <w:color w:val="auto"/>
              </w:rPr>
            </w:pPr>
          </w:p>
        </w:tc>
      </w:tr>
      <w:tr>
        <w:trPr>
          <w:trHeight w:val="329"/>
        </w:trPr>
        <w:tc>
          <w:tcPr>
            <w:tcW w:w="140" w:type="dxa"/>
            <w:vAlign w:val="bottom"/>
          </w:tcPr>
          <w:p>
            <w:pPr>
              <w:spacing w:after="0"/>
              <w:rPr>
                <w:sz w:val="24"/>
                <w:szCs w:val="24"/>
                <w:color w:val="auto"/>
              </w:rPr>
            </w:pPr>
          </w:p>
        </w:tc>
        <w:tc>
          <w:tcPr>
            <w:tcW w:w="4360" w:type="dxa"/>
            <w:vAlign w:val="bottom"/>
            <w:gridSpan w:val="2"/>
          </w:tcPr>
          <w:p>
            <w:pPr>
              <w:ind w:left="20"/>
              <w:spacing w:after="0"/>
              <w:rPr>
                <w:sz w:val="20"/>
                <w:szCs w:val="20"/>
                <w:color w:val="auto"/>
              </w:rPr>
            </w:pPr>
            <w:r>
              <w:rPr>
                <w:rFonts w:ascii="Arial" w:cs="Arial" w:eastAsia="Arial" w:hAnsi="Arial"/>
                <w:sz w:val="15"/>
                <w:szCs w:val="15"/>
                <w:color w:val="auto"/>
              </w:rPr>
              <w:t>Board Qualifications, Skills, and Experience</w:t>
            </w:r>
          </w:p>
        </w:tc>
        <w:tc>
          <w:tcPr>
            <w:tcW w:w="900" w:type="dxa"/>
            <w:vAlign w:val="bottom"/>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337"/>
        </w:trPr>
        <w:tc>
          <w:tcPr>
            <w:tcW w:w="140" w:type="dxa"/>
            <w:vAlign w:val="bottom"/>
          </w:tcPr>
          <w:p>
            <w:pPr>
              <w:spacing w:after="0"/>
              <w:rPr>
                <w:sz w:val="24"/>
                <w:szCs w:val="24"/>
                <w:color w:val="auto"/>
              </w:rPr>
            </w:pPr>
          </w:p>
        </w:tc>
        <w:tc>
          <w:tcPr>
            <w:tcW w:w="4360" w:type="dxa"/>
            <w:vAlign w:val="bottom"/>
            <w:gridSpan w:val="2"/>
          </w:tcPr>
          <w:p>
            <w:pPr>
              <w:ind w:left="20"/>
              <w:spacing w:after="0"/>
              <w:rPr>
                <w:sz w:val="20"/>
                <w:szCs w:val="20"/>
                <w:color w:val="auto"/>
              </w:rPr>
            </w:pPr>
            <w:r>
              <w:rPr>
                <w:rFonts w:ascii="Arial" w:cs="Arial" w:eastAsia="Arial" w:hAnsi="Arial"/>
                <w:sz w:val="15"/>
                <w:szCs w:val="15"/>
                <w:color w:val="auto"/>
              </w:rPr>
              <w:t>Nominee Biographies</w:t>
            </w:r>
          </w:p>
        </w:tc>
        <w:tc>
          <w:tcPr>
            <w:tcW w:w="900" w:type="dxa"/>
            <w:vAlign w:val="bottom"/>
          </w:tcPr>
          <w:p>
            <w:pPr>
              <w:jc w:val="right"/>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337"/>
        </w:trPr>
        <w:tc>
          <w:tcPr>
            <w:tcW w:w="140" w:type="dxa"/>
            <w:vAlign w:val="bottom"/>
          </w:tcPr>
          <w:p>
            <w:pPr>
              <w:spacing w:after="0"/>
              <w:rPr>
                <w:sz w:val="24"/>
                <w:szCs w:val="24"/>
                <w:color w:val="auto"/>
              </w:rPr>
            </w:pPr>
          </w:p>
        </w:tc>
        <w:tc>
          <w:tcPr>
            <w:tcW w:w="4360" w:type="dxa"/>
            <w:vAlign w:val="bottom"/>
            <w:gridSpan w:val="2"/>
          </w:tcPr>
          <w:p>
            <w:pPr>
              <w:ind w:left="20"/>
              <w:spacing w:after="0"/>
              <w:rPr>
                <w:sz w:val="20"/>
                <w:szCs w:val="20"/>
                <w:color w:val="auto"/>
              </w:rPr>
            </w:pPr>
            <w:r>
              <w:rPr>
                <w:rFonts w:ascii="Arial" w:cs="Arial" w:eastAsia="Arial" w:hAnsi="Arial"/>
                <w:sz w:val="15"/>
                <w:szCs w:val="15"/>
                <w:color w:val="auto"/>
              </w:rPr>
              <w:t>Director Engagement</w:t>
            </w:r>
          </w:p>
        </w:tc>
        <w:tc>
          <w:tcPr>
            <w:tcW w:w="900" w:type="dxa"/>
            <w:vAlign w:val="bottom"/>
          </w:tcPr>
          <w:p>
            <w:pPr>
              <w:jc w:val="right"/>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337"/>
        </w:trPr>
        <w:tc>
          <w:tcPr>
            <w:tcW w:w="140" w:type="dxa"/>
            <w:vAlign w:val="bottom"/>
          </w:tcPr>
          <w:p>
            <w:pPr>
              <w:spacing w:after="0"/>
              <w:rPr>
                <w:sz w:val="24"/>
                <w:szCs w:val="24"/>
                <w:color w:val="auto"/>
              </w:rPr>
            </w:pPr>
          </w:p>
        </w:tc>
        <w:tc>
          <w:tcPr>
            <w:tcW w:w="4360" w:type="dxa"/>
            <w:vAlign w:val="bottom"/>
            <w:gridSpan w:val="2"/>
          </w:tcPr>
          <w:p>
            <w:pPr>
              <w:ind w:left="20"/>
              <w:spacing w:after="0"/>
              <w:rPr>
                <w:sz w:val="20"/>
                <w:szCs w:val="20"/>
                <w:color w:val="auto"/>
              </w:rPr>
            </w:pPr>
            <w:r>
              <w:rPr>
                <w:rFonts w:ascii="Arial" w:cs="Arial" w:eastAsia="Arial" w:hAnsi="Arial"/>
                <w:sz w:val="15"/>
                <w:szCs w:val="15"/>
                <w:color w:val="auto"/>
              </w:rPr>
              <w:t>Committees of the Board</w:t>
            </w:r>
          </w:p>
        </w:tc>
        <w:tc>
          <w:tcPr>
            <w:tcW w:w="900" w:type="dxa"/>
            <w:vAlign w:val="bottom"/>
          </w:tcPr>
          <w:p>
            <w:pPr>
              <w:jc w:val="right"/>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337"/>
        </w:trPr>
        <w:tc>
          <w:tcPr>
            <w:tcW w:w="140" w:type="dxa"/>
            <w:vAlign w:val="bottom"/>
          </w:tcPr>
          <w:p>
            <w:pPr>
              <w:spacing w:after="0"/>
              <w:rPr>
                <w:sz w:val="24"/>
                <w:szCs w:val="24"/>
                <w:color w:val="auto"/>
              </w:rPr>
            </w:pPr>
          </w:p>
        </w:tc>
        <w:tc>
          <w:tcPr>
            <w:tcW w:w="4360" w:type="dxa"/>
            <w:vAlign w:val="bottom"/>
            <w:gridSpan w:val="2"/>
          </w:tcPr>
          <w:p>
            <w:pPr>
              <w:ind w:left="20"/>
              <w:spacing w:after="0"/>
              <w:rPr>
                <w:sz w:val="20"/>
                <w:szCs w:val="20"/>
                <w:color w:val="auto"/>
              </w:rPr>
            </w:pPr>
            <w:r>
              <w:rPr>
                <w:rFonts w:ascii="Arial" w:cs="Arial" w:eastAsia="Arial" w:hAnsi="Arial"/>
                <w:sz w:val="15"/>
                <w:szCs w:val="15"/>
                <w:color w:val="auto"/>
              </w:rPr>
              <w:t>Board Policies and Procedures</w:t>
            </w:r>
          </w:p>
        </w:tc>
        <w:tc>
          <w:tcPr>
            <w:tcW w:w="900" w:type="dxa"/>
            <w:vAlign w:val="bottom"/>
          </w:tcPr>
          <w:p>
            <w:pPr>
              <w:jc w:val="right"/>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337"/>
        </w:trPr>
        <w:tc>
          <w:tcPr>
            <w:tcW w:w="140" w:type="dxa"/>
            <w:vAlign w:val="bottom"/>
          </w:tcPr>
          <w:p>
            <w:pPr>
              <w:spacing w:after="0"/>
              <w:rPr>
                <w:sz w:val="24"/>
                <w:szCs w:val="24"/>
                <w:color w:val="auto"/>
              </w:rPr>
            </w:pPr>
          </w:p>
        </w:tc>
        <w:tc>
          <w:tcPr>
            <w:tcW w:w="4360" w:type="dxa"/>
            <w:vAlign w:val="bottom"/>
            <w:gridSpan w:val="2"/>
          </w:tcPr>
          <w:p>
            <w:pPr>
              <w:ind w:left="20"/>
              <w:spacing w:after="0"/>
              <w:rPr>
                <w:sz w:val="20"/>
                <w:szCs w:val="20"/>
                <w:color w:val="auto"/>
              </w:rPr>
            </w:pPr>
            <w:r>
              <w:rPr>
                <w:rFonts w:ascii="Arial" w:cs="Arial" w:eastAsia="Arial" w:hAnsi="Arial"/>
                <w:sz w:val="15"/>
                <w:szCs w:val="15"/>
                <w:color w:val="auto"/>
              </w:rPr>
              <w:t>Non-Employee Director Independence Determinations</w:t>
            </w:r>
          </w:p>
        </w:tc>
        <w:tc>
          <w:tcPr>
            <w:tcW w:w="900" w:type="dxa"/>
            <w:vAlign w:val="bottom"/>
          </w:tcPr>
          <w:p>
            <w:pPr>
              <w:jc w:val="right"/>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152"/>
        </w:trPr>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500" w:type="dxa"/>
            <w:vAlign w:val="bottom"/>
            <w:vMerge w:val="restart"/>
          </w:tcPr>
          <w:p>
            <w:pPr>
              <w:ind w:left="80"/>
              <w:spacing w:after="0"/>
              <w:rPr>
                <w:sz w:val="20"/>
                <w:szCs w:val="20"/>
                <w:color w:val="auto"/>
              </w:rPr>
            </w:pPr>
            <w:r>
              <w:rPr>
                <w:rFonts w:ascii="Arial" w:cs="Arial" w:eastAsia="Arial" w:hAnsi="Arial"/>
                <w:sz w:val="15"/>
                <w:szCs w:val="15"/>
                <w:b w:val="1"/>
                <w:bCs w:val="1"/>
                <w:color w:val="00254F"/>
              </w:rPr>
              <w:t>Election of Directors</w:t>
            </w:r>
          </w:p>
        </w:tc>
        <w:tc>
          <w:tcPr>
            <w:tcW w:w="900" w:type="dxa"/>
            <w:vAlign w:val="bottom"/>
            <w:vMerge w:val="restart"/>
          </w:tcPr>
          <w:p>
            <w:pPr>
              <w:jc w:val="right"/>
              <w:spacing w:after="0"/>
              <w:rPr>
                <w:sz w:val="20"/>
                <w:szCs w:val="20"/>
                <w:color w:val="auto"/>
              </w:rPr>
            </w:pPr>
            <w:r>
              <w:rPr>
                <w:rFonts w:ascii="Arial" w:cs="Arial" w:eastAsia="Arial" w:hAnsi="Arial"/>
                <w:sz w:val="15"/>
                <w:szCs w:val="15"/>
                <w:b w:val="1"/>
                <w:bCs w:val="1"/>
                <w:color w:val="00254F"/>
              </w:rPr>
              <w:t>19</w:t>
            </w: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860" w:type="dxa"/>
            <w:vAlign w:val="bottom"/>
            <w:shd w:val="clear" w:color="auto" w:fill="27C0DA"/>
          </w:tcPr>
          <w:p>
            <w:pPr>
              <w:ind w:left="60"/>
              <w:spacing w:after="0"/>
              <w:rPr>
                <w:sz w:val="20"/>
                <w:szCs w:val="20"/>
                <w:color w:val="auto"/>
              </w:rPr>
            </w:pPr>
            <w:r>
              <w:rPr>
                <w:rFonts w:ascii="Arial" w:cs="Arial" w:eastAsia="Arial" w:hAnsi="Arial"/>
                <w:sz w:val="15"/>
                <w:szCs w:val="15"/>
                <w:b w:val="1"/>
                <w:bCs w:val="1"/>
                <w:color w:val="FFFFFF"/>
                <w:shd w:val="clear" w:color="auto" w:fill="27C0DA"/>
              </w:rPr>
              <w:t>Proposal 1</w:t>
            </w:r>
          </w:p>
        </w:tc>
        <w:tc>
          <w:tcPr>
            <w:tcW w:w="35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56"/>
        </w:trPr>
        <w:tc>
          <w:tcPr>
            <w:tcW w:w="4500" w:type="dxa"/>
            <w:vAlign w:val="bottom"/>
            <w:gridSpan w:val="3"/>
          </w:tcPr>
          <w:p>
            <w:pPr>
              <w:spacing w:after="0"/>
              <w:rPr>
                <w:sz w:val="20"/>
                <w:szCs w:val="20"/>
                <w:color w:val="auto"/>
              </w:rPr>
            </w:pPr>
            <w:r>
              <w:rPr>
                <w:rFonts w:ascii="Arial" w:cs="Arial" w:eastAsia="Arial" w:hAnsi="Arial"/>
                <w:sz w:val="15"/>
                <w:szCs w:val="15"/>
                <w:b w:val="1"/>
                <w:bCs w:val="1"/>
                <w:color w:val="auto"/>
              </w:rPr>
              <w:t>Corporate Governance</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20</w:t>
            </w:r>
          </w:p>
        </w:tc>
        <w:tc>
          <w:tcPr>
            <w:tcW w:w="0" w:type="dxa"/>
            <w:vAlign w:val="bottom"/>
          </w:tcPr>
          <w:p>
            <w:pPr>
              <w:spacing w:after="0"/>
              <w:rPr>
                <w:sz w:val="1"/>
                <w:szCs w:val="1"/>
                <w:color w:val="auto"/>
              </w:rPr>
            </w:pPr>
          </w:p>
        </w:tc>
      </w:tr>
      <w:tr>
        <w:trPr>
          <w:trHeight w:val="307"/>
        </w:trPr>
        <w:tc>
          <w:tcPr>
            <w:tcW w:w="140" w:type="dxa"/>
            <w:vAlign w:val="bottom"/>
          </w:tcPr>
          <w:p>
            <w:pPr>
              <w:spacing w:after="0"/>
              <w:rPr>
                <w:sz w:val="24"/>
                <w:szCs w:val="24"/>
                <w:color w:val="auto"/>
              </w:rPr>
            </w:pPr>
          </w:p>
        </w:tc>
        <w:tc>
          <w:tcPr>
            <w:tcW w:w="4360" w:type="dxa"/>
            <w:vAlign w:val="bottom"/>
            <w:gridSpan w:val="2"/>
          </w:tcPr>
          <w:p>
            <w:pPr>
              <w:ind w:left="20"/>
              <w:spacing w:after="0"/>
              <w:rPr>
                <w:sz w:val="20"/>
                <w:szCs w:val="20"/>
                <w:color w:val="auto"/>
              </w:rPr>
            </w:pPr>
            <w:r>
              <w:rPr>
                <w:rFonts w:ascii="Arial" w:cs="Arial" w:eastAsia="Arial" w:hAnsi="Arial"/>
                <w:sz w:val="15"/>
                <w:szCs w:val="15"/>
                <w:color w:val="auto"/>
              </w:rPr>
              <w:t>Report of the Nominating and Corporate Governance</w:t>
            </w:r>
          </w:p>
        </w:tc>
        <w:tc>
          <w:tcPr>
            <w:tcW w:w="900" w:type="dxa"/>
            <w:vAlign w:val="bottom"/>
          </w:tcPr>
          <w:p>
            <w:pPr>
              <w:jc w:val="right"/>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198"/>
        </w:trPr>
        <w:tc>
          <w:tcPr>
            <w:tcW w:w="140" w:type="dxa"/>
            <w:vAlign w:val="bottom"/>
          </w:tcPr>
          <w:p>
            <w:pPr>
              <w:spacing w:after="0"/>
              <w:rPr>
                <w:sz w:val="17"/>
                <w:szCs w:val="17"/>
                <w:color w:val="auto"/>
              </w:rPr>
            </w:pPr>
          </w:p>
        </w:tc>
        <w:tc>
          <w:tcPr>
            <w:tcW w:w="4360" w:type="dxa"/>
            <w:vAlign w:val="bottom"/>
            <w:gridSpan w:val="2"/>
          </w:tcPr>
          <w:p>
            <w:pPr>
              <w:ind w:left="20"/>
              <w:spacing w:after="0"/>
              <w:rPr>
                <w:sz w:val="20"/>
                <w:szCs w:val="20"/>
                <w:color w:val="auto"/>
              </w:rPr>
            </w:pPr>
            <w:r>
              <w:rPr>
                <w:rFonts w:ascii="Arial" w:cs="Arial" w:eastAsia="Arial" w:hAnsi="Arial"/>
                <w:sz w:val="15"/>
                <w:szCs w:val="15"/>
                <w:color w:val="auto"/>
              </w:rPr>
              <w:t>Committee</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7"/>
        </w:trPr>
        <w:tc>
          <w:tcPr>
            <w:tcW w:w="140" w:type="dxa"/>
            <w:vAlign w:val="bottom"/>
          </w:tcPr>
          <w:p>
            <w:pPr>
              <w:spacing w:after="0"/>
              <w:rPr>
                <w:sz w:val="24"/>
                <w:szCs w:val="24"/>
                <w:color w:val="auto"/>
              </w:rPr>
            </w:pPr>
          </w:p>
        </w:tc>
        <w:tc>
          <w:tcPr>
            <w:tcW w:w="4360" w:type="dxa"/>
            <w:vAlign w:val="bottom"/>
            <w:gridSpan w:val="2"/>
          </w:tcPr>
          <w:p>
            <w:pPr>
              <w:ind w:left="20"/>
              <w:spacing w:after="0"/>
              <w:rPr>
                <w:sz w:val="20"/>
                <w:szCs w:val="20"/>
                <w:color w:val="auto"/>
              </w:rPr>
            </w:pPr>
            <w:r>
              <w:rPr>
                <w:rFonts w:ascii="Arial" w:cs="Arial" w:eastAsia="Arial" w:hAnsi="Arial"/>
                <w:sz w:val="15"/>
                <w:szCs w:val="15"/>
                <w:color w:val="auto"/>
              </w:rPr>
              <w:t>Governance Highlights</w:t>
            </w:r>
          </w:p>
        </w:tc>
        <w:tc>
          <w:tcPr>
            <w:tcW w:w="900" w:type="dxa"/>
            <w:vAlign w:val="bottom"/>
          </w:tcPr>
          <w:p>
            <w:pPr>
              <w:jc w:val="right"/>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337"/>
        </w:trPr>
        <w:tc>
          <w:tcPr>
            <w:tcW w:w="140" w:type="dxa"/>
            <w:vAlign w:val="bottom"/>
          </w:tcPr>
          <w:p>
            <w:pPr>
              <w:spacing w:after="0"/>
              <w:rPr>
                <w:sz w:val="24"/>
                <w:szCs w:val="24"/>
                <w:color w:val="auto"/>
              </w:rPr>
            </w:pPr>
          </w:p>
        </w:tc>
        <w:tc>
          <w:tcPr>
            <w:tcW w:w="4360" w:type="dxa"/>
            <w:vAlign w:val="bottom"/>
            <w:gridSpan w:val="2"/>
          </w:tcPr>
          <w:p>
            <w:pPr>
              <w:ind w:left="20"/>
              <w:spacing w:after="0"/>
              <w:rPr>
                <w:sz w:val="20"/>
                <w:szCs w:val="20"/>
                <w:color w:val="auto"/>
              </w:rPr>
            </w:pPr>
            <w:r>
              <w:rPr>
                <w:rFonts w:ascii="Arial" w:cs="Arial" w:eastAsia="Arial" w:hAnsi="Arial"/>
                <w:sz w:val="15"/>
                <w:szCs w:val="15"/>
                <w:color w:val="auto"/>
              </w:rPr>
              <w:t>Board Composition</w:t>
            </w:r>
          </w:p>
        </w:tc>
        <w:tc>
          <w:tcPr>
            <w:tcW w:w="900" w:type="dxa"/>
            <w:vAlign w:val="bottom"/>
          </w:tcPr>
          <w:p>
            <w:pPr>
              <w:jc w:val="right"/>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337"/>
        </w:trPr>
        <w:tc>
          <w:tcPr>
            <w:tcW w:w="140" w:type="dxa"/>
            <w:vAlign w:val="bottom"/>
          </w:tcPr>
          <w:p>
            <w:pPr>
              <w:spacing w:after="0"/>
              <w:rPr>
                <w:sz w:val="24"/>
                <w:szCs w:val="24"/>
                <w:color w:val="auto"/>
              </w:rPr>
            </w:pPr>
          </w:p>
        </w:tc>
        <w:tc>
          <w:tcPr>
            <w:tcW w:w="4360" w:type="dxa"/>
            <w:vAlign w:val="bottom"/>
            <w:gridSpan w:val="2"/>
          </w:tcPr>
          <w:p>
            <w:pPr>
              <w:ind w:left="20"/>
              <w:spacing w:after="0"/>
              <w:rPr>
                <w:sz w:val="20"/>
                <w:szCs w:val="20"/>
                <w:color w:val="auto"/>
              </w:rPr>
            </w:pPr>
            <w:r>
              <w:rPr>
                <w:rFonts w:ascii="Arial" w:cs="Arial" w:eastAsia="Arial" w:hAnsi="Arial"/>
                <w:sz w:val="15"/>
                <w:szCs w:val="15"/>
                <w:color w:val="auto"/>
              </w:rPr>
              <w:t>Engagement With Our Stockholders</w:t>
            </w:r>
          </w:p>
        </w:tc>
        <w:tc>
          <w:tcPr>
            <w:tcW w:w="900" w:type="dxa"/>
            <w:vAlign w:val="bottom"/>
          </w:tcPr>
          <w:p>
            <w:pPr>
              <w:jc w:val="right"/>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337"/>
        </w:trPr>
        <w:tc>
          <w:tcPr>
            <w:tcW w:w="140" w:type="dxa"/>
            <w:vAlign w:val="bottom"/>
          </w:tcPr>
          <w:p>
            <w:pPr>
              <w:spacing w:after="0"/>
              <w:rPr>
                <w:sz w:val="24"/>
                <w:szCs w:val="24"/>
                <w:color w:val="auto"/>
              </w:rPr>
            </w:pPr>
          </w:p>
        </w:tc>
        <w:tc>
          <w:tcPr>
            <w:tcW w:w="4360" w:type="dxa"/>
            <w:vAlign w:val="bottom"/>
            <w:gridSpan w:val="2"/>
          </w:tcPr>
          <w:p>
            <w:pPr>
              <w:ind w:left="20"/>
              <w:spacing w:after="0"/>
              <w:rPr>
                <w:sz w:val="20"/>
                <w:szCs w:val="20"/>
                <w:color w:val="auto"/>
              </w:rPr>
            </w:pPr>
            <w:r>
              <w:rPr>
                <w:rFonts w:ascii="Arial" w:cs="Arial" w:eastAsia="Arial" w:hAnsi="Arial"/>
                <w:sz w:val="15"/>
                <w:szCs w:val="15"/>
                <w:color w:val="auto"/>
              </w:rPr>
              <w:t>Compensation of Directors</w:t>
            </w:r>
          </w:p>
        </w:tc>
        <w:tc>
          <w:tcPr>
            <w:tcW w:w="900" w:type="dxa"/>
            <w:vAlign w:val="bottom"/>
          </w:tcPr>
          <w:p>
            <w:pPr>
              <w:jc w:val="right"/>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345"/>
        </w:trPr>
        <w:tc>
          <w:tcPr>
            <w:tcW w:w="4500" w:type="dxa"/>
            <w:vAlign w:val="bottom"/>
            <w:gridSpan w:val="3"/>
          </w:tcPr>
          <w:p>
            <w:pPr>
              <w:spacing w:after="0"/>
              <w:rPr>
                <w:sz w:val="20"/>
                <w:szCs w:val="20"/>
                <w:color w:val="auto"/>
              </w:rPr>
            </w:pPr>
            <w:r>
              <w:rPr>
                <w:rFonts w:ascii="Arial" w:cs="Arial" w:eastAsia="Arial" w:hAnsi="Arial"/>
                <w:sz w:val="15"/>
                <w:szCs w:val="15"/>
                <w:b w:val="1"/>
                <w:bCs w:val="1"/>
                <w:color w:val="auto"/>
              </w:rPr>
              <w:t>Risk Management Oversight</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33</w:t>
            </w:r>
          </w:p>
        </w:tc>
        <w:tc>
          <w:tcPr>
            <w:tcW w:w="0" w:type="dxa"/>
            <w:vAlign w:val="bottom"/>
          </w:tcPr>
          <w:p>
            <w:pPr>
              <w:spacing w:after="0"/>
              <w:rPr>
                <w:sz w:val="1"/>
                <w:szCs w:val="1"/>
                <w:color w:val="auto"/>
              </w:rPr>
            </w:pPr>
          </w:p>
        </w:tc>
      </w:tr>
      <w:tr>
        <w:trPr>
          <w:trHeight w:val="337"/>
        </w:trPr>
        <w:tc>
          <w:tcPr>
            <w:tcW w:w="4500" w:type="dxa"/>
            <w:vAlign w:val="bottom"/>
            <w:gridSpan w:val="3"/>
          </w:tcPr>
          <w:p>
            <w:pPr>
              <w:spacing w:after="0"/>
              <w:rPr>
                <w:sz w:val="20"/>
                <w:szCs w:val="20"/>
                <w:color w:val="auto"/>
              </w:rPr>
            </w:pPr>
            <w:r>
              <w:rPr>
                <w:rFonts w:ascii="Arial" w:cs="Arial" w:eastAsia="Arial" w:hAnsi="Arial"/>
                <w:sz w:val="15"/>
                <w:szCs w:val="15"/>
                <w:b w:val="1"/>
                <w:bCs w:val="1"/>
                <w:color w:val="auto"/>
              </w:rPr>
              <w:t>Cybersecurity Oversight</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60" w:type="dxa"/>
            <w:vAlign w:val="bottom"/>
          </w:tcPr>
          <w:p>
            <w:pPr>
              <w:spacing w:after="0"/>
              <w:rPr>
                <w:sz w:val="17"/>
                <w:szCs w:val="17"/>
                <w:color w:val="auto"/>
              </w:rPr>
            </w:pPr>
          </w:p>
        </w:tc>
        <w:tc>
          <w:tcPr>
            <w:tcW w:w="4740" w:type="dxa"/>
            <w:vAlign w:val="bottom"/>
            <w:gridSpan w:val="2"/>
          </w:tcPr>
          <w:p>
            <w:pPr>
              <w:spacing w:after="0"/>
              <w:rPr>
                <w:sz w:val="20"/>
                <w:szCs w:val="20"/>
                <w:color w:val="auto"/>
              </w:rPr>
            </w:pPr>
            <w:r>
              <w:rPr>
                <w:rFonts w:ascii="Arial" w:cs="Arial" w:eastAsia="Arial" w:hAnsi="Arial"/>
                <w:sz w:val="15"/>
                <w:szCs w:val="15"/>
                <w:color w:val="auto"/>
              </w:rPr>
              <w:t>Outstanding Equity Awards Table at December 31, 2023</w:t>
            </w:r>
          </w:p>
        </w:tc>
        <w:tc>
          <w:tcPr>
            <w:tcW w:w="500" w:type="dxa"/>
            <w:vAlign w:val="bottom"/>
          </w:tcPr>
          <w:p>
            <w:pPr>
              <w:jc w:val="right"/>
              <w:spacing w:after="0"/>
              <w:rPr>
                <w:sz w:val="20"/>
                <w:szCs w:val="20"/>
                <w:color w:val="auto"/>
              </w:rPr>
            </w:pPr>
            <w:r>
              <w:rPr>
                <w:rFonts w:ascii="Arial" w:cs="Arial" w:eastAsia="Arial" w:hAnsi="Arial"/>
                <w:sz w:val="15"/>
                <w:szCs w:val="15"/>
                <w:color w:val="auto"/>
              </w:rPr>
              <w:t>66</w:t>
            </w:r>
          </w:p>
        </w:tc>
        <w:tc>
          <w:tcPr>
            <w:tcW w:w="0" w:type="dxa"/>
            <w:vAlign w:val="bottom"/>
          </w:tcPr>
          <w:p>
            <w:pPr>
              <w:spacing w:after="0"/>
              <w:rPr>
                <w:sz w:val="1"/>
                <w:szCs w:val="1"/>
                <w:color w:val="auto"/>
              </w:rPr>
            </w:pPr>
          </w:p>
        </w:tc>
      </w:tr>
      <w:tr>
        <w:trPr>
          <w:trHeight w:val="325"/>
        </w:trPr>
        <w:tc>
          <w:tcPr>
            <w:tcW w:w="160" w:type="dxa"/>
            <w:vAlign w:val="bottom"/>
          </w:tcPr>
          <w:p>
            <w:pPr>
              <w:spacing w:after="0"/>
              <w:rPr>
                <w:sz w:val="24"/>
                <w:szCs w:val="24"/>
                <w:color w:val="auto"/>
              </w:rPr>
            </w:pPr>
          </w:p>
        </w:tc>
        <w:tc>
          <w:tcPr>
            <w:tcW w:w="4740" w:type="dxa"/>
            <w:vAlign w:val="bottom"/>
            <w:gridSpan w:val="2"/>
          </w:tcPr>
          <w:p>
            <w:pPr>
              <w:spacing w:after="0"/>
              <w:rPr>
                <w:sz w:val="20"/>
                <w:szCs w:val="20"/>
                <w:color w:val="auto"/>
              </w:rPr>
            </w:pPr>
            <w:r>
              <w:rPr>
                <w:rFonts w:ascii="Arial" w:cs="Arial" w:eastAsia="Arial" w:hAnsi="Arial"/>
                <w:sz w:val="15"/>
                <w:szCs w:val="15"/>
                <w:color w:val="auto"/>
              </w:rPr>
              <w:t>2023 Options Exercises and Stock Vested Table</w:t>
            </w:r>
          </w:p>
        </w:tc>
        <w:tc>
          <w:tcPr>
            <w:tcW w:w="500" w:type="dxa"/>
            <w:vAlign w:val="bottom"/>
          </w:tcPr>
          <w:p>
            <w:pPr>
              <w:jc w:val="right"/>
              <w:spacing w:after="0"/>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337"/>
        </w:trPr>
        <w:tc>
          <w:tcPr>
            <w:tcW w:w="160" w:type="dxa"/>
            <w:vAlign w:val="bottom"/>
          </w:tcPr>
          <w:p>
            <w:pPr>
              <w:spacing w:after="0"/>
              <w:rPr>
                <w:sz w:val="24"/>
                <w:szCs w:val="24"/>
                <w:color w:val="auto"/>
              </w:rPr>
            </w:pPr>
          </w:p>
        </w:tc>
        <w:tc>
          <w:tcPr>
            <w:tcW w:w="4740" w:type="dxa"/>
            <w:vAlign w:val="bottom"/>
            <w:gridSpan w:val="2"/>
          </w:tcPr>
          <w:p>
            <w:pPr>
              <w:spacing w:after="0"/>
              <w:rPr>
                <w:sz w:val="20"/>
                <w:szCs w:val="20"/>
                <w:color w:val="auto"/>
              </w:rPr>
            </w:pPr>
            <w:r>
              <w:rPr>
                <w:rFonts w:ascii="Arial" w:cs="Arial" w:eastAsia="Arial" w:hAnsi="Arial"/>
                <w:sz w:val="15"/>
                <w:szCs w:val="15"/>
                <w:color w:val="auto"/>
              </w:rPr>
              <w:t>2023 Nonqualified Deferred Compensation Table</w:t>
            </w:r>
          </w:p>
        </w:tc>
        <w:tc>
          <w:tcPr>
            <w:tcW w:w="500" w:type="dxa"/>
            <w:vAlign w:val="bottom"/>
          </w:tcPr>
          <w:p>
            <w:pPr>
              <w:jc w:val="right"/>
              <w:spacing w:after="0"/>
              <w:rPr>
                <w:sz w:val="20"/>
                <w:szCs w:val="20"/>
                <w:color w:val="auto"/>
              </w:rPr>
            </w:pPr>
            <w:r>
              <w:rPr>
                <w:rFonts w:ascii="Arial" w:cs="Arial" w:eastAsia="Arial" w:hAnsi="Arial"/>
                <w:sz w:val="15"/>
                <w:szCs w:val="15"/>
                <w:color w:val="auto"/>
              </w:rPr>
              <w:t>69</w:t>
            </w:r>
          </w:p>
        </w:tc>
        <w:tc>
          <w:tcPr>
            <w:tcW w:w="0" w:type="dxa"/>
            <w:vAlign w:val="bottom"/>
          </w:tcPr>
          <w:p>
            <w:pPr>
              <w:spacing w:after="0"/>
              <w:rPr>
                <w:sz w:val="1"/>
                <w:szCs w:val="1"/>
                <w:color w:val="auto"/>
              </w:rPr>
            </w:pPr>
          </w:p>
        </w:tc>
      </w:tr>
      <w:tr>
        <w:trPr>
          <w:trHeight w:val="337"/>
        </w:trPr>
        <w:tc>
          <w:tcPr>
            <w:tcW w:w="160" w:type="dxa"/>
            <w:vAlign w:val="bottom"/>
          </w:tcPr>
          <w:p>
            <w:pPr>
              <w:spacing w:after="0"/>
              <w:rPr>
                <w:sz w:val="24"/>
                <w:szCs w:val="24"/>
                <w:color w:val="auto"/>
              </w:rPr>
            </w:pPr>
          </w:p>
        </w:tc>
        <w:tc>
          <w:tcPr>
            <w:tcW w:w="4740" w:type="dxa"/>
            <w:vAlign w:val="bottom"/>
            <w:gridSpan w:val="2"/>
          </w:tcPr>
          <w:p>
            <w:pPr>
              <w:spacing w:after="0"/>
              <w:rPr>
                <w:sz w:val="20"/>
                <w:szCs w:val="20"/>
                <w:color w:val="auto"/>
              </w:rPr>
            </w:pPr>
            <w:r>
              <w:rPr>
                <w:rFonts w:ascii="Arial" w:cs="Arial" w:eastAsia="Arial" w:hAnsi="Arial"/>
                <w:sz w:val="15"/>
                <w:szCs w:val="15"/>
                <w:color w:val="auto"/>
              </w:rPr>
              <w:t>Potential Payments on Termination or Change in Control</w:t>
            </w:r>
          </w:p>
        </w:tc>
        <w:tc>
          <w:tcPr>
            <w:tcW w:w="500" w:type="dxa"/>
            <w:vAlign w:val="bottom"/>
          </w:tcPr>
          <w:p>
            <w:pPr>
              <w:jc w:val="right"/>
              <w:spacing w:after="0"/>
              <w:rPr>
                <w:sz w:val="20"/>
                <w:szCs w:val="20"/>
                <w:color w:val="auto"/>
              </w:rPr>
            </w:pPr>
            <w:r>
              <w:rPr>
                <w:rFonts w:ascii="Arial" w:cs="Arial" w:eastAsia="Arial" w:hAnsi="Arial"/>
                <w:sz w:val="15"/>
                <w:szCs w:val="15"/>
                <w:color w:val="auto"/>
              </w:rPr>
              <w:t>70</w:t>
            </w:r>
          </w:p>
        </w:tc>
        <w:tc>
          <w:tcPr>
            <w:tcW w:w="0" w:type="dxa"/>
            <w:vAlign w:val="bottom"/>
          </w:tcPr>
          <w:p>
            <w:pPr>
              <w:spacing w:after="0"/>
              <w:rPr>
                <w:sz w:val="1"/>
                <w:szCs w:val="1"/>
                <w:color w:val="auto"/>
              </w:rPr>
            </w:pPr>
          </w:p>
        </w:tc>
      </w:tr>
      <w:tr>
        <w:trPr>
          <w:trHeight w:val="337"/>
        </w:trPr>
        <w:tc>
          <w:tcPr>
            <w:tcW w:w="160" w:type="dxa"/>
            <w:vAlign w:val="bottom"/>
          </w:tcPr>
          <w:p>
            <w:pPr>
              <w:spacing w:after="0"/>
              <w:rPr>
                <w:sz w:val="24"/>
                <w:szCs w:val="24"/>
                <w:color w:val="auto"/>
              </w:rPr>
            </w:pPr>
          </w:p>
        </w:tc>
        <w:tc>
          <w:tcPr>
            <w:tcW w:w="4740" w:type="dxa"/>
            <w:vAlign w:val="bottom"/>
            <w:gridSpan w:val="2"/>
          </w:tcPr>
          <w:p>
            <w:pPr>
              <w:spacing w:after="0"/>
              <w:rPr>
                <w:sz w:val="20"/>
                <w:szCs w:val="20"/>
                <w:color w:val="auto"/>
              </w:rPr>
            </w:pPr>
            <w:r>
              <w:rPr>
                <w:rFonts w:ascii="Arial" w:cs="Arial" w:eastAsia="Arial" w:hAnsi="Arial"/>
                <w:sz w:val="15"/>
                <w:szCs w:val="15"/>
                <w:color w:val="auto"/>
              </w:rPr>
              <w:t>Chief Executive Officer Pay Ratio</w:t>
            </w:r>
          </w:p>
        </w:tc>
        <w:tc>
          <w:tcPr>
            <w:tcW w:w="500" w:type="dxa"/>
            <w:vAlign w:val="bottom"/>
          </w:tcPr>
          <w:p>
            <w:pPr>
              <w:jc w:val="right"/>
              <w:spacing w:after="0"/>
              <w:rPr>
                <w:sz w:val="20"/>
                <w:szCs w:val="20"/>
                <w:color w:val="auto"/>
              </w:rPr>
            </w:pPr>
            <w:r>
              <w:rPr>
                <w:rFonts w:ascii="Arial" w:cs="Arial" w:eastAsia="Arial" w:hAnsi="Arial"/>
                <w:sz w:val="15"/>
                <w:szCs w:val="15"/>
                <w:color w:val="auto"/>
              </w:rPr>
              <w:t>70</w:t>
            </w:r>
          </w:p>
        </w:tc>
        <w:tc>
          <w:tcPr>
            <w:tcW w:w="0" w:type="dxa"/>
            <w:vAlign w:val="bottom"/>
          </w:tcPr>
          <w:p>
            <w:pPr>
              <w:spacing w:after="0"/>
              <w:rPr>
                <w:sz w:val="1"/>
                <w:szCs w:val="1"/>
                <w:color w:val="auto"/>
              </w:rPr>
            </w:pPr>
          </w:p>
        </w:tc>
      </w:tr>
      <w:tr>
        <w:trPr>
          <w:trHeight w:val="337"/>
        </w:trPr>
        <w:tc>
          <w:tcPr>
            <w:tcW w:w="160" w:type="dxa"/>
            <w:vAlign w:val="bottom"/>
          </w:tcPr>
          <w:p>
            <w:pPr>
              <w:spacing w:after="0"/>
              <w:rPr>
                <w:sz w:val="24"/>
                <w:szCs w:val="24"/>
                <w:color w:val="auto"/>
              </w:rPr>
            </w:pPr>
          </w:p>
        </w:tc>
        <w:tc>
          <w:tcPr>
            <w:tcW w:w="4740" w:type="dxa"/>
            <w:vAlign w:val="bottom"/>
            <w:gridSpan w:val="2"/>
          </w:tcPr>
          <w:p>
            <w:pPr>
              <w:spacing w:after="0"/>
              <w:rPr>
                <w:sz w:val="20"/>
                <w:szCs w:val="20"/>
                <w:color w:val="auto"/>
              </w:rPr>
            </w:pPr>
            <w:r>
              <w:rPr>
                <w:rFonts w:ascii="Arial" w:cs="Arial" w:eastAsia="Arial" w:hAnsi="Arial"/>
                <w:sz w:val="15"/>
                <w:szCs w:val="15"/>
                <w:color w:val="auto"/>
              </w:rPr>
              <w:t>Pay Versus Performance</w:t>
            </w:r>
          </w:p>
        </w:tc>
        <w:tc>
          <w:tcPr>
            <w:tcW w:w="500" w:type="dxa"/>
            <w:vAlign w:val="bottom"/>
          </w:tcPr>
          <w:p>
            <w:pPr>
              <w:jc w:val="right"/>
              <w:spacing w:after="0"/>
              <w:rPr>
                <w:sz w:val="20"/>
                <w:szCs w:val="20"/>
                <w:color w:val="auto"/>
              </w:rPr>
            </w:pPr>
            <w:r>
              <w:rPr>
                <w:rFonts w:ascii="Arial" w:cs="Arial" w:eastAsia="Arial" w:hAnsi="Arial"/>
                <w:sz w:val="15"/>
                <w:szCs w:val="15"/>
                <w:color w:val="auto"/>
              </w:rPr>
              <w:t>71</w:t>
            </w:r>
          </w:p>
        </w:tc>
        <w:tc>
          <w:tcPr>
            <w:tcW w:w="0" w:type="dxa"/>
            <w:vAlign w:val="bottom"/>
          </w:tcPr>
          <w:p>
            <w:pPr>
              <w:spacing w:after="0"/>
              <w:rPr>
                <w:sz w:val="1"/>
                <w:szCs w:val="1"/>
                <w:color w:val="auto"/>
              </w:rPr>
            </w:pPr>
          </w:p>
        </w:tc>
      </w:tr>
      <w:tr>
        <w:trPr>
          <w:trHeight w:val="152"/>
        </w:trPr>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900" w:type="dxa"/>
            <w:vAlign w:val="bottom"/>
            <w:vMerge w:val="restart"/>
          </w:tcPr>
          <w:p>
            <w:pPr>
              <w:ind w:left="100"/>
              <w:spacing w:after="0"/>
              <w:rPr>
                <w:sz w:val="20"/>
                <w:szCs w:val="20"/>
                <w:color w:val="auto"/>
              </w:rPr>
            </w:pPr>
            <w:r>
              <w:rPr>
                <w:rFonts w:ascii="Arial" w:cs="Arial" w:eastAsia="Arial" w:hAnsi="Arial"/>
                <w:sz w:val="15"/>
                <w:szCs w:val="15"/>
                <w:b w:val="1"/>
                <w:bCs w:val="1"/>
                <w:color w:val="00254F"/>
              </w:rPr>
              <w:t>Advisory Vote on the Compensation Paid to Our</w:t>
            </w:r>
          </w:p>
        </w:tc>
        <w:tc>
          <w:tcPr>
            <w:tcW w:w="500" w:type="dxa"/>
            <w:vAlign w:val="bottom"/>
            <w:vMerge w:val="restart"/>
          </w:tcPr>
          <w:p>
            <w:pPr>
              <w:jc w:val="right"/>
              <w:spacing w:after="0"/>
              <w:rPr>
                <w:sz w:val="20"/>
                <w:szCs w:val="20"/>
                <w:color w:val="auto"/>
              </w:rPr>
            </w:pPr>
            <w:r>
              <w:rPr>
                <w:rFonts w:ascii="Arial" w:cs="Arial" w:eastAsia="Arial" w:hAnsi="Arial"/>
                <w:sz w:val="15"/>
                <w:szCs w:val="15"/>
                <w:b w:val="1"/>
                <w:bCs w:val="1"/>
                <w:color w:val="00254F"/>
              </w:rPr>
              <w:t>74</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840" w:type="dxa"/>
            <w:vAlign w:val="bottom"/>
            <w:shd w:val="clear" w:color="auto" w:fill="27C0DA"/>
          </w:tcPr>
          <w:p>
            <w:pPr>
              <w:jc w:val="right"/>
              <w:spacing w:after="0"/>
              <w:rPr>
                <w:sz w:val="20"/>
                <w:szCs w:val="20"/>
                <w:color w:val="auto"/>
              </w:rPr>
            </w:pPr>
            <w:r>
              <w:rPr>
                <w:rFonts w:ascii="Arial" w:cs="Arial" w:eastAsia="Arial" w:hAnsi="Arial"/>
                <w:sz w:val="15"/>
                <w:szCs w:val="15"/>
                <w:b w:val="1"/>
                <w:bCs w:val="1"/>
                <w:color w:val="FFFFFF"/>
                <w:shd w:val="clear" w:color="auto" w:fill="27C0DA"/>
              </w:rPr>
              <w:t>Proposal 2</w:t>
            </w:r>
          </w:p>
        </w:tc>
        <w:tc>
          <w:tcPr>
            <w:tcW w:w="390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60" w:type="dxa"/>
            <w:vAlign w:val="bottom"/>
          </w:tcPr>
          <w:p>
            <w:pPr>
              <w:spacing w:after="0"/>
              <w:rPr>
                <w:sz w:val="17"/>
                <w:szCs w:val="17"/>
                <w:color w:val="auto"/>
              </w:rPr>
            </w:pPr>
          </w:p>
        </w:tc>
        <w:tc>
          <w:tcPr>
            <w:tcW w:w="4740" w:type="dxa"/>
            <w:vAlign w:val="bottom"/>
            <w:gridSpan w:val="2"/>
          </w:tcPr>
          <w:p>
            <w:pPr>
              <w:spacing w:after="0"/>
              <w:rPr>
                <w:sz w:val="20"/>
                <w:szCs w:val="20"/>
                <w:color w:val="auto"/>
              </w:rPr>
            </w:pPr>
            <w:r>
              <w:rPr>
                <w:rFonts w:ascii="Arial" w:cs="Arial" w:eastAsia="Arial" w:hAnsi="Arial"/>
                <w:sz w:val="15"/>
                <w:szCs w:val="15"/>
                <w:b w:val="1"/>
                <w:bCs w:val="1"/>
                <w:color w:val="00254F"/>
              </w:rPr>
              <w:t>Named Executive Officers</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5"/>
        </w:trPr>
        <w:tc>
          <w:tcPr>
            <w:tcW w:w="4900" w:type="dxa"/>
            <w:vAlign w:val="bottom"/>
            <w:gridSpan w:val="3"/>
          </w:tcPr>
          <w:p>
            <w:pPr>
              <w:jc w:val="right"/>
              <w:ind w:right="3865"/>
              <w:spacing w:after="0"/>
              <w:rPr>
                <w:sz w:val="20"/>
                <w:szCs w:val="20"/>
                <w:color w:val="auto"/>
              </w:rPr>
            </w:pPr>
            <w:r>
              <w:rPr>
                <w:rFonts w:ascii="Arial" w:cs="Arial" w:eastAsia="Arial" w:hAnsi="Arial"/>
                <w:sz w:val="15"/>
                <w:szCs w:val="15"/>
                <w:b w:val="1"/>
                <w:bCs w:val="1"/>
                <w:color w:val="auto"/>
                <w:w w:val="98"/>
              </w:rPr>
              <w:t>Audit Matters</w:t>
            </w:r>
          </w:p>
        </w:tc>
        <w:tc>
          <w:tcPr>
            <w:tcW w:w="500" w:type="dxa"/>
            <w:vAlign w:val="bottom"/>
          </w:tcPr>
          <w:p>
            <w:pPr>
              <w:jc w:val="right"/>
              <w:spacing w:after="0"/>
              <w:rPr>
                <w:sz w:val="20"/>
                <w:szCs w:val="20"/>
                <w:color w:val="auto"/>
              </w:rPr>
            </w:pPr>
            <w:r>
              <w:rPr>
                <w:rFonts w:ascii="Arial" w:cs="Arial" w:eastAsia="Arial" w:hAnsi="Arial"/>
                <w:sz w:val="15"/>
                <w:szCs w:val="15"/>
                <w:b w:val="1"/>
                <w:bCs w:val="1"/>
                <w:color w:val="auto"/>
              </w:rPr>
              <w:t>75</w:t>
            </w:r>
          </w:p>
        </w:tc>
        <w:tc>
          <w:tcPr>
            <w:tcW w:w="0" w:type="dxa"/>
            <w:vAlign w:val="bottom"/>
          </w:tcPr>
          <w:p>
            <w:pPr>
              <w:spacing w:after="0"/>
              <w:rPr>
                <w:sz w:val="1"/>
                <w:szCs w:val="1"/>
                <w:color w:val="auto"/>
              </w:rPr>
            </w:pPr>
          </w:p>
        </w:tc>
      </w:tr>
      <w:tr>
        <w:trPr>
          <w:trHeight w:val="307"/>
        </w:trPr>
        <w:tc>
          <w:tcPr>
            <w:tcW w:w="160" w:type="dxa"/>
            <w:vAlign w:val="bottom"/>
          </w:tcPr>
          <w:p>
            <w:pPr>
              <w:spacing w:after="0"/>
              <w:rPr>
                <w:sz w:val="24"/>
                <w:szCs w:val="24"/>
                <w:color w:val="auto"/>
              </w:rPr>
            </w:pPr>
          </w:p>
        </w:tc>
        <w:tc>
          <w:tcPr>
            <w:tcW w:w="4740" w:type="dxa"/>
            <w:vAlign w:val="bottom"/>
            <w:gridSpan w:val="2"/>
          </w:tcPr>
          <w:p>
            <w:pPr>
              <w:spacing w:after="0"/>
              <w:rPr>
                <w:sz w:val="20"/>
                <w:szCs w:val="20"/>
                <w:color w:val="auto"/>
              </w:rPr>
            </w:pPr>
            <w:r>
              <w:rPr>
                <w:rFonts w:ascii="Arial" w:cs="Arial" w:eastAsia="Arial" w:hAnsi="Arial"/>
                <w:sz w:val="15"/>
                <w:szCs w:val="15"/>
                <w:color w:val="auto"/>
              </w:rPr>
              <w:t>Disclosure of Fees Charged by the Independent Registered Public</w:t>
            </w:r>
          </w:p>
        </w:tc>
        <w:tc>
          <w:tcPr>
            <w:tcW w:w="500" w:type="dxa"/>
            <w:vAlign w:val="bottom"/>
          </w:tcPr>
          <w:p>
            <w:pPr>
              <w:jc w:val="right"/>
              <w:spacing w:after="0"/>
              <w:rPr>
                <w:sz w:val="20"/>
                <w:szCs w:val="20"/>
                <w:color w:val="auto"/>
              </w:rPr>
            </w:pPr>
            <w:r>
              <w:rPr>
                <w:rFonts w:ascii="Arial" w:cs="Arial" w:eastAsia="Arial" w:hAnsi="Arial"/>
                <w:sz w:val="15"/>
                <w:szCs w:val="15"/>
                <w:color w:val="auto"/>
              </w:rPr>
              <w:t>75</w:t>
            </w:r>
          </w:p>
        </w:tc>
        <w:tc>
          <w:tcPr>
            <w:tcW w:w="0" w:type="dxa"/>
            <w:vAlign w:val="bottom"/>
          </w:tcPr>
          <w:p>
            <w:pPr>
              <w:spacing w:after="0"/>
              <w:rPr>
                <w:sz w:val="1"/>
                <w:szCs w:val="1"/>
                <w:color w:val="auto"/>
              </w:rPr>
            </w:pPr>
          </w:p>
        </w:tc>
      </w:tr>
      <w:tr>
        <w:trPr>
          <w:trHeight w:val="198"/>
        </w:trPr>
        <w:tc>
          <w:tcPr>
            <w:tcW w:w="160" w:type="dxa"/>
            <w:vAlign w:val="bottom"/>
          </w:tcPr>
          <w:p>
            <w:pPr>
              <w:spacing w:after="0"/>
              <w:rPr>
                <w:sz w:val="17"/>
                <w:szCs w:val="17"/>
                <w:color w:val="auto"/>
              </w:rPr>
            </w:pPr>
          </w:p>
        </w:tc>
        <w:tc>
          <w:tcPr>
            <w:tcW w:w="4740" w:type="dxa"/>
            <w:vAlign w:val="bottom"/>
            <w:gridSpan w:val="2"/>
          </w:tcPr>
          <w:p>
            <w:pPr>
              <w:spacing w:after="0"/>
              <w:rPr>
                <w:sz w:val="20"/>
                <w:szCs w:val="20"/>
                <w:color w:val="auto"/>
              </w:rPr>
            </w:pPr>
            <w:r>
              <w:rPr>
                <w:rFonts w:ascii="Arial" w:cs="Arial" w:eastAsia="Arial" w:hAnsi="Arial"/>
                <w:sz w:val="15"/>
                <w:szCs w:val="15"/>
                <w:color w:val="auto"/>
              </w:rPr>
              <w:t>Accounting Firm</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7"/>
        </w:trPr>
        <w:tc>
          <w:tcPr>
            <w:tcW w:w="160" w:type="dxa"/>
            <w:vAlign w:val="bottom"/>
          </w:tcPr>
          <w:p>
            <w:pPr>
              <w:spacing w:after="0"/>
              <w:rPr>
                <w:sz w:val="24"/>
                <w:szCs w:val="24"/>
                <w:color w:val="auto"/>
              </w:rPr>
            </w:pPr>
          </w:p>
        </w:tc>
        <w:tc>
          <w:tcPr>
            <w:tcW w:w="4740" w:type="dxa"/>
            <w:vAlign w:val="bottom"/>
            <w:gridSpan w:val="2"/>
          </w:tcPr>
          <w:p>
            <w:pPr>
              <w:spacing w:after="0"/>
              <w:rPr>
                <w:sz w:val="20"/>
                <w:szCs w:val="20"/>
                <w:color w:val="auto"/>
              </w:rPr>
            </w:pPr>
            <w:r>
              <w:rPr>
                <w:rFonts w:ascii="Arial" w:cs="Arial" w:eastAsia="Arial" w:hAnsi="Arial"/>
                <w:sz w:val="15"/>
                <w:szCs w:val="15"/>
                <w:color w:val="auto"/>
              </w:rPr>
              <w:t>Audit Committee Preapproval Policies</w:t>
            </w:r>
          </w:p>
        </w:tc>
        <w:tc>
          <w:tcPr>
            <w:tcW w:w="500" w:type="dxa"/>
            <w:vAlign w:val="bottom"/>
          </w:tcPr>
          <w:p>
            <w:pPr>
              <w:jc w:val="right"/>
              <w:spacing w:after="0"/>
              <w:rPr>
                <w:sz w:val="20"/>
                <w:szCs w:val="20"/>
                <w:color w:val="auto"/>
              </w:rPr>
            </w:pPr>
            <w:r>
              <w:rPr>
                <w:rFonts w:ascii="Arial" w:cs="Arial" w:eastAsia="Arial" w:hAnsi="Arial"/>
                <w:sz w:val="15"/>
                <w:szCs w:val="15"/>
                <w:color w:val="auto"/>
              </w:rPr>
              <w:t>76</w:t>
            </w:r>
          </w:p>
        </w:tc>
        <w:tc>
          <w:tcPr>
            <w:tcW w:w="0" w:type="dxa"/>
            <w:vAlign w:val="bottom"/>
          </w:tcPr>
          <w:p>
            <w:pPr>
              <w:spacing w:after="0"/>
              <w:rPr>
                <w:sz w:val="1"/>
                <w:szCs w:val="1"/>
                <w:color w:val="auto"/>
              </w:rPr>
            </w:pPr>
          </w:p>
        </w:tc>
      </w:tr>
      <w:tr>
        <w:trPr>
          <w:trHeight w:val="337"/>
        </w:trPr>
        <w:tc>
          <w:tcPr>
            <w:tcW w:w="160" w:type="dxa"/>
            <w:vAlign w:val="bottom"/>
          </w:tcPr>
          <w:p>
            <w:pPr>
              <w:spacing w:after="0"/>
              <w:rPr>
                <w:sz w:val="24"/>
                <w:szCs w:val="24"/>
                <w:color w:val="auto"/>
              </w:rPr>
            </w:pPr>
          </w:p>
        </w:tc>
        <w:tc>
          <w:tcPr>
            <w:tcW w:w="4740" w:type="dxa"/>
            <w:vAlign w:val="bottom"/>
            <w:gridSpan w:val="2"/>
          </w:tcPr>
          <w:p>
            <w:pPr>
              <w:spacing w:after="0"/>
              <w:rPr>
                <w:sz w:val="20"/>
                <w:szCs w:val="20"/>
                <w:color w:val="auto"/>
              </w:rPr>
            </w:pPr>
            <w:r>
              <w:rPr>
                <w:rFonts w:ascii="Arial" w:cs="Arial" w:eastAsia="Arial" w:hAnsi="Arial"/>
                <w:sz w:val="15"/>
                <w:szCs w:val="15"/>
                <w:color w:val="auto"/>
              </w:rPr>
              <w:t>Report of the Audit Committee</w:t>
            </w:r>
          </w:p>
        </w:tc>
        <w:tc>
          <w:tcPr>
            <w:tcW w:w="500" w:type="dxa"/>
            <w:vAlign w:val="bottom"/>
          </w:tcPr>
          <w:p>
            <w:pPr>
              <w:jc w:val="right"/>
              <w:spacing w:after="0"/>
              <w:rPr>
                <w:sz w:val="20"/>
                <w:szCs w:val="20"/>
                <w:color w:val="auto"/>
              </w:rPr>
            </w:pPr>
            <w:r>
              <w:rPr>
                <w:rFonts w:ascii="Arial" w:cs="Arial" w:eastAsia="Arial" w:hAnsi="Arial"/>
                <w:sz w:val="15"/>
                <w:szCs w:val="15"/>
                <w:color w:val="auto"/>
              </w:rPr>
              <w:t>77</w:t>
            </w:r>
          </w:p>
        </w:tc>
        <w:tc>
          <w:tcPr>
            <w:tcW w:w="0" w:type="dxa"/>
            <w:vAlign w:val="bottom"/>
          </w:tcPr>
          <w:p>
            <w:pPr>
              <w:spacing w:after="0"/>
              <w:rPr>
                <w:sz w:val="1"/>
                <w:szCs w:val="1"/>
                <w:color w:val="auto"/>
              </w:rPr>
            </w:pPr>
          </w:p>
        </w:tc>
      </w:tr>
      <w:tr>
        <w:trPr>
          <w:trHeight w:val="152"/>
        </w:trPr>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900" w:type="dxa"/>
            <w:vAlign w:val="bottom"/>
            <w:vMerge w:val="restart"/>
          </w:tcPr>
          <w:p>
            <w:pPr>
              <w:ind w:left="60"/>
              <w:spacing w:after="0"/>
              <w:rPr>
                <w:sz w:val="20"/>
                <w:szCs w:val="20"/>
                <w:color w:val="auto"/>
              </w:rPr>
            </w:pPr>
            <w:r>
              <w:rPr>
                <w:rFonts w:ascii="Arial" w:cs="Arial" w:eastAsia="Arial" w:hAnsi="Arial"/>
                <w:sz w:val="15"/>
                <w:szCs w:val="15"/>
                <w:b w:val="1"/>
                <w:bCs w:val="1"/>
                <w:color w:val="00254F"/>
              </w:rPr>
              <w:t>Ratification of the Appointment of KPMG LLP as</w:t>
            </w:r>
          </w:p>
        </w:tc>
        <w:tc>
          <w:tcPr>
            <w:tcW w:w="500" w:type="dxa"/>
            <w:vAlign w:val="bottom"/>
            <w:vMerge w:val="restart"/>
          </w:tcPr>
          <w:p>
            <w:pPr>
              <w:jc w:val="right"/>
              <w:spacing w:after="0"/>
              <w:rPr>
                <w:sz w:val="20"/>
                <w:szCs w:val="20"/>
                <w:color w:val="auto"/>
              </w:rPr>
            </w:pPr>
            <w:r>
              <w:rPr>
                <w:rFonts w:ascii="Arial" w:cs="Arial" w:eastAsia="Arial" w:hAnsi="Arial"/>
                <w:sz w:val="15"/>
                <w:szCs w:val="15"/>
                <w:b w:val="1"/>
                <w:bCs w:val="1"/>
                <w:color w:val="00254F"/>
              </w:rPr>
              <w:t>78</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840" w:type="dxa"/>
            <w:vAlign w:val="bottom"/>
            <w:shd w:val="clear" w:color="auto" w:fill="27C0DA"/>
          </w:tcPr>
          <w:p>
            <w:pPr>
              <w:jc w:val="right"/>
              <w:spacing w:after="0"/>
              <w:rPr>
                <w:sz w:val="20"/>
                <w:szCs w:val="20"/>
                <w:color w:val="auto"/>
              </w:rPr>
            </w:pPr>
            <w:r>
              <w:rPr>
                <w:rFonts w:ascii="Arial" w:cs="Arial" w:eastAsia="Arial" w:hAnsi="Arial"/>
                <w:sz w:val="15"/>
                <w:szCs w:val="15"/>
                <w:b w:val="1"/>
                <w:bCs w:val="1"/>
                <w:color w:val="FFFFFF"/>
                <w:shd w:val="clear" w:color="auto" w:fill="27C0DA"/>
              </w:rPr>
              <w:t xml:space="preserve">Proposal </w:t>
            </w:r>
            <w:r>
              <w:rPr>
                <w:rFonts w:ascii="Arial" w:cs="Arial" w:eastAsia="Arial" w:hAnsi="Arial"/>
                <w:sz w:val="15"/>
                <w:szCs w:val="15"/>
                <w:color w:val="FFFFFF"/>
                <w:shd w:val="clear" w:color="auto" w:fill="27C0DA"/>
              </w:rPr>
              <w:t>3</w:t>
            </w:r>
          </w:p>
        </w:tc>
        <w:tc>
          <w:tcPr>
            <w:tcW w:w="390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60" w:type="dxa"/>
            <w:vAlign w:val="bottom"/>
          </w:tcPr>
          <w:p>
            <w:pPr>
              <w:spacing w:after="0"/>
              <w:rPr>
                <w:sz w:val="17"/>
                <w:szCs w:val="17"/>
                <w:color w:val="auto"/>
              </w:rPr>
            </w:pPr>
          </w:p>
        </w:tc>
        <w:tc>
          <w:tcPr>
            <w:tcW w:w="4740" w:type="dxa"/>
            <w:vAlign w:val="bottom"/>
            <w:gridSpan w:val="2"/>
          </w:tcPr>
          <w:p>
            <w:pPr>
              <w:spacing w:after="0"/>
              <w:rPr>
                <w:sz w:val="20"/>
                <w:szCs w:val="20"/>
                <w:color w:val="auto"/>
              </w:rPr>
            </w:pPr>
            <w:r>
              <w:rPr>
                <w:rFonts w:ascii="Arial" w:cs="Arial" w:eastAsia="Arial" w:hAnsi="Arial"/>
                <w:sz w:val="15"/>
                <w:szCs w:val="15"/>
                <w:b w:val="1"/>
                <w:bCs w:val="1"/>
                <w:color w:val="00254F"/>
              </w:rPr>
              <w:t>Our Independent Registered Public Accounting Firm for 2024</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5"/>
        </w:trPr>
        <w:tc>
          <w:tcPr>
            <w:tcW w:w="4900" w:type="dxa"/>
            <w:vAlign w:val="bottom"/>
            <w:gridSpan w:val="3"/>
          </w:tcPr>
          <w:p>
            <w:pPr>
              <w:spacing w:after="0"/>
              <w:rPr>
                <w:sz w:val="20"/>
                <w:szCs w:val="20"/>
                <w:color w:val="auto"/>
              </w:rPr>
            </w:pPr>
            <w:r>
              <w:rPr>
                <w:rFonts w:ascii="Arial" w:cs="Arial" w:eastAsia="Arial" w:hAnsi="Arial"/>
                <w:sz w:val="15"/>
                <w:szCs w:val="15"/>
                <w:b w:val="1"/>
                <w:bCs w:val="1"/>
                <w:color w:val="auto"/>
              </w:rPr>
              <w:t>Stock Ownership and Related Transactions</w:t>
            </w:r>
          </w:p>
        </w:tc>
        <w:tc>
          <w:tcPr>
            <w:tcW w:w="500" w:type="dxa"/>
            <w:vAlign w:val="bottom"/>
          </w:tcPr>
          <w:p>
            <w:pPr>
              <w:jc w:val="right"/>
              <w:spacing w:after="0"/>
              <w:rPr>
                <w:sz w:val="20"/>
                <w:szCs w:val="20"/>
                <w:color w:val="auto"/>
              </w:rPr>
            </w:pPr>
            <w:r>
              <w:rPr>
                <w:rFonts w:ascii="Arial" w:cs="Arial" w:eastAsia="Arial" w:hAnsi="Arial"/>
                <w:sz w:val="15"/>
                <w:szCs w:val="15"/>
                <w:b w:val="1"/>
                <w:bCs w:val="1"/>
                <w:color w:val="auto"/>
              </w:rPr>
              <w:t>79</w:t>
            </w:r>
          </w:p>
        </w:tc>
        <w:tc>
          <w:tcPr>
            <w:tcW w:w="0" w:type="dxa"/>
            <w:vAlign w:val="bottom"/>
          </w:tcPr>
          <w:p>
            <w:pPr>
              <w:spacing w:after="0"/>
              <w:rPr>
                <w:sz w:val="1"/>
                <w:szCs w:val="1"/>
                <w:color w:val="auto"/>
              </w:rPr>
            </w:pPr>
          </w:p>
        </w:tc>
      </w:tr>
      <w:tr>
        <w:trPr>
          <w:trHeight w:val="329"/>
        </w:trPr>
        <w:tc>
          <w:tcPr>
            <w:tcW w:w="160" w:type="dxa"/>
            <w:vAlign w:val="bottom"/>
          </w:tcPr>
          <w:p>
            <w:pPr>
              <w:spacing w:after="0"/>
              <w:rPr>
                <w:sz w:val="24"/>
                <w:szCs w:val="24"/>
                <w:color w:val="auto"/>
              </w:rPr>
            </w:pPr>
          </w:p>
        </w:tc>
        <w:tc>
          <w:tcPr>
            <w:tcW w:w="4740" w:type="dxa"/>
            <w:vAlign w:val="bottom"/>
            <w:gridSpan w:val="2"/>
          </w:tcPr>
          <w:p>
            <w:pPr>
              <w:spacing w:after="0"/>
              <w:rPr>
                <w:sz w:val="20"/>
                <w:szCs w:val="20"/>
                <w:color w:val="auto"/>
              </w:rPr>
            </w:pPr>
            <w:r>
              <w:rPr>
                <w:rFonts w:ascii="Arial" w:cs="Arial" w:eastAsia="Arial" w:hAnsi="Arial"/>
                <w:sz w:val="15"/>
                <w:szCs w:val="15"/>
                <w:color w:val="auto"/>
              </w:rPr>
              <w:t>Equity Compensation Plan Information</w:t>
            </w:r>
          </w:p>
        </w:tc>
        <w:tc>
          <w:tcPr>
            <w:tcW w:w="500" w:type="dxa"/>
            <w:vAlign w:val="bottom"/>
          </w:tcPr>
          <w:p>
            <w:pPr>
              <w:jc w:val="right"/>
              <w:spacing w:after="0"/>
              <w:rPr>
                <w:sz w:val="20"/>
                <w:szCs w:val="20"/>
                <w:color w:val="auto"/>
              </w:rPr>
            </w:pPr>
            <w:r>
              <w:rPr>
                <w:rFonts w:ascii="Arial" w:cs="Arial" w:eastAsia="Arial" w:hAnsi="Arial"/>
                <w:sz w:val="15"/>
                <w:szCs w:val="15"/>
                <w:color w:val="auto"/>
              </w:rPr>
              <w:t>79</w:t>
            </w:r>
          </w:p>
        </w:tc>
        <w:tc>
          <w:tcPr>
            <w:tcW w:w="0" w:type="dxa"/>
            <w:vAlign w:val="bottom"/>
          </w:tcPr>
          <w:p>
            <w:pPr>
              <w:spacing w:after="0"/>
              <w:rPr>
                <w:sz w:val="1"/>
                <w:szCs w:val="1"/>
                <w:color w:val="auto"/>
              </w:rPr>
            </w:pPr>
          </w:p>
        </w:tc>
      </w:tr>
      <w:tr>
        <w:trPr>
          <w:trHeight w:val="315"/>
        </w:trPr>
        <w:tc>
          <w:tcPr>
            <w:tcW w:w="160" w:type="dxa"/>
            <w:vAlign w:val="bottom"/>
          </w:tcPr>
          <w:p>
            <w:pPr>
              <w:spacing w:after="0"/>
              <w:rPr>
                <w:sz w:val="24"/>
                <w:szCs w:val="24"/>
                <w:color w:val="auto"/>
              </w:rPr>
            </w:pPr>
          </w:p>
        </w:tc>
        <w:tc>
          <w:tcPr>
            <w:tcW w:w="4740" w:type="dxa"/>
            <w:vAlign w:val="bottom"/>
            <w:gridSpan w:val="2"/>
          </w:tcPr>
          <w:p>
            <w:pPr>
              <w:spacing w:after="0"/>
              <w:rPr>
                <w:sz w:val="20"/>
                <w:szCs w:val="20"/>
                <w:color w:val="auto"/>
              </w:rPr>
            </w:pPr>
            <w:r>
              <w:rPr>
                <w:rFonts w:ascii="Arial" w:cs="Arial" w:eastAsia="Arial" w:hAnsi="Arial"/>
                <w:sz w:val="15"/>
                <w:szCs w:val="15"/>
                <w:color w:val="auto"/>
              </w:rPr>
              <w:t>Security Ownership of Certain Beneficial Owners and</w:t>
            </w:r>
          </w:p>
        </w:tc>
        <w:tc>
          <w:tcPr>
            <w:tcW w:w="500" w:type="dxa"/>
            <w:vAlign w:val="bottom"/>
          </w:tcPr>
          <w:p>
            <w:pPr>
              <w:jc w:val="right"/>
              <w:spacing w:after="0"/>
              <w:rPr>
                <w:sz w:val="20"/>
                <w:szCs w:val="20"/>
                <w:color w:val="auto"/>
              </w:rPr>
            </w:pPr>
            <w:r>
              <w:rPr>
                <w:rFonts w:ascii="Arial" w:cs="Arial" w:eastAsia="Arial" w:hAnsi="Arial"/>
                <w:sz w:val="15"/>
                <w:szCs w:val="15"/>
                <w:color w:val="auto"/>
              </w:rPr>
              <w:t>79</w:t>
            </w:r>
          </w:p>
        </w:tc>
        <w:tc>
          <w:tcPr>
            <w:tcW w:w="0" w:type="dxa"/>
            <w:vAlign w:val="bottom"/>
          </w:tcPr>
          <w:p>
            <w:pPr>
              <w:spacing w:after="0"/>
              <w:rPr>
                <w:sz w:val="1"/>
                <w:szCs w:val="1"/>
                <w:color w:val="auto"/>
              </w:rPr>
            </w:pPr>
          </w:p>
        </w:tc>
      </w:tr>
      <w:tr>
        <w:trPr>
          <w:trHeight w:val="198"/>
        </w:trPr>
        <w:tc>
          <w:tcPr>
            <w:tcW w:w="160" w:type="dxa"/>
            <w:vAlign w:val="bottom"/>
          </w:tcPr>
          <w:p>
            <w:pPr>
              <w:spacing w:after="0"/>
              <w:rPr>
                <w:sz w:val="17"/>
                <w:szCs w:val="17"/>
                <w:color w:val="auto"/>
              </w:rPr>
            </w:pPr>
          </w:p>
        </w:tc>
        <w:tc>
          <w:tcPr>
            <w:tcW w:w="4740" w:type="dxa"/>
            <w:vAlign w:val="bottom"/>
            <w:gridSpan w:val="2"/>
          </w:tcPr>
          <w:p>
            <w:pPr>
              <w:spacing w:after="0"/>
              <w:rPr>
                <w:sz w:val="20"/>
                <w:szCs w:val="20"/>
                <w:color w:val="auto"/>
              </w:rPr>
            </w:pPr>
            <w:r>
              <w:rPr>
                <w:rFonts w:ascii="Arial" w:cs="Arial" w:eastAsia="Arial" w:hAnsi="Arial"/>
                <w:sz w:val="15"/>
                <w:szCs w:val="15"/>
                <w:color w:val="auto"/>
              </w:rPr>
              <w:t>Management</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7"/>
        </w:trPr>
        <w:tc>
          <w:tcPr>
            <w:tcW w:w="160" w:type="dxa"/>
            <w:vAlign w:val="bottom"/>
          </w:tcPr>
          <w:p>
            <w:pPr>
              <w:spacing w:after="0"/>
              <w:rPr>
                <w:sz w:val="24"/>
                <w:szCs w:val="24"/>
                <w:color w:val="auto"/>
              </w:rPr>
            </w:pPr>
          </w:p>
        </w:tc>
        <w:tc>
          <w:tcPr>
            <w:tcW w:w="4740" w:type="dxa"/>
            <w:vAlign w:val="bottom"/>
            <w:gridSpan w:val="2"/>
          </w:tcPr>
          <w:p>
            <w:pPr>
              <w:spacing w:after="0"/>
              <w:rPr>
                <w:sz w:val="20"/>
                <w:szCs w:val="20"/>
                <w:color w:val="auto"/>
              </w:rPr>
            </w:pPr>
            <w:r>
              <w:rPr>
                <w:rFonts w:ascii="Arial" w:cs="Arial" w:eastAsia="Arial" w:hAnsi="Arial"/>
                <w:sz w:val="15"/>
                <w:szCs w:val="15"/>
                <w:color w:val="auto"/>
              </w:rPr>
              <w:t>Delinquent Section 16(a) Reports</w:t>
            </w:r>
          </w:p>
        </w:tc>
        <w:tc>
          <w:tcPr>
            <w:tcW w:w="500" w:type="dxa"/>
            <w:vAlign w:val="bottom"/>
          </w:tcPr>
          <w:p>
            <w:pPr>
              <w:jc w:val="right"/>
              <w:spacing w:after="0"/>
              <w:rPr>
                <w:sz w:val="20"/>
                <w:szCs w:val="20"/>
                <w:color w:val="auto"/>
              </w:rPr>
            </w:pPr>
            <w:r>
              <w:rPr>
                <w:rFonts w:ascii="Arial" w:cs="Arial" w:eastAsia="Arial" w:hAnsi="Arial"/>
                <w:sz w:val="15"/>
                <w:szCs w:val="15"/>
                <w:color w:val="auto"/>
              </w:rPr>
              <w:t>81</w:t>
            </w:r>
          </w:p>
        </w:tc>
        <w:tc>
          <w:tcPr>
            <w:tcW w:w="0" w:type="dxa"/>
            <w:vAlign w:val="bottom"/>
          </w:tcPr>
          <w:p>
            <w:pPr>
              <w:spacing w:after="0"/>
              <w:rPr>
                <w:sz w:val="1"/>
                <w:szCs w:val="1"/>
                <w:color w:val="auto"/>
              </w:rPr>
            </w:pPr>
          </w:p>
        </w:tc>
      </w:tr>
      <w:tr>
        <w:trPr>
          <w:trHeight w:val="337"/>
        </w:trPr>
        <w:tc>
          <w:tcPr>
            <w:tcW w:w="160" w:type="dxa"/>
            <w:vAlign w:val="bottom"/>
          </w:tcPr>
          <w:p>
            <w:pPr>
              <w:spacing w:after="0"/>
              <w:rPr>
                <w:sz w:val="24"/>
                <w:szCs w:val="24"/>
                <w:color w:val="auto"/>
              </w:rPr>
            </w:pPr>
          </w:p>
        </w:tc>
        <w:tc>
          <w:tcPr>
            <w:tcW w:w="4740" w:type="dxa"/>
            <w:vAlign w:val="bottom"/>
            <w:gridSpan w:val="2"/>
          </w:tcPr>
          <w:p>
            <w:pPr>
              <w:spacing w:after="0"/>
              <w:rPr>
                <w:sz w:val="20"/>
                <w:szCs w:val="20"/>
                <w:color w:val="auto"/>
              </w:rPr>
            </w:pPr>
            <w:r>
              <w:rPr>
                <w:rFonts w:ascii="Arial" w:cs="Arial" w:eastAsia="Arial" w:hAnsi="Arial"/>
                <w:sz w:val="15"/>
                <w:szCs w:val="15"/>
                <w:color w:val="auto"/>
              </w:rPr>
              <w:t>Certain Relationships and Related Transactions</w:t>
            </w:r>
          </w:p>
        </w:tc>
        <w:tc>
          <w:tcPr>
            <w:tcW w:w="500" w:type="dxa"/>
            <w:vAlign w:val="bottom"/>
          </w:tcPr>
          <w:p>
            <w:pPr>
              <w:jc w:val="right"/>
              <w:spacing w:after="0"/>
              <w:rPr>
                <w:sz w:val="20"/>
                <w:szCs w:val="20"/>
                <w:color w:val="auto"/>
              </w:rPr>
            </w:pPr>
            <w:r>
              <w:rPr>
                <w:rFonts w:ascii="Arial" w:cs="Arial" w:eastAsia="Arial" w:hAnsi="Arial"/>
                <w:sz w:val="15"/>
                <w:szCs w:val="15"/>
                <w:color w:val="auto"/>
              </w:rPr>
              <w:t>81</w:t>
            </w:r>
          </w:p>
        </w:tc>
        <w:tc>
          <w:tcPr>
            <w:tcW w:w="0" w:type="dxa"/>
            <w:vAlign w:val="bottom"/>
          </w:tcPr>
          <w:p>
            <w:pPr>
              <w:spacing w:after="0"/>
              <w:rPr>
                <w:sz w:val="1"/>
                <w:szCs w:val="1"/>
                <w:color w:val="auto"/>
              </w:rPr>
            </w:pPr>
          </w:p>
        </w:tc>
      </w:tr>
    </w:tbl>
    <w:p>
      <w:pPr>
        <w:spacing w:after="0" w:line="146" w:lineRule="exact"/>
        <w:rPr>
          <w:sz w:val="20"/>
          <w:szCs w:val="20"/>
          <w:color w:val="auto"/>
        </w:rPr>
      </w:pPr>
    </w:p>
    <w:p>
      <w:pPr>
        <w:sectPr>
          <w:pgSz w:w="11900" w:h="16838" w:orient="portrait"/>
          <w:cols w:equalWidth="0" w:num="2">
            <w:col w:w="5400" w:space="440"/>
            <w:col w:w="5420"/>
          </w:cols>
          <w:pgMar w:left="320" w:top="223" w:right="319"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4580" w:type="dxa"/>
            <w:vAlign w:val="bottom"/>
            <w:vMerge w:val="restart"/>
          </w:tcPr>
          <w:p>
            <w:pPr>
              <w:spacing w:after="0"/>
              <w:rPr>
                <w:sz w:val="20"/>
                <w:szCs w:val="20"/>
                <w:color w:val="auto"/>
              </w:rPr>
            </w:pPr>
            <w:r>
              <w:rPr>
                <w:rFonts w:ascii="Arial" w:cs="Arial" w:eastAsia="Arial" w:hAnsi="Arial"/>
                <w:sz w:val="15"/>
                <w:szCs w:val="15"/>
                <w:b w:val="1"/>
                <w:bCs w:val="1"/>
                <w:color w:val="auto"/>
              </w:rPr>
              <w:t>ESG Oversight</w:t>
            </w:r>
          </w:p>
        </w:tc>
        <w:tc>
          <w:tcPr>
            <w:tcW w:w="82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35</w:t>
            </w:r>
          </w:p>
        </w:tc>
        <w:tc>
          <w:tcPr>
            <w:tcW w:w="5160" w:type="dxa"/>
            <w:vAlign w:val="bottom"/>
          </w:tcPr>
          <w:p>
            <w:pPr>
              <w:ind w:left="440"/>
              <w:spacing w:after="0" w:line="169" w:lineRule="exact"/>
              <w:rPr>
                <w:sz w:val="20"/>
                <w:szCs w:val="20"/>
                <w:color w:val="auto"/>
              </w:rPr>
            </w:pPr>
            <w:r>
              <w:rPr>
                <w:rFonts w:ascii="Arial" w:cs="Arial" w:eastAsia="Arial" w:hAnsi="Arial"/>
                <w:sz w:val="15"/>
                <w:szCs w:val="15"/>
                <w:b w:val="1"/>
                <w:bCs w:val="1"/>
                <w:color w:val="auto"/>
              </w:rPr>
              <w:t>Questions and Answers About the Proxy Materials and the</w:t>
            </w:r>
          </w:p>
        </w:tc>
        <w:tc>
          <w:tcPr>
            <w:tcW w:w="68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82</w:t>
            </w:r>
          </w:p>
        </w:tc>
        <w:tc>
          <w:tcPr>
            <w:tcW w:w="0" w:type="dxa"/>
            <w:vAlign w:val="bottom"/>
          </w:tcPr>
          <w:p>
            <w:pPr>
              <w:spacing w:after="0"/>
              <w:rPr>
                <w:sz w:val="1"/>
                <w:szCs w:val="1"/>
                <w:color w:val="auto"/>
              </w:rPr>
            </w:pPr>
          </w:p>
        </w:tc>
      </w:tr>
      <w:tr>
        <w:trPr>
          <w:trHeight w:val="206"/>
        </w:trPr>
        <w:tc>
          <w:tcPr>
            <w:tcW w:w="4580" w:type="dxa"/>
            <w:vAlign w:val="bottom"/>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5160" w:type="dxa"/>
            <w:vAlign w:val="bottom"/>
          </w:tcPr>
          <w:p>
            <w:pPr>
              <w:ind w:left="440"/>
              <w:spacing w:after="0"/>
              <w:rPr>
                <w:sz w:val="20"/>
                <w:szCs w:val="20"/>
                <w:color w:val="auto"/>
              </w:rPr>
            </w:pPr>
            <w:r>
              <w:rPr>
                <w:rFonts w:ascii="Arial" w:cs="Arial" w:eastAsia="Arial" w:hAnsi="Arial"/>
                <w:sz w:val="15"/>
                <w:szCs w:val="15"/>
                <w:b w:val="1"/>
                <w:bCs w:val="1"/>
                <w:color w:val="auto"/>
              </w:rPr>
              <w:t>Annual Meeting</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7"/>
        </w:trPr>
        <w:tc>
          <w:tcPr>
            <w:tcW w:w="4580" w:type="dxa"/>
            <w:vAlign w:val="bottom"/>
          </w:tcPr>
          <w:p>
            <w:pPr>
              <w:spacing w:after="0"/>
              <w:rPr>
                <w:sz w:val="20"/>
                <w:szCs w:val="20"/>
                <w:color w:val="auto"/>
              </w:rPr>
            </w:pPr>
            <w:r>
              <w:rPr>
                <w:rFonts w:ascii="Arial" w:cs="Arial" w:eastAsia="Arial" w:hAnsi="Arial"/>
                <w:sz w:val="15"/>
                <w:szCs w:val="15"/>
                <w:b w:val="1"/>
                <w:bCs w:val="1"/>
                <w:color w:val="auto"/>
              </w:rPr>
              <w:t>Corporate Sustainability</w:t>
            </w:r>
          </w:p>
        </w:tc>
        <w:tc>
          <w:tcPr>
            <w:tcW w:w="820" w:type="dxa"/>
            <w:vAlign w:val="bottom"/>
            <w:gridSpan w:val="2"/>
          </w:tcPr>
          <w:p>
            <w:pPr>
              <w:jc w:val="right"/>
              <w:spacing w:after="0"/>
              <w:rPr>
                <w:sz w:val="20"/>
                <w:szCs w:val="20"/>
                <w:color w:val="auto"/>
              </w:rPr>
            </w:pPr>
            <w:r>
              <w:rPr>
                <w:rFonts w:ascii="Arial" w:cs="Arial" w:eastAsia="Arial" w:hAnsi="Arial"/>
                <w:sz w:val="15"/>
                <w:szCs w:val="15"/>
                <w:b w:val="1"/>
                <w:bCs w:val="1"/>
                <w:color w:val="auto"/>
              </w:rPr>
              <w:t>36</w:t>
            </w:r>
          </w:p>
        </w:tc>
        <w:tc>
          <w:tcPr>
            <w:tcW w:w="5160" w:type="dxa"/>
            <w:vAlign w:val="bottom"/>
          </w:tcPr>
          <w:p>
            <w:pPr>
              <w:ind w:left="440"/>
              <w:spacing w:after="0"/>
              <w:rPr>
                <w:sz w:val="20"/>
                <w:szCs w:val="20"/>
                <w:color w:val="auto"/>
              </w:rPr>
            </w:pPr>
            <w:r>
              <w:rPr>
                <w:rFonts w:ascii="Arial" w:cs="Arial" w:eastAsia="Arial" w:hAnsi="Arial"/>
                <w:sz w:val="15"/>
                <w:szCs w:val="15"/>
                <w:b w:val="1"/>
                <w:bCs w:val="1"/>
                <w:color w:val="auto"/>
              </w:rPr>
              <w:t>Stockholder Proposals for the 2025 Annual Meeting</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88</w:t>
            </w:r>
          </w:p>
        </w:tc>
        <w:tc>
          <w:tcPr>
            <w:tcW w:w="0" w:type="dxa"/>
            <w:vAlign w:val="bottom"/>
          </w:tcPr>
          <w:p>
            <w:pPr>
              <w:spacing w:after="0"/>
              <w:rPr>
                <w:sz w:val="1"/>
                <w:szCs w:val="1"/>
                <w:color w:val="auto"/>
              </w:rPr>
            </w:pPr>
          </w:p>
        </w:tc>
      </w:tr>
      <w:tr>
        <w:trPr>
          <w:trHeight w:val="346"/>
        </w:trPr>
        <w:tc>
          <w:tcPr>
            <w:tcW w:w="4580" w:type="dxa"/>
            <w:vAlign w:val="bottom"/>
          </w:tcPr>
          <w:p>
            <w:pPr>
              <w:spacing w:after="0"/>
              <w:rPr>
                <w:sz w:val="20"/>
                <w:szCs w:val="20"/>
                <w:color w:val="auto"/>
              </w:rPr>
            </w:pPr>
            <w:r>
              <w:rPr>
                <w:rFonts w:ascii="Arial" w:cs="Arial" w:eastAsia="Arial" w:hAnsi="Arial"/>
                <w:sz w:val="15"/>
                <w:szCs w:val="15"/>
                <w:b w:val="1"/>
                <w:bCs w:val="1"/>
                <w:color w:val="auto"/>
              </w:rPr>
              <w:t>Human Capital</w:t>
            </w:r>
          </w:p>
        </w:tc>
        <w:tc>
          <w:tcPr>
            <w:tcW w:w="820" w:type="dxa"/>
            <w:vAlign w:val="bottom"/>
            <w:gridSpan w:val="2"/>
          </w:tcPr>
          <w:p>
            <w:pPr>
              <w:jc w:val="right"/>
              <w:spacing w:after="0"/>
              <w:rPr>
                <w:sz w:val="20"/>
                <w:szCs w:val="20"/>
                <w:color w:val="auto"/>
              </w:rPr>
            </w:pPr>
            <w:r>
              <w:rPr>
                <w:rFonts w:ascii="Arial" w:cs="Arial" w:eastAsia="Arial" w:hAnsi="Arial"/>
                <w:sz w:val="15"/>
                <w:szCs w:val="15"/>
                <w:b w:val="1"/>
                <w:bCs w:val="1"/>
                <w:color w:val="auto"/>
              </w:rPr>
              <w:t>37</w:t>
            </w:r>
          </w:p>
        </w:tc>
        <w:tc>
          <w:tcPr>
            <w:tcW w:w="5160" w:type="dxa"/>
            <w:vAlign w:val="bottom"/>
          </w:tcPr>
          <w:p>
            <w:pPr>
              <w:ind w:left="440"/>
              <w:spacing w:after="0"/>
              <w:rPr>
                <w:sz w:val="20"/>
                <w:szCs w:val="20"/>
                <w:color w:val="auto"/>
              </w:rPr>
            </w:pPr>
            <w:r>
              <w:rPr>
                <w:rFonts w:ascii="Arial" w:cs="Arial" w:eastAsia="Arial" w:hAnsi="Arial"/>
                <w:sz w:val="17"/>
                <w:szCs w:val="17"/>
                <w:color w:val="auto"/>
              </w:rPr>
              <w:t> </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580" w:type="dxa"/>
            <w:vAlign w:val="bottom"/>
          </w:tcPr>
          <w:p>
            <w:pPr>
              <w:spacing w:after="0"/>
              <w:rPr>
                <w:sz w:val="20"/>
                <w:szCs w:val="20"/>
                <w:color w:val="auto"/>
              </w:rPr>
            </w:pPr>
            <w:r>
              <w:rPr>
                <w:rFonts w:ascii="Arial" w:cs="Arial" w:eastAsia="Arial" w:hAnsi="Arial"/>
                <w:sz w:val="15"/>
                <w:szCs w:val="15"/>
                <w:b w:val="1"/>
                <w:bCs w:val="1"/>
                <w:color w:val="auto"/>
              </w:rPr>
              <w:t>Executive Compensation</w:t>
            </w:r>
          </w:p>
        </w:tc>
        <w:tc>
          <w:tcPr>
            <w:tcW w:w="820" w:type="dxa"/>
            <w:vAlign w:val="bottom"/>
            <w:gridSpan w:val="2"/>
          </w:tcPr>
          <w:p>
            <w:pPr>
              <w:jc w:val="right"/>
              <w:spacing w:after="0"/>
              <w:rPr>
                <w:sz w:val="20"/>
                <w:szCs w:val="20"/>
                <w:color w:val="auto"/>
              </w:rPr>
            </w:pPr>
            <w:r>
              <w:rPr>
                <w:rFonts w:ascii="Arial" w:cs="Arial" w:eastAsia="Arial" w:hAnsi="Arial"/>
                <w:sz w:val="15"/>
                <w:szCs w:val="15"/>
                <w:b w:val="1"/>
                <w:bCs w:val="1"/>
                <w:color w:val="auto"/>
              </w:rPr>
              <w:t>41</w:t>
            </w:r>
          </w:p>
        </w:tc>
        <w:tc>
          <w:tcPr>
            <w:tcW w:w="5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4580" w:type="dxa"/>
            <w:vAlign w:val="bottom"/>
          </w:tcPr>
          <w:p>
            <w:pPr>
              <w:ind w:left="160"/>
              <w:spacing w:after="0"/>
              <w:rPr>
                <w:sz w:val="20"/>
                <w:szCs w:val="20"/>
                <w:color w:val="auto"/>
              </w:rPr>
            </w:pPr>
            <w:r>
              <w:rPr>
                <w:rFonts w:ascii="Arial" w:cs="Arial" w:eastAsia="Arial" w:hAnsi="Arial"/>
                <w:sz w:val="15"/>
                <w:szCs w:val="15"/>
                <w:color w:val="auto"/>
              </w:rPr>
              <w:t>Compensation Discussion and Analysis</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41</w:t>
            </w:r>
          </w:p>
        </w:tc>
        <w:tc>
          <w:tcPr>
            <w:tcW w:w="5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4580" w:type="dxa"/>
            <w:vAlign w:val="bottom"/>
          </w:tcPr>
          <w:p>
            <w:pPr>
              <w:ind w:left="160"/>
              <w:spacing w:after="0"/>
              <w:rPr>
                <w:sz w:val="20"/>
                <w:szCs w:val="20"/>
                <w:color w:val="auto"/>
              </w:rPr>
            </w:pPr>
            <w:r>
              <w:rPr>
                <w:rFonts w:ascii="Arial" w:cs="Arial" w:eastAsia="Arial" w:hAnsi="Arial"/>
                <w:sz w:val="15"/>
                <w:szCs w:val="15"/>
                <w:color w:val="auto"/>
              </w:rPr>
              <w:t>Report of the Executive Compensation and Management</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63</w:t>
            </w:r>
          </w:p>
        </w:tc>
        <w:tc>
          <w:tcPr>
            <w:tcW w:w="5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580" w:type="dxa"/>
            <w:vAlign w:val="bottom"/>
          </w:tcPr>
          <w:p>
            <w:pPr>
              <w:ind w:left="160"/>
              <w:spacing w:after="0"/>
              <w:rPr>
                <w:sz w:val="20"/>
                <w:szCs w:val="20"/>
                <w:color w:val="auto"/>
              </w:rPr>
            </w:pPr>
            <w:r>
              <w:rPr>
                <w:rFonts w:ascii="Arial" w:cs="Arial" w:eastAsia="Arial" w:hAnsi="Arial"/>
                <w:sz w:val="15"/>
                <w:szCs w:val="15"/>
                <w:color w:val="auto"/>
              </w:rPr>
              <w:t>Development Committee</w:t>
            </w:r>
          </w:p>
        </w:tc>
        <w:tc>
          <w:tcPr>
            <w:tcW w:w="660" w:type="dxa"/>
            <w:vAlign w:val="bottom"/>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5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5"/>
        </w:trPr>
        <w:tc>
          <w:tcPr>
            <w:tcW w:w="4580" w:type="dxa"/>
            <w:vAlign w:val="bottom"/>
          </w:tcPr>
          <w:p>
            <w:pPr>
              <w:spacing w:after="0"/>
              <w:rPr>
                <w:sz w:val="20"/>
                <w:szCs w:val="20"/>
                <w:color w:val="auto"/>
              </w:rPr>
            </w:pPr>
            <w:r>
              <w:rPr>
                <w:rFonts w:ascii="Arial" w:cs="Arial" w:eastAsia="Arial" w:hAnsi="Arial"/>
                <w:sz w:val="15"/>
                <w:szCs w:val="15"/>
                <w:b w:val="1"/>
                <w:bCs w:val="1"/>
                <w:color w:val="auto"/>
              </w:rPr>
              <w:t>Executive Compensation Tables</w:t>
            </w:r>
          </w:p>
        </w:tc>
        <w:tc>
          <w:tcPr>
            <w:tcW w:w="820" w:type="dxa"/>
            <w:vAlign w:val="bottom"/>
            <w:gridSpan w:val="2"/>
          </w:tcPr>
          <w:p>
            <w:pPr>
              <w:jc w:val="right"/>
              <w:spacing w:after="0"/>
              <w:rPr>
                <w:sz w:val="20"/>
                <w:szCs w:val="20"/>
                <w:color w:val="auto"/>
              </w:rPr>
            </w:pPr>
            <w:r>
              <w:rPr>
                <w:rFonts w:ascii="Arial" w:cs="Arial" w:eastAsia="Arial" w:hAnsi="Arial"/>
                <w:sz w:val="15"/>
                <w:szCs w:val="15"/>
                <w:b w:val="1"/>
                <w:bCs w:val="1"/>
                <w:color w:val="auto"/>
              </w:rPr>
              <w:t>64</w:t>
            </w:r>
          </w:p>
        </w:tc>
        <w:tc>
          <w:tcPr>
            <w:tcW w:w="5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4580" w:type="dxa"/>
            <w:vAlign w:val="bottom"/>
          </w:tcPr>
          <w:p>
            <w:pPr>
              <w:ind w:left="160"/>
              <w:spacing w:after="0"/>
              <w:rPr>
                <w:sz w:val="20"/>
                <w:szCs w:val="20"/>
                <w:color w:val="auto"/>
              </w:rPr>
            </w:pPr>
            <w:r>
              <w:rPr>
                <w:rFonts w:ascii="Arial" w:cs="Arial" w:eastAsia="Arial" w:hAnsi="Arial"/>
                <w:sz w:val="15"/>
                <w:szCs w:val="15"/>
                <w:color w:val="auto"/>
              </w:rPr>
              <w:t>Summary Compensation Table</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64</w:t>
            </w:r>
          </w:p>
        </w:tc>
        <w:tc>
          <w:tcPr>
            <w:tcW w:w="5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4580" w:type="dxa"/>
            <w:vAlign w:val="bottom"/>
          </w:tcPr>
          <w:p>
            <w:pPr>
              <w:ind w:left="160"/>
              <w:spacing w:after="0"/>
              <w:rPr>
                <w:sz w:val="20"/>
                <w:szCs w:val="20"/>
                <w:color w:val="auto"/>
              </w:rPr>
            </w:pPr>
            <w:r>
              <w:rPr>
                <w:rFonts w:ascii="Arial" w:cs="Arial" w:eastAsia="Arial" w:hAnsi="Arial"/>
                <w:sz w:val="15"/>
                <w:szCs w:val="15"/>
                <w:color w:val="auto"/>
              </w:rPr>
              <w:t>2023 Grants of Plan-Based Awards Table</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65</w:t>
            </w:r>
          </w:p>
        </w:tc>
        <w:tc>
          <w:tcPr>
            <w:tcW w:w="5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 </w:t>
      </w:r>
    </w:p>
    <w:p>
      <w:pPr>
        <w:spacing w:after="0" w:line="233" w:lineRule="auto"/>
        <w:rPr>
          <w:sz w:val="20"/>
          <w:szCs w:val="20"/>
          <w:color w:val="auto"/>
        </w:rPr>
      </w:pPr>
      <w:r>
        <w:rPr>
          <w:rFonts w:ascii="Arial" w:cs="Arial" w:eastAsia="Arial" w:hAnsi="Arial"/>
          <w:sz w:val="17"/>
          <w:szCs w:val="17"/>
          <w:color w:val="auto"/>
        </w:rPr>
        <w:t> </w:t>
      </w:r>
    </w:p>
    <w:p>
      <w:pPr>
        <w:spacing w:after="0"/>
        <w:tabs>
          <w:tab w:leader="none" w:pos="540" w:val="left"/>
          <w:tab w:leader="none" w:pos="10640" w:val="left"/>
          <w:tab w:leader="none" w:pos="11220" w:val="left"/>
        </w:tabs>
        <w:rPr>
          <w:sz w:val="20"/>
          <w:szCs w:val="20"/>
          <w:color w:val="auto"/>
        </w:rPr>
      </w:pPr>
      <w:r>
        <w:rPr>
          <w:rFonts w:ascii="Times New Roman" w:cs="Times New Roman" w:eastAsia="Times New Roman" w:hAnsi="Times New Roman"/>
          <w:sz w:val="13"/>
          <w:szCs w:val="13"/>
          <w:b w:val="1"/>
          <w:bCs w:val="1"/>
          <w:color w:val="00244F"/>
        </w:rPr>
        <w:t>6</w:t>
      </w:r>
      <w:r>
        <w:rPr>
          <w:sz w:val="20"/>
          <w:szCs w:val="20"/>
          <w:color w:val="auto"/>
        </w:rPr>
        <w:tab/>
      </w:r>
      <w:r>
        <w:rPr>
          <w:rFonts w:ascii="Times New Roman" w:cs="Times New Roman" w:eastAsia="Times New Roman" w:hAnsi="Times New Roman"/>
          <w:sz w:val="13"/>
          <w:szCs w:val="13"/>
          <w:b w:val="1"/>
          <w:bCs w:val="1"/>
          <w:color w:val="00244F"/>
        </w:rPr>
        <w:t>T. Rowe Price Group</w:t>
      </w:r>
      <w:r>
        <w:rPr>
          <w:sz w:val="20"/>
          <w:szCs w:val="20"/>
          <w:color w:val="auto"/>
        </w:rPr>
        <w:tab/>
      </w:r>
      <w:r>
        <w:rPr>
          <w:rFonts w:ascii="Times New Roman" w:cs="Times New Roman" w:eastAsia="Times New Roman" w:hAnsi="Times New Roman"/>
          <w:sz w:val="13"/>
          <w:szCs w:val="13"/>
          <w:b w:val="1"/>
          <w:bCs w:val="1"/>
          <w:color w:val="00244F"/>
        </w:rPr>
        <w:t> </w:t>
      </w:r>
      <w:r>
        <w:rPr>
          <w:sz w:val="20"/>
          <w:szCs w:val="20"/>
          <w:color w:val="auto"/>
        </w:rPr>
        <w:tab/>
      </w:r>
      <w:r>
        <w:rPr>
          <w:rFonts w:ascii="Times New Roman" w:cs="Times New Roman" w:eastAsia="Times New Roman" w:hAnsi="Times New Roman"/>
          <w:sz w:val="10"/>
          <w:szCs w:val="10"/>
          <w:b w:val="1"/>
          <w:bCs w:val="1"/>
          <w:color w:val="00244F"/>
        </w:rPr>
        <w:t> </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60"/>
          </w:cols>
          <w:pgMar w:left="320" w:top="223" w:right="31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 </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55"/>
          <w:szCs w:val="55"/>
          <w:color w:val="00254F"/>
        </w:rPr>
        <w:t>Information About Our Board of Directors</w:t>
      </w:r>
    </w:p>
    <w:p>
      <w:pPr>
        <w:spacing w:after="0"/>
        <w:rPr>
          <w:sz w:val="20"/>
          <w:szCs w:val="20"/>
          <w:color w:val="auto"/>
        </w:rPr>
      </w:pPr>
      <w:r>
        <w:rPr>
          <w:rFonts w:ascii="Times New Roman" w:cs="Times New Roman" w:eastAsia="Times New Roman" w:hAnsi="Times New Roman"/>
          <w:sz w:val="17"/>
          <w:szCs w:val="17"/>
          <w:color w:val="00254F"/>
        </w:rPr>
        <w:t> </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254F"/>
        </w:rPr>
        <w:t> </w:t>
      </w:r>
    </w:p>
    <w:p>
      <w:pPr>
        <w:spacing w:after="0" w:line="237" w:lineRule="auto"/>
        <w:rPr>
          <w:sz w:val="20"/>
          <w:szCs w:val="20"/>
          <w:color w:val="auto"/>
        </w:rPr>
      </w:pPr>
      <w:r>
        <w:rPr>
          <w:rFonts w:ascii="Times New Roman" w:cs="Times New Roman" w:eastAsia="Times New Roman" w:hAnsi="Times New Roman"/>
          <w:sz w:val="30"/>
          <w:szCs w:val="30"/>
          <w:b w:val="1"/>
          <w:bCs w:val="1"/>
          <w:color w:val="00254F"/>
        </w:rPr>
        <w:t>Board Qualifications, Skills, and Experience</w:t>
      </w:r>
    </w:p>
    <w:p>
      <w:pPr>
        <w:spacing w:after="0" w:line="234" w:lineRule="auto"/>
        <w:rPr>
          <w:sz w:val="20"/>
          <w:szCs w:val="20"/>
          <w:color w:val="auto"/>
        </w:rPr>
      </w:pPr>
      <w:r>
        <w:rPr>
          <w:rFonts w:ascii="Arial" w:cs="Arial" w:eastAsia="Arial" w:hAnsi="Arial"/>
          <w:sz w:val="17"/>
          <w:szCs w:val="17"/>
          <w:color w:val="auto"/>
        </w:rPr>
        <w:t> </w:t>
      </w:r>
    </w:p>
    <w:p>
      <w:pPr>
        <w:spacing w:after="0"/>
        <w:rPr>
          <w:sz w:val="20"/>
          <w:szCs w:val="20"/>
          <w:color w:val="auto"/>
        </w:rPr>
      </w:pPr>
      <w:r>
        <w:rPr>
          <w:rFonts w:ascii="Arial" w:cs="Arial" w:eastAsia="Arial" w:hAnsi="Arial"/>
          <w:sz w:val="15"/>
          <w:szCs w:val="15"/>
          <w:color w:val="auto"/>
        </w:rPr>
        <w:t>We believe that the nominees presented in this proxy statement constitute a Board of Directors (Board) with an appropriate level and diversity of experience, education,</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skills, and independence. We routinely assess and monitor the capabilities of our existing directors and whether additional capabilities and independent directors should</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be added to the Board. In considering the need for additional independent directors, we review any expected director departures and retirements and factor succession</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planning for the Board into our deliberations, with particular focus on the specific skills and capabilities of departing directors. We are very pleased with our current</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complement of directors and the varied perspectives they bring to the Board.</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 </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The following are highlights of the composition of our current director nominees, all of whom currently serve on the Board:</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 </w:t>
      </w:r>
    </w:p>
    <w:p>
      <w:pPr>
        <w:spacing w:after="0" w:line="2" w:lineRule="exact"/>
        <w:rPr>
          <w:sz w:val="20"/>
          <w:szCs w:val="20"/>
          <w:color w:val="auto"/>
        </w:rPr>
      </w:pPr>
    </w:p>
    <w:p>
      <w:pPr>
        <w:ind w:left="160" w:hanging="160"/>
        <w:spacing w:after="0"/>
        <w:tabs>
          <w:tab w:leader="none" w:pos="160" w:val="left"/>
        </w:tabs>
        <w:numPr>
          <w:ilvl w:val="0"/>
          <w:numId w:val="13"/>
        </w:numPr>
        <w:rPr>
          <w:rFonts w:ascii="Arial" w:cs="Arial" w:eastAsia="Arial" w:hAnsi="Arial"/>
          <w:sz w:val="13"/>
          <w:szCs w:val="13"/>
          <w:color w:val="28C0DA"/>
        </w:rPr>
      </w:pPr>
      <w:r>
        <w:rPr>
          <w:rFonts w:ascii="Arial" w:cs="Arial" w:eastAsia="Arial" w:hAnsi="Arial"/>
          <w:sz w:val="15"/>
          <w:szCs w:val="15"/>
          <w:color w:val="auto"/>
        </w:rPr>
        <w:t>Nine of 11 of the director nominees are independent under the NASDAQ Global Select Market standards</w:t>
      </w:r>
    </w:p>
    <w:p>
      <w:pPr>
        <w:spacing w:after="0" w:line="234" w:lineRule="auto"/>
        <w:tabs>
          <w:tab w:leader="none" w:pos="140" w:val="left"/>
        </w:tabs>
        <w:rPr>
          <w:sz w:val="20"/>
          <w:szCs w:val="20"/>
          <w:color w:val="auto"/>
        </w:rPr>
      </w:pPr>
      <w:r>
        <w:rPr>
          <w:rFonts w:ascii="Arial" w:cs="Arial" w:eastAsia="Arial" w:hAnsi="Arial"/>
          <w:sz w:val="8"/>
          <w:szCs w:val="8"/>
          <w:color w:val="auto"/>
        </w:rPr>
        <w:t> </w:t>
      </w:r>
      <w:r>
        <w:rPr>
          <w:sz w:val="20"/>
          <w:szCs w:val="20"/>
          <w:color w:val="auto"/>
        </w:rPr>
        <w:tab/>
      </w:r>
      <w:r>
        <w:rPr>
          <w:rFonts w:ascii="Arial" w:cs="Arial" w:eastAsia="Arial" w:hAnsi="Arial"/>
          <w:sz w:val="8"/>
          <w:szCs w:val="8"/>
          <w:color w:val="auto"/>
        </w:rPr>
        <w:t> </w:t>
      </w:r>
    </w:p>
    <w:p>
      <w:pPr>
        <w:ind w:left="160" w:hanging="160"/>
        <w:spacing w:after="0"/>
        <w:tabs>
          <w:tab w:leader="none" w:pos="160" w:val="left"/>
        </w:tabs>
        <w:numPr>
          <w:ilvl w:val="0"/>
          <w:numId w:val="14"/>
        </w:numPr>
        <w:rPr>
          <w:rFonts w:ascii="Arial" w:cs="Arial" w:eastAsia="Arial" w:hAnsi="Arial"/>
          <w:sz w:val="13"/>
          <w:szCs w:val="13"/>
          <w:color w:val="28C0DA"/>
        </w:rPr>
      </w:pPr>
      <w:r>
        <w:rPr>
          <w:rFonts w:ascii="Arial" w:cs="Arial" w:eastAsia="Arial" w:hAnsi="Arial"/>
          <w:sz w:val="15"/>
          <w:szCs w:val="15"/>
          <w:color w:val="auto"/>
        </w:rPr>
        <w:t>Four director nominees are women, representing 44% of the independent director nominees</w:t>
      </w:r>
    </w:p>
    <w:p>
      <w:pPr>
        <w:spacing w:after="0" w:line="234" w:lineRule="auto"/>
        <w:tabs>
          <w:tab w:leader="none" w:pos="140" w:val="left"/>
        </w:tabs>
        <w:rPr>
          <w:sz w:val="20"/>
          <w:szCs w:val="20"/>
          <w:color w:val="auto"/>
        </w:rPr>
      </w:pPr>
      <w:r>
        <w:rPr>
          <w:rFonts w:ascii="Arial" w:cs="Arial" w:eastAsia="Arial" w:hAnsi="Arial"/>
          <w:sz w:val="8"/>
          <w:szCs w:val="8"/>
          <w:color w:val="auto"/>
        </w:rPr>
        <w:t> </w:t>
      </w:r>
      <w:r>
        <w:rPr>
          <w:sz w:val="20"/>
          <w:szCs w:val="20"/>
          <w:color w:val="auto"/>
        </w:rPr>
        <w:tab/>
      </w:r>
      <w:r>
        <w:rPr>
          <w:rFonts w:ascii="Arial" w:cs="Arial" w:eastAsia="Arial" w:hAnsi="Arial"/>
          <w:sz w:val="8"/>
          <w:szCs w:val="8"/>
          <w:color w:val="auto"/>
        </w:rPr>
        <w:t> </w:t>
      </w:r>
    </w:p>
    <w:p>
      <w:pPr>
        <w:ind w:left="160" w:hanging="160"/>
        <w:spacing w:after="0"/>
        <w:tabs>
          <w:tab w:leader="none" w:pos="160" w:val="left"/>
        </w:tabs>
        <w:numPr>
          <w:ilvl w:val="0"/>
          <w:numId w:val="15"/>
        </w:numPr>
        <w:rPr>
          <w:rFonts w:ascii="Arial" w:cs="Arial" w:eastAsia="Arial" w:hAnsi="Arial"/>
          <w:sz w:val="13"/>
          <w:szCs w:val="13"/>
          <w:color w:val="28C0DA"/>
        </w:rPr>
      </w:pPr>
      <w:r>
        <w:rPr>
          <w:rFonts w:ascii="Arial" w:cs="Arial" w:eastAsia="Arial" w:hAnsi="Arial"/>
          <w:sz w:val="15"/>
          <w:szCs w:val="15"/>
          <w:color w:val="auto"/>
        </w:rPr>
        <w:t>Two director nominees are ethnically diverse, representing 22% of the independent director nominees</w:t>
      </w:r>
    </w:p>
    <w:p>
      <w:pPr>
        <w:spacing w:after="0" w:line="234" w:lineRule="auto"/>
        <w:tabs>
          <w:tab w:leader="none" w:pos="140" w:val="left"/>
        </w:tabs>
        <w:rPr>
          <w:sz w:val="20"/>
          <w:szCs w:val="20"/>
          <w:color w:val="auto"/>
        </w:rPr>
      </w:pPr>
      <w:r>
        <w:rPr>
          <w:rFonts w:ascii="Arial" w:cs="Arial" w:eastAsia="Arial" w:hAnsi="Arial"/>
          <w:sz w:val="8"/>
          <w:szCs w:val="8"/>
          <w:color w:val="auto"/>
        </w:rPr>
        <w:t> </w:t>
      </w:r>
      <w:r>
        <w:rPr>
          <w:sz w:val="20"/>
          <w:szCs w:val="20"/>
          <w:color w:val="auto"/>
        </w:rPr>
        <w:tab/>
      </w:r>
      <w:r>
        <w:rPr>
          <w:rFonts w:ascii="Arial" w:cs="Arial" w:eastAsia="Arial" w:hAnsi="Arial"/>
          <w:sz w:val="8"/>
          <w:szCs w:val="8"/>
          <w:color w:val="auto"/>
        </w:rPr>
        <w:t> </w:t>
      </w:r>
    </w:p>
    <w:p>
      <w:pPr>
        <w:ind w:left="160" w:hanging="160"/>
        <w:spacing w:after="0"/>
        <w:tabs>
          <w:tab w:leader="none" w:pos="160" w:val="left"/>
        </w:tabs>
        <w:numPr>
          <w:ilvl w:val="0"/>
          <w:numId w:val="16"/>
        </w:numPr>
        <w:rPr>
          <w:rFonts w:ascii="Arial" w:cs="Arial" w:eastAsia="Arial" w:hAnsi="Arial"/>
          <w:sz w:val="13"/>
          <w:szCs w:val="13"/>
          <w:color w:val="28C0DA"/>
        </w:rPr>
      </w:pPr>
      <w:r>
        <w:rPr>
          <w:rFonts w:ascii="Arial" w:cs="Arial" w:eastAsia="Arial" w:hAnsi="Arial"/>
          <w:sz w:val="15"/>
          <w:szCs w:val="15"/>
          <w:color w:val="auto"/>
        </w:rPr>
        <w:t>Two director nominees were born outside the United States, representing 22% of the independent director nominees</w:t>
      </w:r>
    </w:p>
    <w:p>
      <w:pPr>
        <w:spacing w:after="0" w:line="234" w:lineRule="auto"/>
        <w:tabs>
          <w:tab w:leader="none" w:pos="140" w:val="left"/>
        </w:tabs>
        <w:rPr>
          <w:sz w:val="20"/>
          <w:szCs w:val="20"/>
          <w:color w:val="auto"/>
        </w:rPr>
      </w:pPr>
      <w:r>
        <w:rPr>
          <w:rFonts w:ascii="Arial" w:cs="Arial" w:eastAsia="Arial" w:hAnsi="Arial"/>
          <w:sz w:val="8"/>
          <w:szCs w:val="8"/>
          <w:color w:val="auto"/>
        </w:rPr>
        <w:t> </w:t>
      </w:r>
      <w:r>
        <w:rPr>
          <w:sz w:val="20"/>
          <w:szCs w:val="20"/>
          <w:color w:val="auto"/>
        </w:rPr>
        <w:tab/>
      </w:r>
      <w:r>
        <w:rPr>
          <w:rFonts w:ascii="Arial" w:cs="Arial" w:eastAsia="Arial" w:hAnsi="Arial"/>
          <w:sz w:val="8"/>
          <w:szCs w:val="8"/>
          <w:color w:val="auto"/>
        </w:rPr>
        <w:t> </w:t>
      </w:r>
    </w:p>
    <w:p>
      <w:pPr>
        <w:ind w:left="160" w:hanging="160"/>
        <w:spacing w:after="0"/>
        <w:tabs>
          <w:tab w:leader="none" w:pos="160" w:val="left"/>
        </w:tabs>
        <w:numPr>
          <w:ilvl w:val="0"/>
          <w:numId w:val="17"/>
        </w:numPr>
        <w:rPr>
          <w:rFonts w:ascii="Arial" w:cs="Arial" w:eastAsia="Arial" w:hAnsi="Arial"/>
          <w:sz w:val="13"/>
          <w:szCs w:val="13"/>
          <w:color w:val="28C0DA"/>
        </w:rPr>
      </w:pPr>
      <w:r>
        <w:rPr>
          <w:rFonts w:ascii="Arial" w:cs="Arial" w:eastAsia="Arial" w:hAnsi="Arial"/>
          <w:sz w:val="15"/>
          <w:szCs w:val="15"/>
          <w:color w:val="auto"/>
        </w:rPr>
        <w:t>Two director nominees are veterans, representing 22% of the independent director nominees</w:t>
      </w:r>
    </w:p>
    <w:p>
      <w:pPr>
        <w:spacing w:after="0" w:line="234" w:lineRule="auto"/>
        <w:tabs>
          <w:tab w:leader="none" w:pos="140" w:val="left"/>
        </w:tabs>
        <w:rPr>
          <w:sz w:val="20"/>
          <w:szCs w:val="20"/>
          <w:color w:val="auto"/>
        </w:rPr>
      </w:pPr>
      <w:r>
        <w:rPr>
          <w:rFonts w:ascii="Arial" w:cs="Arial" w:eastAsia="Arial" w:hAnsi="Arial"/>
          <w:sz w:val="8"/>
          <w:szCs w:val="8"/>
          <w:color w:val="auto"/>
        </w:rPr>
        <w:t> </w:t>
      </w:r>
      <w:r>
        <w:rPr>
          <w:sz w:val="20"/>
          <w:szCs w:val="20"/>
          <w:color w:val="auto"/>
        </w:rPr>
        <w:tab/>
      </w:r>
      <w:r>
        <w:rPr>
          <w:rFonts w:ascii="Arial" w:cs="Arial" w:eastAsia="Arial" w:hAnsi="Arial"/>
          <w:sz w:val="8"/>
          <w:szCs w:val="8"/>
          <w:color w:val="auto"/>
        </w:rPr>
        <w:t> </w:t>
      </w:r>
    </w:p>
    <w:p>
      <w:pPr>
        <w:ind w:left="160" w:hanging="160"/>
        <w:spacing w:after="0" w:line="243" w:lineRule="auto"/>
        <w:tabs>
          <w:tab w:leader="none" w:pos="160" w:val="left"/>
        </w:tabs>
        <w:numPr>
          <w:ilvl w:val="0"/>
          <w:numId w:val="18"/>
        </w:numPr>
        <w:rPr>
          <w:rFonts w:ascii="Arial" w:cs="Arial" w:eastAsia="Arial" w:hAnsi="Arial"/>
          <w:sz w:val="13"/>
          <w:szCs w:val="13"/>
          <w:color w:val="28C0DA"/>
        </w:rPr>
      </w:pPr>
      <w:r>
        <w:rPr>
          <w:rFonts w:ascii="Arial" w:cs="Arial" w:eastAsia="Arial" w:hAnsi="Arial"/>
          <w:sz w:val="15"/>
          <w:szCs w:val="15"/>
          <w:color w:val="auto"/>
        </w:rPr>
        <w:t>Five of the independent director nominees joined the Board within the last five years, representing 56% of the independent director nominees; the average independent director nominee tenure is six years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 </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714248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00254F"/>
        </w:rPr>
        <w:t>INDEPENDENT DIRECTOR NOMINEE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142480" cy="14446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2480" cy="144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2"/>
          <w:szCs w:val="12"/>
          <w:b w:val="1"/>
          <w:bCs w:val="1"/>
          <w:color w:val="00254F"/>
        </w:rPr>
        <w:t>INDEPENDENT DIRECTOR NOMINEE TENURE</w:t>
      </w:r>
      <w:r>
        <w:rPr>
          <w:sz w:val="20"/>
          <w:szCs w:val="20"/>
          <w:color w:val="auto"/>
        </w:rPr>
        <w:tab/>
      </w:r>
      <w:r>
        <w:rPr>
          <w:rFonts w:ascii="Times New Roman" w:cs="Times New Roman" w:eastAsia="Times New Roman" w:hAnsi="Times New Roman"/>
          <w:sz w:val="10"/>
          <w:szCs w:val="10"/>
          <w:b w:val="1"/>
          <w:bCs w:val="1"/>
          <w:color w:val="00254F"/>
        </w:rPr>
        <w:t>DIRECTOR NOMINEE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82550</wp:posOffset>
            </wp:positionV>
            <wp:extent cx="5840730" cy="12858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840730"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tabs>
          <w:tab w:leader="none" w:pos="540" w:val="left"/>
          <w:tab w:leader="none" w:pos="9480" w:val="left"/>
          <w:tab w:leader="none" w:pos="11160" w:val="left"/>
        </w:tabs>
        <w:rPr>
          <w:sz w:val="20"/>
          <w:szCs w:val="20"/>
          <w:color w:val="auto"/>
        </w:rPr>
      </w:pPr>
      <w:r>
        <w:rPr>
          <w:rFonts w:ascii="Times New Roman" w:cs="Times New Roman" w:eastAsia="Times New Roman" w:hAnsi="Times New Roman"/>
          <w:sz w:val="13"/>
          <w:szCs w:val="13"/>
          <w:b w:val="1"/>
          <w:bCs w:val="1"/>
          <w:color w:val="00254F"/>
        </w:rPr>
        <w:t> </w:t>
      </w:r>
      <w:r>
        <w:rPr>
          <w:sz w:val="20"/>
          <w:szCs w:val="20"/>
          <w:color w:val="auto"/>
        </w:rPr>
        <w:tab/>
      </w:r>
      <w:r>
        <w:rPr>
          <w:rFonts w:ascii="Times New Roman" w:cs="Times New Roman" w:eastAsia="Times New Roman" w:hAnsi="Times New Roman"/>
          <w:sz w:val="13"/>
          <w:szCs w:val="13"/>
          <w:b w:val="1"/>
          <w:bCs w:val="1"/>
          <w:color w:val="00254F"/>
        </w:rPr>
        <w:t> </w:t>
      </w:r>
      <w:r>
        <w:rPr>
          <w:sz w:val="20"/>
          <w:szCs w:val="20"/>
          <w:color w:val="auto"/>
        </w:rPr>
        <w:tab/>
      </w:r>
      <w:r>
        <w:rPr>
          <w:rFonts w:ascii="Times New Roman" w:cs="Times New Roman" w:eastAsia="Times New Roman" w:hAnsi="Times New Roman"/>
          <w:sz w:val="13"/>
          <w:szCs w:val="13"/>
          <w:b w:val="1"/>
          <w:bCs w:val="1"/>
          <w:color w:val="00254F"/>
        </w:rPr>
        <w:t xml:space="preserve">2024 </w:t>
      </w:r>
      <w:r>
        <w:rPr>
          <w:rFonts w:ascii="Times New Roman" w:cs="Times New Roman" w:eastAsia="Times New Roman" w:hAnsi="Times New Roman"/>
          <w:sz w:val="13"/>
          <w:szCs w:val="13"/>
          <w:color w:val="00254F"/>
        </w:rPr>
        <w:t>Proxy Statement</w:t>
      </w:r>
      <w:r>
        <w:rPr>
          <w:sz w:val="20"/>
          <w:szCs w:val="20"/>
          <w:color w:val="auto"/>
        </w:rPr>
        <w:tab/>
      </w:r>
      <w:r>
        <w:rPr>
          <w:rFonts w:ascii="Times New Roman" w:cs="Times New Roman" w:eastAsia="Times New Roman" w:hAnsi="Times New Roman"/>
          <w:sz w:val="12"/>
          <w:szCs w:val="12"/>
          <w:b w:val="1"/>
          <w:bCs w:val="1"/>
          <w:color w:val="00244F"/>
        </w:rPr>
        <w:t>7</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p>
    <w:p>
      <w:pPr>
        <w:ind w:right="20"/>
        <w:spacing w:after="0"/>
        <w:rPr>
          <w:sz w:val="20"/>
          <w:szCs w:val="20"/>
          <w:color w:val="auto"/>
        </w:rPr>
      </w:pPr>
      <w:r>
        <w:rPr>
          <w:rFonts w:ascii="Arial" w:cs="Arial" w:eastAsia="Arial" w:hAnsi="Arial"/>
          <w:sz w:val="17"/>
          <w:szCs w:val="17"/>
          <w:color w:val="auto"/>
        </w:rPr>
        <w:t>The chart below summarizes the specific qualifications, attributes, and skills for each director nominee. A "</w:t>
      </w:r>
      <w:r>
        <w:rPr>
          <w:rFonts w:ascii="Arial" w:cs="Arial" w:eastAsia="Arial" w:hAnsi="Arial"/>
          <w:sz w:val="17"/>
          <w:szCs w:val="17"/>
          <w:color w:val="28C0DA"/>
        </w:rPr>
        <w:t>■</w:t>
      </w:r>
      <w:r>
        <w:rPr>
          <w:rFonts w:ascii="Arial" w:cs="Arial" w:eastAsia="Arial" w:hAnsi="Arial"/>
          <w:sz w:val="17"/>
          <w:szCs w:val="17"/>
          <w:color w:val="auto"/>
        </w:rPr>
        <w:t>" in the chart below indicates that the director has meaningfully useful expertise in that subject area. The lack of a "</w:t>
      </w:r>
      <w:r>
        <w:rPr>
          <w:rFonts w:ascii="Arial" w:cs="Arial" w:eastAsia="Arial" w:hAnsi="Arial"/>
          <w:sz w:val="17"/>
          <w:szCs w:val="17"/>
          <w:color w:val="28C0DA"/>
        </w:rPr>
        <w:t>■</w:t>
      </w:r>
      <w:r>
        <w:rPr>
          <w:rFonts w:ascii="Arial" w:cs="Arial" w:eastAsia="Arial" w:hAnsi="Arial"/>
          <w:sz w:val="17"/>
          <w:szCs w:val="17"/>
          <w:color w:val="auto"/>
        </w:rPr>
        <w:t>" does not mean the director does not possess knowledge or skill. Rather, a "</w:t>
      </w:r>
      <w:r>
        <w:rPr>
          <w:rFonts w:ascii="Arial" w:cs="Arial" w:eastAsia="Arial" w:hAnsi="Arial"/>
          <w:sz w:val="17"/>
          <w:szCs w:val="17"/>
          <w:color w:val="28C0DA"/>
        </w:rPr>
        <w:t>■</w:t>
      </w:r>
      <w:r>
        <w:rPr>
          <w:rFonts w:ascii="Arial" w:cs="Arial" w:eastAsia="Arial" w:hAnsi="Arial"/>
          <w:sz w:val="17"/>
          <w:szCs w:val="17"/>
          <w:color w:val="auto"/>
        </w:rPr>
        <w:t>" indicates a specific area of focus or expertise of a director on which the Board currently relies.  </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6"/>
              </w:rPr>
              <w:t>Executive</w:t>
            </w:r>
          </w:p>
        </w:tc>
        <w:tc>
          <w:tcPr>
            <w:tcW w:w="840" w:type="dxa"/>
            <w:vAlign w:val="bottom"/>
            <w:tcBorders>
              <w:right w:val="single" w:sz="8" w:color="auto"/>
            </w:tcBorders>
            <w:gridSpan w:val="2"/>
            <w:vMerge w:val="restart"/>
          </w:tcPr>
          <w:p>
            <w:pPr>
              <w:jc w:val="center"/>
              <w:ind w:right="40"/>
              <w:spacing w:after="0"/>
              <w:rPr>
                <w:sz w:val="20"/>
                <w:szCs w:val="20"/>
                <w:color w:val="auto"/>
              </w:rPr>
            </w:pPr>
            <w:r>
              <w:rPr>
                <w:rFonts w:ascii="Arial" w:cs="Arial" w:eastAsia="Arial" w:hAnsi="Arial"/>
                <w:sz w:val="12"/>
                <w:szCs w:val="12"/>
                <w:b w:val="1"/>
                <w:bCs w:val="1"/>
                <w:color w:val="auto"/>
                <w:w w:val="99"/>
              </w:rPr>
              <w:t>Financial</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Investment</w:t>
            </w:r>
          </w:p>
        </w:tc>
        <w:tc>
          <w:tcPr>
            <w:tcW w:w="7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International</w:t>
            </w:r>
          </w:p>
        </w:tc>
        <w:tc>
          <w:tcPr>
            <w:tcW w:w="8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Strategy</w:t>
            </w:r>
          </w:p>
        </w:tc>
        <w:tc>
          <w:tcPr>
            <w:tcW w:w="780" w:type="dxa"/>
            <w:vAlign w:val="bottom"/>
            <w:tcBorders>
              <w:right w:val="single" w:sz="8" w:color="auto"/>
            </w:tcBorders>
            <w:gridSpan w:val="2"/>
            <w:vMerge w:val="restart"/>
          </w:tcPr>
          <w:p>
            <w:pPr>
              <w:jc w:val="center"/>
              <w:ind w:right="40"/>
              <w:spacing w:after="0"/>
              <w:rPr>
                <w:sz w:val="20"/>
                <w:szCs w:val="20"/>
                <w:color w:val="auto"/>
              </w:rPr>
            </w:pPr>
            <w:r>
              <w:rPr>
                <w:rFonts w:ascii="Arial" w:cs="Arial" w:eastAsia="Arial" w:hAnsi="Arial"/>
                <w:sz w:val="12"/>
                <w:szCs w:val="12"/>
                <w:b w:val="1"/>
                <w:bCs w:val="1"/>
                <w:color w:val="auto"/>
                <w:w w:val="96"/>
              </w:rPr>
              <w:t>Marketing/</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7"/>
              </w:rPr>
              <w:t>Government/</w:t>
            </w: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5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vMerge w:val="continue"/>
          </w:tcPr>
          <w:p>
            <w:pPr>
              <w:spacing w:after="0"/>
              <w:rPr>
                <w:sz w:val="10"/>
                <w:szCs w:val="10"/>
                <w:color w:val="auto"/>
              </w:rPr>
            </w:pPr>
          </w:p>
        </w:tc>
        <w:tc>
          <w:tcPr>
            <w:tcW w:w="840" w:type="dxa"/>
            <w:vAlign w:val="bottom"/>
            <w:tcBorders>
              <w:right w:val="single" w:sz="8" w:color="auto"/>
            </w:tcBorders>
            <w:gridSpan w:val="2"/>
            <w:vMerge w:val="continue"/>
          </w:tcPr>
          <w:p>
            <w:pPr>
              <w:spacing w:after="0"/>
              <w:rPr>
                <w:sz w:val="10"/>
                <w:szCs w:val="10"/>
                <w:color w:val="auto"/>
              </w:rPr>
            </w:pPr>
          </w:p>
        </w:tc>
        <w:tc>
          <w:tcPr>
            <w:tcW w:w="840" w:type="dxa"/>
            <w:vAlign w:val="bottom"/>
            <w:tcBorders>
              <w:right w:val="single" w:sz="8" w:color="auto"/>
            </w:tcBorders>
          </w:tcPr>
          <w:p>
            <w:pPr>
              <w:jc w:val="center"/>
              <w:spacing w:after="0" w:line="125" w:lineRule="exact"/>
              <w:rPr>
                <w:sz w:val="20"/>
                <w:szCs w:val="20"/>
                <w:color w:val="auto"/>
              </w:rPr>
            </w:pPr>
            <w:r>
              <w:rPr>
                <w:rFonts w:ascii="Arial" w:cs="Arial" w:eastAsia="Arial" w:hAnsi="Arial"/>
                <w:sz w:val="12"/>
                <w:szCs w:val="12"/>
                <w:b w:val="1"/>
                <w:bCs w:val="1"/>
                <w:color w:val="auto"/>
                <w:w w:val="98"/>
              </w:rPr>
              <w:t>Management</w:t>
            </w:r>
          </w:p>
        </w:tc>
        <w:tc>
          <w:tcPr>
            <w:tcW w:w="120" w:type="dxa"/>
            <w:vAlign w:val="bottom"/>
          </w:tcPr>
          <w:p>
            <w:pPr>
              <w:spacing w:after="0"/>
              <w:rPr>
                <w:sz w:val="10"/>
                <w:szCs w:val="10"/>
                <w:color w:val="auto"/>
              </w:rPr>
            </w:pPr>
          </w:p>
        </w:tc>
        <w:tc>
          <w:tcPr>
            <w:tcW w:w="620" w:type="dxa"/>
            <w:vAlign w:val="bottom"/>
          </w:tcPr>
          <w:p>
            <w:pPr>
              <w:jc w:val="center"/>
              <w:ind w:right="22"/>
              <w:spacing w:after="0" w:line="125" w:lineRule="exact"/>
              <w:rPr>
                <w:sz w:val="20"/>
                <w:szCs w:val="20"/>
                <w:color w:val="auto"/>
              </w:rPr>
            </w:pPr>
            <w:r>
              <w:rPr>
                <w:rFonts w:ascii="Arial" w:cs="Arial" w:eastAsia="Arial" w:hAnsi="Arial"/>
                <w:sz w:val="12"/>
                <w:szCs w:val="12"/>
                <w:b w:val="1"/>
                <w:bCs w:val="1"/>
                <w:color w:val="auto"/>
                <w:w w:val="97"/>
              </w:rPr>
              <w:t>Business</w:t>
            </w:r>
          </w:p>
        </w:tc>
        <w:tc>
          <w:tcPr>
            <w:tcW w:w="8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gridSpan w:val="2"/>
            <w:vMerge w:val="restart"/>
          </w:tcPr>
          <w:p>
            <w:pPr>
              <w:jc w:val="center"/>
              <w:ind w:right="40"/>
              <w:spacing w:after="0"/>
              <w:rPr>
                <w:sz w:val="20"/>
                <w:szCs w:val="20"/>
                <w:color w:val="auto"/>
              </w:rPr>
            </w:pPr>
            <w:r>
              <w:rPr>
                <w:rFonts w:ascii="Arial" w:cs="Arial" w:eastAsia="Arial" w:hAnsi="Arial"/>
                <w:sz w:val="12"/>
                <w:szCs w:val="12"/>
                <w:b w:val="1"/>
                <w:bCs w:val="1"/>
                <w:color w:val="auto"/>
                <w:w w:val="94"/>
              </w:rPr>
              <w:t>Technology</w:t>
            </w:r>
          </w:p>
        </w:tc>
        <w:tc>
          <w:tcPr>
            <w:tcW w:w="720" w:type="dxa"/>
            <w:vAlign w:val="bottom"/>
            <w:tcBorders>
              <w:right w:val="single" w:sz="8" w:color="auto"/>
            </w:tcBorders>
          </w:tcPr>
          <w:p>
            <w:pPr>
              <w:jc w:val="center"/>
              <w:spacing w:after="0" w:line="125" w:lineRule="exact"/>
              <w:rPr>
                <w:sz w:val="20"/>
                <w:szCs w:val="20"/>
                <w:color w:val="auto"/>
              </w:rPr>
            </w:pPr>
            <w:r>
              <w:rPr>
                <w:rFonts w:ascii="Arial" w:cs="Arial" w:eastAsia="Arial" w:hAnsi="Arial"/>
                <w:sz w:val="12"/>
                <w:szCs w:val="12"/>
                <w:b w:val="1"/>
                <w:bCs w:val="1"/>
                <w:color w:val="auto"/>
                <w:w w:val="96"/>
              </w:rPr>
              <w:t>Formation/</w:t>
            </w:r>
          </w:p>
        </w:tc>
        <w:tc>
          <w:tcPr>
            <w:tcW w:w="780" w:type="dxa"/>
            <w:vAlign w:val="bottom"/>
            <w:tcBorders>
              <w:right w:val="single" w:sz="8" w:color="auto"/>
            </w:tcBorders>
            <w:gridSpan w:val="2"/>
            <w:vMerge w:val="continue"/>
          </w:tcPr>
          <w:p>
            <w:pPr>
              <w:spacing w:after="0"/>
              <w:rPr>
                <w:sz w:val="10"/>
                <w:szCs w:val="10"/>
                <w:color w:val="auto"/>
              </w:rPr>
            </w:pPr>
          </w:p>
        </w:tc>
        <w:tc>
          <w:tcPr>
            <w:tcW w:w="840" w:type="dxa"/>
            <w:vAlign w:val="bottom"/>
            <w:tcBorders>
              <w:right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8"/>
              </w:rPr>
              <w:t>Diversity</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5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32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Leadership</w:t>
            </w:r>
          </w:p>
        </w:tc>
        <w:tc>
          <w:tcPr>
            <w:tcW w:w="8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2"/>
                <w:szCs w:val="12"/>
                <w:b w:val="1"/>
                <w:bCs w:val="1"/>
                <w:color w:val="auto"/>
                <w:w w:val="98"/>
              </w:rPr>
              <w:t>Management</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Industry</w:t>
            </w:r>
          </w:p>
        </w:tc>
        <w:tc>
          <w:tcPr>
            <w:tcW w:w="7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6"/>
              </w:rPr>
              <w:t>Experience</w:t>
            </w:r>
          </w:p>
        </w:tc>
        <w:tc>
          <w:tcPr>
            <w:tcW w:w="8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gridSpan w:val="2"/>
            <w:vMerge w:val="continue"/>
          </w:tcPr>
          <w:p>
            <w:pPr>
              <w:spacing w:after="0"/>
              <w:rPr>
                <w:sz w:val="13"/>
                <w:szCs w:val="13"/>
                <w:color w:val="auto"/>
              </w:rPr>
            </w:pP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Execution</w:t>
            </w:r>
          </w:p>
        </w:tc>
        <w:tc>
          <w:tcPr>
            <w:tcW w:w="78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2"/>
                <w:szCs w:val="12"/>
                <w:b w:val="1"/>
                <w:bCs w:val="1"/>
                <w:color w:val="auto"/>
                <w:w w:val="97"/>
              </w:rPr>
              <w:t>Distribution</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Regulatory</w:t>
            </w:r>
          </w:p>
        </w:tc>
        <w:tc>
          <w:tcPr>
            <w:tcW w:w="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54"/>
        </w:trPr>
        <w:tc>
          <w:tcPr>
            <w:tcW w:w="5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Name</w:t>
            </w:r>
          </w:p>
        </w:tc>
        <w:tc>
          <w:tcPr>
            <w:tcW w:w="2340" w:type="dxa"/>
            <w:vAlign w:val="bottom"/>
            <w:tcBorders>
              <w:bottom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Robert W. Sharps</w:t>
            </w:r>
          </w:p>
        </w:tc>
        <w:tc>
          <w:tcPr>
            <w:tcW w:w="132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jc w:val="center"/>
              <w:spacing w:after="0" w:line="184" w:lineRule="exact"/>
              <w:rPr>
                <w:sz w:val="20"/>
                <w:szCs w:val="20"/>
                <w:color w:val="auto"/>
              </w:rPr>
            </w:pPr>
            <w:r>
              <w:rPr>
                <w:rFonts w:ascii="Arial" w:cs="Arial" w:eastAsia="Arial" w:hAnsi="Arial"/>
                <w:sz w:val="17"/>
                <w:szCs w:val="17"/>
                <w:color w:val="28C0DA"/>
                <w:w w:val="96"/>
              </w:rPr>
              <w:t>■</w:t>
            </w:r>
          </w:p>
        </w:tc>
        <w:tc>
          <w:tcPr>
            <w:tcW w:w="840" w:type="dxa"/>
            <w:vAlign w:val="bottom"/>
            <w:tcBorders>
              <w:bottom w:val="single" w:sz="8" w:color="auto"/>
              <w:right w:val="single" w:sz="8" w:color="auto"/>
            </w:tcBorders>
            <w:gridSpan w:val="2"/>
            <w:shd w:val="clear" w:color="auto" w:fill="E7E7E8"/>
          </w:tcPr>
          <w:p>
            <w:pPr>
              <w:jc w:val="center"/>
              <w:ind w:right="60"/>
              <w:spacing w:after="0" w:line="184" w:lineRule="exact"/>
              <w:rPr>
                <w:sz w:val="20"/>
                <w:szCs w:val="20"/>
                <w:color w:val="auto"/>
              </w:rPr>
            </w:pPr>
            <w:r>
              <w:rPr>
                <w:rFonts w:ascii="Arial" w:cs="Arial" w:eastAsia="Arial" w:hAnsi="Arial"/>
                <w:sz w:val="17"/>
                <w:szCs w:val="17"/>
                <w:color w:val="28C0DA"/>
                <w:w w:val="96"/>
              </w:rPr>
              <w:t>■</w:t>
            </w:r>
          </w:p>
        </w:tc>
        <w:tc>
          <w:tcPr>
            <w:tcW w:w="840" w:type="dxa"/>
            <w:vAlign w:val="bottom"/>
            <w:tcBorders>
              <w:bottom w:val="single" w:sz="8" w:color="auto"/>
              <w:right w:val="single" w:sz="8" w:color="auto"/>
            </w:tcBorders>
          </w:tcPr>
          <w:p>
            <w:pPr>
              <w:jc w:val="center"/>
              <w:spacing w:after="0" w:line="184" w:lineRule="exact"/>
              <w:rPr>
                <w:sz w:val="20"/>
                <w:szCs w:val="20"/>
                <w:color w:val="auto"/>
              </w:rPr>
            </w:pPr>
            <w:r>
              <w:rPr>
                <w:rFonts w:ascii="Arial" w:cs="Arial" w:eastAsia="Arial" w:hAnsi="Arial"/>
                <w:sz w:val="17"/>
                <w:szCs w:val="17"/>
                <w:color w:val="28C0DA"/>
                <w:w w:val="96"/>
              </w:rPr>
              <w:t>■</w:t>
            </w:r>
          </w:p>
        </w:tc>
        <w:tc>
          <w:tcPr>
            <w:tcW w:w="120" w:type="dxa"/>
            <w:vAlign w:val="bottom"/>
            <w:tcBorders>
              <w:bottom w:val="single" w:sz="8" w:color="auto"/>
              <w:right w:val="single" w:sz="8" w:color="E7E7E8"/>
            </w:tcBorders>
            <w:shd w:val="clear" w:color="auto" w:fill="E7E7E8"/>
          </w:tcPr>
          <w:p>
            <w:pPr>
              <w:spacing w:after="0"/>
              <w:rPr>
                <w:sz w:val="15"/>
                <w:szCs w:val="15"/>
                <w:color w:val="auto"/>
              </w:rPr>
            </w:pPr>
          </w:p>
        </w:tc>
        <w:tc>
          <w:tcPr>
            <w:tcW w:w="620" w:type="dxa"/>
            <w:vAlign w:val="bottom"/>
            <w:tcBorders>
              <w:bottom w:val="single" w:sz="8" w:color="auto"/>
            </w:tcBorders>
            <w:shd w:val="clear" w:color="auto" w:fill="E7E7E8"/>
          </w:tcPr>
          <w:p>
            <w:pPr>
              <w:jc w:val="center"/>
              <w:ind w:right="2"/>
              <w:spacing w:after="0" w:line="184" w:lineRule="exact"/>
              <w:rPr>
                <w:sz w:val="20"/>
                <w:szCs w:val="20"/>
                <w:color w:val="auto"/>
              </w:rPr>
            </w:pPr>
            <w:r>
              <w:rPr>
                <w:rFonts w:ascii="Arial" w:cs="Arial" w:eastAsia="Arial" w:hAnsi="Arial"/>
                <w:sz w:val="17"/>
                <w:szCs w:val="17"/>
                <w:color w:val="28C0DA"/>
                <w:w w:val="96"/>
              </w:rPr>
              <w:t>■</w:t>
            </w:r>
          </w:p>
        </w:tc>
        <w:tc>
          <w:tcPr>
            <w:tcW w:w="80" w:type="dxa"/>
            <w:vAlign w:val="bottom"/>
            <w:tcBorders>
              <w:bottom w:val="single" w:sz="8" w:color="auto"/>
              <w:right w:val="single" w:sz="8" w:color="auto"/>
            </w:tcBorders>
            <w:shd w:val="clear" w:color="auto" w:fill="E7E7E8"/>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shd w:val="clear" w:color="auto" w:fill="E7E7E8"/>
          </w:tcPr>
          <w:p>
            <w:pPr>
              <w:jc w:val="center"/>
              <w:spacing w:after="0" w:line="184" w:lineRule="exact"/>
              <w:rPr>
                <w:sz w:val="20"/>
                <w:szCs w:val="20"/>
                <w:color w:val="auto"/>
              </w:rPr>
            </w:pPr>
            <w:r>
              <w:rPr>
                <w:rFonts w:ascii="Arial" w:cs="Arial" w:eastAsia="Arial" w:hAnsi="Arial"/>
                <w:sz w:val="17"/>
                <w:szCs w:val="17"/>
                <w:color w:val="28C0DA"/>
                <w:w w:val="96"/>
              </w:rPr>
              <w:t>■</w:t>
            </w:r>
          </w:p>
        </w:tc>
        <w:tc>
          <w:tcPr>
            <w:tcW w:w="780" w:type="dxa"/>
            <w:vAlign w:val="bottom"/>
            <w:tcBorders>
              <w:bottom w:val="single" w:sz="8" w:color="auto"/>
              <w:right w:val="single" w:sz="8" w:color="auto"/>
            </w:tcBorders>
            <w:gridSpan w:val="2"/>
          </w:tcPr>
          <w:p>
            <w:pPr>
              <w:jc w:val="center"/>
              <w:ind w:right="40"/>
              <w:spacing w:after="0" w:line="184" w:lineRule="exact"/>
              <w:rPr>
                <w:sz w:val="20"/>
                <w:szCs w:val="20"/>
                <w:color w:val="auto"/>
              </w:rPr>
            </w:pPr>
            <w:r>
              <w:rPr>
                <w:rFonts w:ascii="Arial" w:cs="Arial" w:eastAsia="Arial" w:hAnsi="Arial"/>
                <w:sz w:val="17"/>
                <w:szCs w:val="17"/>
                <w:color w:val="28C0DA"/>
                <w:w w:val="96"/>
              </w:rPr>
              <w:t>■</w:t>
            </w:r>
          </w:p>
        </w:tc>
        <w:tc>
          <w:tcPr>
            <w:tcW w:w="840" w:type="dxa"/>
            <w:vAlign w:val="bottom"/>
            <w:tcBorders>
              <w:bottom w:val="single" w:sz="8" w:color="auto"/>
              <w:right w:val="single" w:sz="8" w:color="auto"/>
            </w:tcBorders>
            <w:shd w:val="clear" w:color="auto" w:fill="E7E7E8"/>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Glenn R. August</w:t>
            </w:r>
          </w:p>
        </w:tc>
        <w:tc>
          <w:tcPr>
            <w:tcW w:w="132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jc w:val="center"/>
              <w:spacing w:after="0" w:line="180" w:lineRule="exact"/>
              <w:rPr>
                <w:sz w:val="20"/>
                <w:szCs w:val="20"/>
                <w:color w:val="auto"/>
              </w:rPr>
            </w:pPr>
            <w:r>
              <w:rPr>
                <w:rFonts w:ascii="Arial" w:cs="Arial" w:eastAsia="Arial" w:hAnsi="Arial"/>
                <w:sz w:val="17"/>
                <w:szCs w:val="17"/>
                <w:color w:val="28C0DA"/>
                <w:w w:val="96"/>
              </w:rPr>
              <w:t>■</w:t>
            </w:r>
          </w:p>
        </w:tc>
        <w:tc>
          <w:tcPr>
            <w:tcW w:w="840" w:type="dxa"/>
            <w:vAlign w:val="bottom"/>
            <w:tcBorders>
              <w:bottom w:val="single" w:sz="8" w:color="auto"/>
              <w:right w:val="single" w:sz="8" w:color="auto"/>
            </w:tcBorders>
            <w:gridSpan w:val="2"/>
            <w:shd w:val="clear" w:color="auto" w:fill="E7E7E8"/>
          </w:tcPr>
          <w:p>
            <w:pPr>
              <w:jc w:val="center"/>
              <w:ind w:right="60"/>
              <w:spacing w:after="0" w:line="180" w:lineRule="exact"/>
              <w:rPr>
                <w:sz w:val="20"/>
                <w:szCs w:val="20"/>
                <w:color w:val="auto"/>
              </w:rPr>
            </w:pPr>
            <w:r>
              <w:rPr>
                <w:rFonts w:ascii="Arial" w:cs="Arial" w:eastAsia="Arial" w:hAnsi="Arial"/>
                <w:sz w:val="17"/>
                <w:szCs w:val="17"/>
                <w:color w:val="28C0DA"/>
                <w:w w:val="96"/>
              </w:rPr>
              <w:t>■</w:t>
            </w:r>
          </w:p>
        </w:tc>
        <w:tc>
          <w:tcPr>
            <w:tcW w:w="840" w:type="dxa"/>
            <w:vAlign w:val="bottom"/>
            <w:tcBorders>
              <w:bottom w:val="single" w:sz="8" w:color="auto"/>
              <w:right w:val="single" w:sz="8" w:color="auto"/>
            </w:tcBorders>
          </w:tcPr>
          <w:p>
            <w:pPr>
              <w:jc w:val="center"/>
              <w:spacing w:after="0" w:line="180" w:lineRule="exact"/>
              <w:rPr>
                <w:sz w:val="20"/>
                <w:szCs w:val="20"/>
                <w:color w:val="auto"/>
              </w:rPr>
            </w:pPr>
            <w:r>
              <w:rPr>
                <w:rFonts w:ascii="Arial" w:cs="Arial" w:eastAsia="Arial" w:hAnsi="Arial"/>
                <w:sz w:val="17"/>
                <w:szCs w:val="17"/>
                <w:color w:val="28C0DA"/>
                <w:w w:val="96"/>
              </w:rPr>
              <w:t>■</w:t>
            </w:r>
          </w:p>
        </w:tc>
        <w:tc>
          <w:tcPr>
            <w:tcW w:w="120" w:type="dxa"/>
            <w:vAlign w:val="bottom"/>
            <w:tcBorders>
              <w:bottom w:val="single" w:sz="8" w:color="auto"/>
              <w:right w:val="single" w:sz="8" w:color="E7E7E8"/>
            </w:tcBorders>
            <w:shd w:val="clear" w:color="auto" w:fill="E7E7E8"/>
          </w:tcPr>
          <w:p>
            <w:pPr>
              <w:spacing w:after="0"/>
              <w:rPr>
                <w:sz w:val="15"/>
                <w:szCs w:val="15"/>
                <w:color w:val="auto"/>
              </w:rPr>
            </w:pPr>
          </w:p>
        </w:tc>
        <w:tc>
          <w:tcPr>
            <w:tcW w:w="620" w:type="dxa"/>
            <w:vAlign w:val="bottom"/>
            <w:tcBorders>
              <w:bottom w:val="single" w:sz="8" w:color="auto"/>
            </w:tcBorders>
            <w:shd w:val="clear" w:color="auto" w:fill="E7E7E8"/>
          </w:tcPr>
          <w:p>
            <w:pPr>
              <w:jc w:val="center"/>
              <w:ind w:right="2"/>
              <w:spacing w:after="0" w:line="180" w:lineRule="exact"/>
              <w:rPr>
                <w:sz w:val="20"/>
                <w:szCs w:val="20"/>
                <w:color w:val="auto"/>
              </w:rPr>
            </w:pPr>
            <w:r>
              <w:rPr>
                <w:rFonts w:ascii="Arial" w:cs="Arial" w:eastAsia="Arial" w:hAnsi="Arial"/>
                <w:sz w:val="17"/>
                <w:szCs w:val="17"/>
                <w:color w:val="28C0DA"/>
                <w:w w:val="96"/>
              </w:rPr>
              <w:t>■</w:t>
            </w:r>
          </w:p>
        </w:tc>
        <w:tc>
          <w:tcPr>
            <w:tcW w:w="80" w:type="dxa"/>
            <w:vAlign w:val="bottom"/>
            <w:tcBorders>
              <w:bottom w:val="single" w:sz="8" w:color="auto"/>
              <w:right w:val="single" w:sz="8" w:color="auto"/>
            </w:tcBorders>
            <w:shd w:val="clear" w:color="auto" w:fill="E7E7E8"/>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shd w:val="clear" w:color="auto" w:fill="E7E7E8"/>
          </w:tcPr>
          <w:p>
            <w:pPr>
              <w:jc w:val="center"/>
              <w:spacing w:after="0" w:line="180" w:lineRule="exact"/>
              <w:rPr>
                <w:sz w:val="20"/>
                <w:szCs w:val="20"/>
                <w:color w:val="auto"/>
              </w:rPr>
            </w:pPr>
            <w:r>
              <w:rPr>
                <w:rFonts w:ascii="Arial" w:cs="Arial" w:eastAsia="Arial" w:hAnsi="Arial"/>
                <w:sz w:val="17"/>
                <w:szCs w:val="17"/>
                <w:color w:val="28C0DA"/>
                <w:w w:val="96"/>
              </w:rPr>
              <w:t>■</w:t>
            </w:r>
          </w:p>
        </w:tc>
        <w:tc>
          <w:tcPr>
            <w:tcW w:w="780" w:type="dxa"/>
            <w:vAlign w:val="bottom"/>
            <w:tcBorders>
              <w:bottom w:val="single" w:sz="8" w:color="auto"/>
              <w:right w:val="single" w:sz="8" w:color="auto"/>
            </w:tcBorders>
            <w:gridSpan w:val="2"/>
          </w:tcPr>
          <w:p>
            <w:pPr>
              <w:jc w:val="center"/>
              <w:ind w:right="40"/>
              <w:spacing w:after="0" w:line="180" w:lineRule="exact"/>
              <w:rPr>
                <w:sz w:val="20"/>
                <w:szCs w:val="20"/>
                <w:color w:val="auto"/>
              </w:rPr>
            </w:pPr>
            <w:r>
              <w:rPr>
                <w:rFonts w:ascii="Arial" w:cs="Arial" w:eastAsia="Arial" w:hAnsi="Arial"/>
                <w:sz w:val="17"/>
                <w:szCs w:val="17"/>
                <w:color w:val="28C0DA"/>
                <w:w w:val="96"/>
              </w:rPr>
              <w:t>■</w:t>
            </w:r>
          </w:p>
        </w:tc>
        <w:tc>
          <w:tcPr>
            <w:tcW w:w="840" w:type="dxa"/>
            <w:vAlign w:val="bottom"/>
            <w:tcBorders>
              <w:bottom w:val="single" w:sz="8" w:color="auto"/>
              <w:right w:val="single" w:sz="8" w:color="auto"/>
            </w:tcBorders>
            <w:shd w:val="clear" w:color="auto" w:fill="E7E7E8"/>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Mark S. Bartlett</w:t>
            </w:r>
          </w:p>
        </w:tc>
        <w:tc>
          <w:tcPr>
            <w:tcW w:w="132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jc w:val="center"/>
              <w:spacing w:after="0" w:line="180" w:lineRule="exact"/>
              <w:rPr>
                <w:sz w:val="20"/>
                <w:szCs w:val="20"/>
                <w:color w:val="auto"/>
              </w:rPr>
            </w:pPr>
            <w:r>
              <w:rPr>
                <w:rFonts w:ascii="Arial" w:cs="Arial" w:eastAsia="Arial" w:hAnsi="Arial"/>
                <w:sz w:val="17"/>
                <w:szCs w:val="17"/>
                <w:color w:val="28C0DA"/>
                <w:w w:val="96"/>
              </w:rPr>
              <w:t>■</w:t>
            </w:r>
          </w:p>
        </w:tc>
        <w:tc>
          <w:tcPr>
            <w:tcW w:w="840" w:type="dxa"/>
            <w:vAlign w:val="bottom"/>
            <w:tcBorders>
              <w:bottom w:val="single" w:sz="8" w:color="auto"/>
              <w:right w:val="single" w:sz="8" w:color="auto"/>
            </w:tcBorders>
            <w:gridSpan w:val="2"/>
            <w:shd w:val="clear" w:color="auto" w:fill="E7E7E8"/>
          </w:tcPr>
          <w:p>
            <w:pPr>
              <w:jc w:val="center"/>
              <w:ind w:right="60"/>
              <w:spacing w:after="0" w:line="180" w:lineRule="exact"/>
              <w:rPr>
                <w:sz w:val="20"/>
                <w:szCs w:val="20"/>
                <w:color w:val="auto"/>
              </w:rPr>
            </w:pPr>
            <w:r>
              <w:rPr>
                <w:rFonts w:ascii="Arial" w:cs="Arial" w:eastAsia="Arial" w:hAnsi="Arial"/>
                <w:sz w:val="17"/>
                <w:szCs w:val="17"/>
                <w:color w:val="28C0DA"/>
                <w:w w:val="96"/>
              </w:rPr>
              <w:t>■</w:t>
            </w:r>
          </w:p>
        </w:tc>
        <w:tc>
          <w:tcPr>
            <w:tcW w:w="840" w:type="dxa"/>
            <w:vAlign w:val="bottom"/>
            <w:tcBorders>
              <w:bottom w:val="single" w:sz="8" w:color="auto"/>
              <w:right w:val="single" w:sz="8" w:color="auto"/>
            </w:tcBorders>
          </w:tcPr>
          <w:p>
            <w:pPr>
              <w:spacing w:after="0"/>
              <w:rPr>
                <w:sz w:val="15"/>
                <w:szCs w:val="15"/>
                <w:color w:val="auto"/>
              </w:rPr>
            </w:pPr>
          </w:p>
        </w:tc>
        <w:tc>
          <w:tcPr>
            <w:tcW w:w="120" w:type="dxa"/>
            <w:vAlign w:val="bottom"/>
            <w:tcBorders>
              <w:bottom w:val="single" w:sz="8" w:color="auto"/>
              <w:right w:val="single" w:sz="8" w:color="E7E7E8"/>
            </w:tcBorders>
            <w:shd w:val="clear" w:color="auto" w:fill="E7E7E8"/>
          </w:tcPr>
          <w:p>
            <w:pPr>
              <w:spacing w:after="0"/>
              <w:rPr>
                <w:sz w:val="15"/>
                <w:szCs w:val="15"/>
                <w:color w:val="auto"/>
              </w:rPr>
            </w:pPr>
          </w:p>
        </w:tc>
        <w:tc>
          <w:tcPr>
            <w:tcW w:w="620" w:type="dxa"/>
            <w:vAlign w:val="bottom"/>
            <w:tcBorders>
              <w:bottom w:val="single" w:sz="8" w:color="auto"/>
            </w:tcBorders>
            <w:shd w:val="clear" w:color="auto" w:fill="E7E7E8"/>
          </w:tcPr>
          <w:p>
            <w:pPr>
              <w:spacing w:after="0"/>
              <w:rPr>
                <w:sz w:val="15"/>
                <w:szCs w:val="15"/>
                <w:color w:val="auto"/>
              </w:rPr>
            </w:pPr>
          </w:p>
        </w:tc>
        <w:tc>
          <w:tcPr>
            <w:tcW w:w="80" w:type="dxa"/>
            <w:vAlign w:val="bottom"/>
            <w:tcBorders>
              <w:bottom w:val="single" w:sz="8" w:color="auto"/>
              <w:right w:val="single" w:sz="8" w:color="auto"/>
            </w:tcBorders>
            <w:shd w:val="clear" w:color="auto" w:fill="E7E7E8"/>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shd w:val="clear" w:color="auto" w:fill="E7E7E8"/>
          </w:tcPr>
          <w:p>
            <w:pPr>
              <w:jc w:val="center"/>
              <w:spacing w:after="0" w:line="180" w:lineRule="exact"/>
              <w:rPr>
                <w:sz w:val="20"/>
                <w:szCs w:val="20"/>
                <w:color w:val="auto"/>
              </w:rPr>
            </w:pPr>
            <w:r>
              <w:rPr>
                <w:rFonts w:ascii="Arial" w:cs="Arial" w:eastAsia="Arial" w:hAnsi="Arial"/>
                <w:sz w:val="17"/>
                <w:szCs w:val="17"/>
                <w:color w:val="28C0DA"/>
                <w:w w:val="96"/>
              </w:rPr>
              <w:t>■</w:t>
            </w:r>
          </w:p>
        </w:tc>
        <w:tc>
          <w:tcPr>
            <w:tcW w:w="520" w:type="dxa"/>
            <w:vAlign w:val="bottom"/>
            <w:tcBorders>
              <w:bottom w:val="single" w:sz="8" w:color="auto"/>
            </w:tcBorders>
          </w:tcPr>
          <w:p>
            <w:pPr>
              <w:spacing w:after="0"/>
              <w:rPr>
                <w:sz w:val="15"/>
                <w:szCs w:val="15"/>
                <w:color w:val="auto"/>
              </w:rPr>
            </w:pPr>
          </w:p>
        </w:tc>
        <w:tc>
          <w:tcPr>
            <w:tcW w:w="26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right w:val="single" w:sz="8" w:color="auto"/>
            </w:tcBorders>
            <w:shd w:val="clear" w:color="auto" w:fill="E7E7E8"/>
          </w:tcPr>
          <w:p>
            <w:pPr>
              <w:jc w:val="center"/>
              <w:spacing w:after="0" w:line="180" w:lineRule="exact"/>
              <w:rPr>
                <w:sz w:val="20"/>
                <w:szCs w:val="20"/>
                <w:color w:val="auto"/>
              </w:rPr>
            </w:pPr>
            <w:r>
              <w:rPr>
                <w:rFonts w:ascii="Arial" w:cs="Arial" w:eastAsia="Arial" w:hAnsi="Arial"/>
                <w:sz w:val="17"/>
                <w:szCs w:val="17"/>
                <w:color w:val="28C0DA"/>
                <w:w w:val="96"/>
              </w:rPr>
              <w:t>■</w:t>
            </w:r>
          </w:p>
        </w:tc>
        <w:tc>
          <w:tcPr>
            <w:tcW w:w="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William P. Donnelly</w:t>
            </w:r>
          </w:p>
        </w:tc>
        <w:tc>
          <w:tcPr>
            <w:tcW w:w="132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jc w:val="center"/>
              <w:spacing w:after="0" w:line="180" w:lineRule="exact"/>
              <w:rPr>
                <w:sz w:val="20"/>
                <w:szCs w:val="20"/>
                <w:color w:val="auto"/>
              </w:rPr>
            </w:pPr>
            <w:r>
              <w:rPr>
                <w:rFonts w:ascii="Arial" w:cs="Arial" w:eastAsia="Arial" w:hAnsi="Arial"/>
                <w:sz w:val="17"/>
                <w:szCs w:val="17"/>
                <w:color w:val="28C0DA"/>
                <w:w w:val="96"/>
              </w:rPr>
              <w:t>■</w:t>
            </w:r>
          </w:p>
        </w:tc>
        <w:tc>
          <w:tcPr>
            <w:tcW w:w="840" w:type="dxa"/>
            <w:vAlign w:val="bottom"/>
            <w:tcBorders>
              <w:bottom w:val="single" w:sz="8" w:color="auto"/>
              <w:right w:val="single" w:sz="8" w:color="auto"/>
            </w:tcBorders>
            <w:gridSpan w:val="2"/>
            <w:shd w:val="clear" w:color="auto" w:fill="E7E7E8"/>
          </w:tcPr>
          <w:p>
            <w:pPr>
              <w:jc w:val="center"/>
              <w:ind w:right="60"/>
              <w:spacing w:after="0" w:line="180" w:lineRule="exact"/>
              <w:rPr>
                <w:sz w:val="20"/>
                <w:szCs w:val="20"/>
                <w:color w:val="auto"/>
              </w:rPr>
            </w:pPr>
            <w:r>
              <w:rPr>
                <w:rFonts w:ascii="Arial" w:cs="Arial" w:eastAsia="Arial" w:hAnsi="Arial"/>
                <w:sz w:val="17"/>
                <w:szCs w:val="17"/>
                <w:color w:val="28C0DA"/>
                <w:w w:val="96"/>
              </w:rPr>
              <w:t>■</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 </w:t>
            </w:r>
          </w:p>
        </w:tc>
        <w:tc>
          <w:tcPr>
            <w:tcW w:w="120" w:type="dxa"/>
            <w:vAlign w:val="bottom"/>
            <w:tcBorders>
              <w:bottom w:val="single" w:sz="8" w:color="auto"/>
              <w:right w:val="single" w:sz="8" w:color="E7E7E8"/>
            </w:tcBorders>
            <w:shd w:val="clear" w:color="auto" w:fill="E7E7E8"/>
          </w:tcPr>
          <w:p>
            <w:pPr>
              <w:spacing w:after="0"/>
              <w:rPr>
                <w:sz w:val="15"/>
                <w:szCs w:val="15"/>
                <w:color w:val="auto"/>
              </w:rPr>
            </w:pPr>
          </w:p>
        </w:tc>
        <w:tc>
          <w:tcPr>
            <w:tcW w:w="620" w:type="dxa"/>
            <w:vAlign w:val="bottom"/>
            <w:tcBorders>
              <w:bottom w:val="single" w:sz="8" w:color="auto"/>
            </w:tcBorders>
            <w:shd w:val="clear" w:color="auto" w:fill="E7E7E8"/>
          </w:tcPr>
          <w:p>
            <w:pPr>
              <w:jc w:val="center"/>
              <w:ind w:right="2"/>
              <w:spacing w:after="0" w:line="180" w:lineRule="exact"/>
              <w:rPr>
                <w:sz w:val="20"/>
                <w:szCs w:val="20"/>
                <w:color w:val="auto"/>
              </w:rPr>
            </w:pPr>
            <w:r>
              <w:rPr>
                <w:rFonts w:ascii="Arial" w:cs="Arial" w:eastAsia="Arial" w:hAnsi="Arial"/>
                <w:sz w:val="17"/>
                <w:szCs w:val="17"/>
                <w:color w:val="28C0DA"/>
                <w:w w:val="96"/>
              </w:rPr>
              <w:t>■</w:t>
            </w:r>
          </w:p>
        </w:tc>
        <w:tc>
          <w:tcPr>
            <w:tcW w:w="80" w:type="dxa"/>
            <w:vAlign w:val="bottom"/>
            <w:tcBorders>
              <w:bottom w:val="single" w:sz="8" w:color="auto"/>
              <w:right w:val="single" w:sz="8" w:color="auto"/>
            </w:tcBorders>
            <w:shd w:val="clear" w:color="auto" w:fill="E7E7E8"/>
          </w:tcPr>
          <w:p>
            <w:pPr>
              <w:spacing w:after="0"/>
              <w:rPr>
                <w:sz w:val="15"/>
                <w:szCs w:val="15"/>
                <w:color w:val="auto"/>
              </w:rPr>
            </w:pPr>
          </w:p>
        </w:tc>
        <w:tc>
          <w:tcPr>
            <w:tcW w:w="760" w:type="dxa"/>
            <w:vAlign w:val="bottom"/>
            <w:tcBorders>
              <w:bottom w:val="single" w:sz="8" w:color="auto"/>
              <w:right w:val="single" w:sz="8" w:color="auto"/>
            </w:tcBorders>
            <w:gridSpan w:val="2"/>
          </w:tcPr>
          <w:p>
            <w:pPr>
              <w:jc w:val="center"/>
              <w:ind w:right="20"/>
              <w:spacing w:after="0" w:line="180" w:lineRule="exact"/>
              <w:rPr>
                <w:sz w:val="20"/>
                <w:szCs w:val="20"/>
                <w:color w:val="auto"/>
              </w:rPr>
            </w:pPr>
            <w:r>
              <w:rPr>
                <w:rFonts w:ascii="Arial" w:cs="Arial" w:eastAsia="Arial" w:hAnsi="Arial"/>
                <w:sz w:val="17"/>
                <w:szCs w:val="17"/>
                <w:color w:val="28C0DA"/>
                <w:w w:val="96"/>
              </w:rPr>
              <w:t>■</w:t>
            </w:r>
          </w:p>
        </w:tc>
        <w:tc>
          <w:tcPr>
            <w:tcW w:w="720" w:type="dxa"/>
            <w:vAlign w:val="bottom"/>
            <w:tcBorders>
              <w:bottom w:val="single" w:sz="8" w:color="auto"/>
              <w:right w:val="single" w:sz="8" w:color="auto"/>
            </w:tcBorders>
            <w:shd w:val="clear" w:color="auto" w:fill="E7E7E8"/>
          </w:tcPr>
          <w:p>
            <w:pPr>
              <w:jc w:val="center"/>
              <w:spacing w:after="0" w:line="180" w:lineRule="exact"/>
              <w:rPr>
                <w:sz w:val="20"/>
                <w:szCs w:val="20"/>
                <w:color w:val="auto"/>
              </w:rPr>
            </w:pPr>
            <w:r>
              <w:rPr>
                <w:rFonts w:ascii="Arial" w:cs="Arial" w:eastAsia="Arial" w:hAnsi="Arial"/>
                <w:sz w:val="17"/>
                <w:szCs w:val="17"/>
                <w:color w:val="28C0DA"/>
                <w:w w:val="96"/>
              </w:rPr>
              <w:t>■</w:t>
            </w:r>
          </w:p>
        </w:tc>
        <w:tc>
          <w:tcPr>
            <w:tcW w:w="780" w:type="dxa"/>
            <w:vAlign w:val="bottom"/>
            <w:tcBorders>
              <w:bottom w:val="single" w:sz="8" w:color="auto"/>
              <w:right w:val="single" w:sz="8" w:color="auto"/>
            </w:tcBorders>
            <w:gridSpan w:val="2"/>
          </w:tcPr>
          <w:p>
            <w:pPr>
              <w:jc w:val="center"/>
              <w:ind w:right="40"/>
              <w:spacing w:after="0" w:line="180" w:lineRule="exact"/>
              <w:rPr>
                <w:sz w:val="20"/>
                <w:szCs w:val="20"/>
                <w:color w:val="auto"/>
              </w:rPr>
            </w:pPr>
            <w:r>
              <w:rPr>
                <w:rFonts w:ascii="Arial" w:cs="Arial" w:eastAsia="Arial" w:hAnsi="Arial"/>
                <w:sz w:val="17"/>
                <w:szCs w:val="17"/>
                <w:color w:val="28C0DA"/>
                <w:w w:val="96"/>
              </w:rPr>
              <w:t>■</w:t>
            </w:r>
          </w:p>
        </w:tc>
        <w:tc>
          <w:tcPr>
            <w:tcW w:w="840" w:type="dxa"/>
            <w:vAlign w:val="bottom"/>
            <w:tcBorders>
              <w:bottom w:val="single" w:sz="8" w:color="auto"/>
              <w:right w:val="single" w:sz="8" w:color="auto"/>
            </w:tcBorders>
            <w:shd w:val="clear" w:color="auto" w:fill="E7E7E8"/>
          </w:tcPr>
          <w:p>
            <w:pPr>
              <w:jc w:val="center"/>
              <w:spacing w:after="0"/>
              <w:rPr>
                <w:sz w:val="20"/>
                <w:szCs w:val="20"/>
                <w:color w:val="auto"/>
              </w:rPr>
            </w:pPr>
            <w:r>
              <w:rPr>
                <w:rFonts w:ascii="Arial" w:cs="Arial" w:eastAsia="Arial" w:hAnsi="Arial"/>
                <w:sz w:val="12"/>
                <w:szCs w:val="12"/>
                <w:color w:val="auto"/>
                <w:w w:val="81"/>
              </w:rPr>
              <w:t> </w:t>
            </w:r>
          </w:p>
        </w:tc>
        <w:tc>
          <w:tcPr>
            <w:tcW w:w="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 </w:t>
            </w:r>
          </w:p>
        </w:tc>
        <w:tc>
          <w:tcPr>
            <w:tcW w:w="12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w w:val="81"/>
              </w:rPr>
              <w:t> </w:t>
            </w:r>
          </w:p>
        </w:tc>
        <w:tc>
          <w:tcPr>
            <w:tcW w:w="0" w:type="dxa"/>
            <w:vAlign w:val="bottom"/>
          </w:tcPr>
          <w:p>
            <w:pPr>
              <w:spacing w:after="0"/>
              <w:rPr>
                <w:sz w:val="1"/>
                <w:szCs w:val="1"/>
                <w:color w:val="auto"/>
              </w:rPr>
            </w:pPr>
          </w:p>
        </w:tc>
      </w:tr>
      <w:tr>
        <w:trPr>
          <w:trHeight w:val="180"/>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Dina Dublon</w:t>
            </w:r>
          </w:p>
        </w:tc>
        <w:tc>
          <w:tcPr>
            <w:tcW w:w="132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jc w:val="center"/>
              <w:spacing w:after="0" w:line="180" w:lineRule="exact"/>
              <w:rPr>
                <w:sz w:val="20"/>
                <w:szCs w:val="20"/>
                <w:color w:val="auto"/>
              </w:rPr>
            </w:pPr>
            <w:r>
              <w:rPr>
                <w:rFonts w:ascii="Arial" w:cs="Arial" w:eastAsia="Arial" w:hAnsi="Arial"/>
                <w:sz w:val="17"/>
                <w:szCs w:val="17"/>
                <w:color w:val="28C0DA"/>
                <w:w w:val="96"/>
              </w:rPr>
              <w:t>■</w:t>
            </w:r>
          </w:p>
        </w:tc>
        <w:tc>
          <w:tcPr>
            <w:tcW w:w="840" w:type="dxa"/>
            <w:vAlign w:val="bottom"/>
            <w:tcBorders>
              <w:bottom w:val="single" w:sz="8" w:color="auto"/>
              <w:right w:val="single" w:sz="8" w:color="auto"/>
            </w:tcBorders>
            <w:gridSpan w:val="2"/>
            <w:shd w:val="clear" w:color="auto" w:fill="E7E7E8"/>
          </w:tcPr>
          <w:p>
            <w:pPr>
              <w:jc w:val="center"/>
              <w:ind w:right="60"/>
              <w:spacing w:after="0" w:line="180" w:lineRule="exact"/>
              <w:rPr>
                <w:sz w:val="20"/>
                <w:szCs w:val="20"/>
                <w:color w:val="auto"/>
              </w:rPr>
            </w:pPr>
            <w:r>
              <w:rPr>
                <w:rFonts w:ascii="Arial" w:cs="Arial" w:eastAsia="Arial" w:hAnsi="Arial"/>
                <w:sz w:val="17"/>
                <w:szCs w:val="17"/>
                <w:color w:val="28C0DA"/>
                <w:w w:val="96"/>
              </w:rPr>
              <w:t>■</w:t>
            </w:r>
          </w:p>
        </w:tc>
        <w:tc>
          <w:tcPr>
            <w:tcW w:w="840" w:type="dxa"/>
            <w:vAlign w:val="bottom"/>
            <w:tcBorders>
              <w:bottom w:val="single" w:sz="8" w:color="auto"/>
              <w:right w:val="single" w:sz="8" w:color="auto"/>
            </w:tcBorders>
          </w:tcPr>
          <w:p>
            <w:pPr>
              <w:jc w:val="center"/>
              <w:spacing w:after="0" w:line="180" w:lineRule="exact"/>
              <w:rPr>
                <w:sz w:val="20"/>
                <w:szCs w:val="20"/>
                <w:color w:val="auto"/>
              </w:rPr>
            </w:pPr>
            <w:r>
              <w:rPr>
                <w:rFonts w:ascii="Arial" w:cs="Arial" w:eastAsia="Arial" w:hAnsi="Arial"/>
                <w:sz w:val="17"/>
                <w:szCs w:val="17"/>
                <w:color w:val="28C0DA"/>
                <w:w w:val="96"/>
              </w:rPr>
              <w:t>■</w:t>
            </w:r>
          </w:p>
        </w:tc>
        <w:tc>
          <w:tcPr>
            <w:tcW w:w="120" w:type="dxa"/>
            <w:vAlign w:val="bottom"/>
            <w:tcBorders>
              <w:bottom w:val="single" w:sz="8" w:color="auto"/>
              <w:right w:val="single" w:sz="8" w:color="E7E7E8"/>
            </w:tcBorders>
            <w:shd w:val="clear" w:color="auto" w:fill="E7E7E8"/>
          </w:tcPr>
          <w:p>
            <w:pPr>
              <w:spacing w:after="0"/>
              <w:rPr>
                <w:sz w:val="15"/>
                <w:szCs w:val="15"/>
                <w:color w:val="auto"/>
              </w:rPr>
            </w:pPr>
          </w:p>
        </w:tc>
        <w:tc>
          <w:tcPr>
            <w:tcW w:w="620" w:type="dxa"/>
            <w:vAlign w:val="bottom"/>
            <w:tcBorders>
              <w:bottom w:val="single" w:sz="8" w:color="auto"/>
            </w:tcBorders>
            <w:shd w:val="clear" w:color="auto" w:fill="E7E7E8"/>
          </w:tcPr>
          <w:p>
            <w:pPr>
              <w:jc w:val="center"/>
              <w:ind w:right="2"/>
              <w:spacing w:after="0" w:line="180" w:lineRule="exact"/>
              <w:rPr>
                <w:sz w:val="20"/>
                <w:szCs w:val="20"/>
                <w:color w:val="auto"/>
              </w:rPr>
            </w:pPr>
            <w:r>
              <w:rPr>
                <w:rFonts w:ascii="Arial" w:cs="Arial" w:eastAsia="Arial" w:hAnsi="Arial"/>
                <w:sz w:val="17"/>
                <w:szCs w:val="17"/>
                <w:color w:val="28C0DA"/>
                <w:w w:val="96"/>
              </w:rPr>
              <w:t>■</w:t>
            </w:r>
          </w:p>
        </w:tc>
        <w:tc>
          <w:tcPr>
            <w:tcW w:w="80" w:type="dxa"/>
            <w:vAlign w:val="bottom"/>
            <w:tcBorders>
              <w:bottom w:val="single" w:sz="8" w:color="auto"/>
              <w:right w:val="single" w:sz="8" w:color="auto"/>
            </w:tcBorders>
            <w:shd w:val="clear" w:color="auto" w:fill="E7E7E8"/>
          </w:tcPr>
          <w:p>
            <w:pPr>
              <w:spacing w:after="0"/>
              <w:rPr>
                <w:sz w:val="15"/>
                <w:szCs w:val="15"/>
                <w:color w:val="auto"/>
              </w:rPr>
            </w:pPr>
          </w:p>
        </w:tc>
        <w:tc>
          <w:tcPr>
            <w:tcW w:w="760" w:type="dxa"/>
            <w:vAlign w:val="bottom"/>
            <w:tcBorders>
              <w:bottom w:val="single" w:sz="8" w:color="auto"/>
              <w:right w:val="single" w:sz="8" w:color="auto"/>
            </w:tcBorders>
            <w:gridSpan w:val="2"/>
          </w:tcPr>
          <w:p>
            <w:pPr>
              <w:jc w:val="center"/>
              <w:ind w:right="20"/>
              <w:spacing w:after="0" w:line="180" w:lineRule="exact"/>
              <w:rPr>
                <w:sz w:val="20"/>
                <w:szCs w:val="20"/>
                <w:color w:val="auto"/>
              </w:rPr>
            </w:pPr>
            <w:r>
              <w:rPr>
                <w:rFonts w:ascii="Arial" w:cs="Arial" w:eastAsia="Arial" w:hAnsi="Arial"/>
                <w:sz w:val="17"/>
                <w:szCs w:val="17"/>
                <w:color w:val="28C0DA"/>
                <w:w w:val="96"/>
              </w:rPr>
              <w:t>■</w:t>
            </w:r>
          </w:p>
        </w:tc>
        <w:tc>
          <w:tcPr>
            <w:tcW w:w="720" w:type="dxa"/>
            <w:vAlign w:val="bottom"/>
            <w:tcBorders>
              <w:bottom w:val="single" w:sz="8" w:color="auto"/>
              <w:right w:val="single" w:sz="8" w:color="auto"/>
            </w:tcBorders>
            <w:shd w:val="clear" w:color="auto" w:fill="E7E7E8"/>
          </w:tcPr>
          <w:p>
            <w:pPr>
              <w:jc w:val="center"/>
              <w:spacing w:after="0" w:line="180" w:lineRule="exact"/>
              <w:rPr>
                <w:sz w:val="20"/>
                <w:szCs w:val="20"/>
                <w:color w:val="auto"/>
              </w:rPr>
            </w:pPr>
            <w:r>
              <w:rPr>
                <w:rFonts w:ascii="Arial" w:cs="Arial" w:eastAsia="Arial" w:hAnsi="Arial"/>
                <w:sz w:val="17"/>
                <w:szCs w:val="17"/>
                <w:color w:val="28C0DA"/>
                <w:w w:val="96"/>
              </w:rPr>
              <w:t>■</w:t>
            </w:r>
          </w:p>
        </w:tc>
        <w:tc>
          <w:tcPr>
            <w:tcW w:w="780" w:type="dxa"/>
            <w:vAlign w:val="bottom"/>
            <w:tcBorders>
              <w:bottom w:val="single" w:sz="8" w:color="auto"/>
              <w:right w:val="single" w:sz="8" w:color="auto"/>
            </w:tcBorders>
            <w:gridSpan w:val="2"/>
          </w:tcPr>
          <w:p>
            <w:pPr>
              <w:jc w:val="center"/>
              <w:ind w:right="40"/>
              <w:spacing w:after="0" w:line="180" w:lineRule="exact"/>
              <w:rPr>
                <w:sz w:val="20"/>
                <w:szCs w:val="20"/>
                <w:color w:val="auto"/>
              </w:rPr>
            </w:pPr>
            <w:r>
              <w:rPr>
                <w:rFonts w:ascii="Arial" w:cs="Arial" w:eastAsia="Arial" w:hAnsi="Arial"/>
                <w:sz w:val="17"/>
                <w:szCs w:val="17"/>
                <w:color w:val="28C0DA"/>
                <w:w w:val="96"/>
              </w:rPr>
              <w:t>■</w:t>
            </w:r>
          </w:p>
        </w:tc>
        <w:tc>
          <w:tcPr>
            <w:tcW w:w="840" w:type="dxa"/>
            <w:vAlign w:val="bottom"/>
            <w:tcBorders>
              <w:bottom w:val="single" w:sz="8" w:color="auto"/>
              <w:right w:val="single" w:sz="8" w:color="auto"/>
            </w:tcBorders>
            <w:shd w:val="clear" w:color="auto" w:fill="E7E7E8"/>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spacing w:after="0" w:line="180" w:lineRule="exact"/>
              <w:rPr>
                <w:sz w:val="20"/>
                <w:szCs w:val="20"/>
                <w:color w:val="auto"/>
              </w:rPr>
            </w:pPr>
            <w:r>
              <w:rPr>
                <w:rFonts w:ascii="Arial" w:cs="Arial" w:eastAsia="Arial" w:hAnsi="Arial"/>
                <w:sz w:val="17"/>
                <w:szCs w:val="17"/>
                <w:color w:val="28C0DA"/>
                <w:w w:val="96"/>
              </w:rPr>
              <w:t>■</w:t>
            </w: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Robert F. MacLellan</w:t>
            </w:r>
          </w:p>
        </w:tc>
        <w:tc>
          <w:tcPr>
            <w:tcW w:w="132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jc w:val="center"/>
              <w:spacing w:after="0" w:line="180" w:lineRule="exact"/>
              <w:rPr>
                <w:sz w:val="20"/>
                <w:szCs w:val="20"/>
                <w:color w:val="auto"/>
              </w:rPr>
            </w:pPr>
            <w:r>
              <w:rPr>
                <w:rFonts w:ascii="Arial" w:cs="Arial" w:eastAsia="Arial" w:hAnsi="Arial"/>
                <w:sz w:val="17"/>
                <w:szCs w:val="17"/>
                <w:color w:val="28C0DA"/>
                <w:w w:val="96"/>
              </w:rPr>
              <w:t>■</w:t>
            </w:r>
          </w:p>
        </w:tc>
        <w:tc>
          <w:tcPr>
            <w:tcW w:w="840" w:type="dxa"/>
            <w:vAlign w:val="bottom"/>
            <w:tcBorders>
              <w:bottom w:val="single" w:sz="8" w:color="auto"/>
              <w:right w:val="single" w:sz="8" w:color="auto"/>
            </w:tcBorders>
            <w:gridSpan w:val="2"/>
            <w:shd w:val="clear" w:color="auto" w:fill="E7E7E8"/>
          </w:tcPr>
          <w:p>
            <w:pPr>
              <w:jc w:val="center"/>
              <w:ind w:right="60"/>
              <w:spacing w:after="0" w:line="180" w:lineRule="exact"/>
              <w:rPr>
                <w:sz w:val="20"/>
                <w:szCs w:val="20"/>
                <w:color w:val="auto"/>
              </w:rPr>
            </w:pPr>
            <w:r>
              <w:rPr>
                <w:rFonts w:ascii="Arial" w:cs="Arial" w:eastAsia="Arial" w:hAnsi="Arial"/>
                <w:sz w:val="17"/>
                <w:szCs w:val="17"/>
                <w:color w:val="28C0DA"/>
                <w:w w:val="96"/>
              </w:rPr>
              <w:t>■</w:t>
            </w:r>
          </w:p>
        </w:tc>
        <w:tc>
          <w:tcPr>
            <w:tcW w:w="840" w:type="dxa"/>
            <w:vAlign w:val="bottom"/>
            <w:tcBorders>
              <w:bottom w:val="single" w:sz="8" w:color="auto"/>
              <w:right w:val="single" w:sz="8" w:color="auto"/>
            </w:tcBorders>
          </w:tcPr>
          <w:p>
            <w:pPr>
              <w:jc w:val="center"/>
              <w:spacing w:after="0" w:line="180" w:lineRule="exact"/>
              <w:rPr>
                <w:sz w:val="20"/>
                <w:szCs w:val="20"/>
                <w:color w:val="auto"/>
              </w:rPr>
            </w:pPr>
            <w:r>
              <w:rPr>
                <w:rFonts w:ascii="Arial" w:cs="Arial" w:eastAsia="Arial" w:hAnsi="Arial"/>
                <w:sz w:val="17"/>
                <w:szCs w:val="17"/>
                <w:color w:val="28C0DA"/>
                <w:w w:val="96"/>
              </w:rPr>
              <w:t>■</w:t>
            </w:r>
          </w:p>
        </w:tc>
        <w:tc>
          <w:tcPr>
            <w:tcW w:w="120" w:type="dxa"/>
            <w:vAlign w:val="bottom"/>
            <w:tcBorders>
              <w:bottom w:val="single" w:sz="8" w:color="auto"/>
              <w:right w:val="single" w:sz="8" w:color="E7E7E8"/>
            </w:tcBorders>
            <w:shd w:val="clear" w:color="auto" w:fill="E7E7E8"/>
          </w:tcPr>
          <w:p>
            <w:pPr>
              <w:spacing w:after="0"/>
              <w:rPr>
                <w:sz w:val="15"/>
                <w:szCs w:val="15"/>
                <w:color w:val="auto"/>
              </w:rPr>
            </w:pPr>
          </w:p>
        </w:tc>
        <w:tc>
          <w:tcPr>
            <w:tcW w:w="620" w:type="dxa"/>
            <w:vAlign w:val="bottom"/>
            <w:tcBorders>
              <w:bottom w:val="single" w:sz="8" w:color="auto"/>
            </w:tcBorders>
            <w:shd w:val="clear" w:color="auto" w:fill="E7E7E8"/>
          </w:tcPr>
          <w:p>
            <w:pPr>
              <w:jc w:val="center"/>
              <w:ind w:right="2"/>
              <w:spacing w:after="0" w:line="180" w:lineRule="exact"/>
              <w:rPr>
                <w:sz w:val="20"/>
                <w:szCs w:val="20"/>
                <w:color w:val="auto"/>
              </w:rPr>
            </w:pPr>
            <w:r>
              <w:rPr>
                <w:rFonts w:ascii="Arial" w:cs="Arial" w:eastAsia="Arial" w:hAnsi="Arial"/>
                <w:sz w:val="17"/>
                <w:szCs w:val="17"/>
                <w:color w:val="28C0DA"/>
                <w:w w:val="96"/>
              </w:rPr>
              <w:t>■</w:t>
            </w:r>
          </w:p>
        </w:tc>
        <w:tc>
          <w:tcPr>
            <w:tcW w:w="80" w:type="dxa"/>
            <w:vAlign w:val="bottom"/>
            <w:tcBorders>
              <w:bottom w:val="single" w:sz="8" w:color="auto"/>
              <w:right w:val="single" w:sz="8" w:color="auto"/>
            </w:tcBorders>
            <w:shd w:val="clear" w:color="auto" w:fill="E7E7E8"/>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shd w:val="clear" w:color="auto" w:fill="E7E7E8"/>
          </w:tcPr>
          <w:p>
            <w:pPr>
              <w:jc w:val="center"/>
              <w:spacing w:after="0" w:line="180" w:lineRule="exact"/>
              <w:rPr>
                <w:sz w:val="20"/>
                <w:szCs w:val="20"/>
                <w:color w:val="auto"/>
              </w:rPr>
            </w:pPr>
            <w:r>
              <w:rPr>
                <w:rFonts w:ascii="Arial" w:cs="Arial" w:eastAsia="Arial" w:hAnsi="Arial"/>
                <w:sz w:val="17"/>
                <w:szCs w:val="17"/>
                <w:color w:val="28C0DA"/>
                <w:w w:val="96"/>
              </w:rPr>
              <w:t>■</w:t>
            </w:r>
          </w:p>
        </w:tc>
        <w:tc>
          <w:tcPr>
            <w:tcW w:w="780" w:type="dxa"/>
            <w:vAlign w:val="bottom"/>
            <w:tcBorders>
              <w:bottom w:val="single" w:sz="8" w:color="auto"/>
              <w:right w:val="single" w:sz="8" w:color="auto"/>
            </w:tcBorders>
            <w:gridSpan w:val="2"/>
          </w:tcPr>
          <w:p>
            <w:pPr>
              <w:jc w:val="center"/>
              <w:ind w:right="40"/>
              <w:spacing w:after="0" w:line="180" w:lineRule="exact"/>
              <w:rPr>
                <w:sz w:val="20"/>
                <w:szCs w:val="20"/>
                <w:color w:val="auto"/>
              </w:rPr>
            </w:pPr>
            <w:r>
              <w:rPr>
                <w:rFonts w:ascii="Arial" w:cs="Arial" w:eastAsia="Arial" w:hAnsi="Arial"/>
                <w:sz w:val="17"/>
                <w:szCs w:val="17"/>
                <w:color w:val="28C0DA"/>
                <w:w w:val="96"/>
              </w:rPr>
              <w:t>■</w:t>
            </w:r>
          </w:p>
        </w:tc>
        <w:tc>
          <w:tcPr>
            <w:tcW w:w="840" w:type="dxa"/>
            <w:vAlign w:val="bottom"/>
            <w:tcBorders>
              <w:bottom w:val="single" w:sz="8" w:color="auto"/>
              <w:right w:val="single" w:sz="8" w:color="auto"/>
            </w:tcBorders>
            <w:shd w:val="clear" w:color="auto" w:fill="E7E7E8"/>
          </w:tcPr>
          <w:p>
            <w:pPr>
              <w:jc w:val="center"/>
              <w:spacing w:after="0" w:line="180" w:lineRule="exact"/>
              <w:rPr>
                <w:sz w:val="20"/>
                <w:szCs w:val="20"/>
                <w:color w:val="auto"/>
              </w:rPr>
            </w:pPr>
            <w:r>
              <w:rPr>
                <w:rFonts w:ascii="Arial" w:cs="Arial" w:eastAsia="Arial" w:hAnsi="Arial"/>
                <w:sz w:val="17"/>
                <w:szCs w:val="17"/>
                <w:color w:val="28C0DA"/>
                <w:w w:val="96"/>
              </w:rPr>
              <w:t>■</w:t>
            </w:r>
          </w:p>
        </w:tc>
        <w:tc>
          <w:tcPr>
            <w:tcW w:w="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Eileen P. Rominger</w:t>
            </w:r>
          </w:p>
        </w:tc>
        <w:tc>
          <w:tcPr>
            <w:tcW w:w="132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jc w:val="center"/>
              <w:spacing w:after="0" w:line="180" w:lineRule="exact"/>
              <w:rPr>
                <w:sz w:val="20"/>
                <w:szCs w:val="20"/>
                <w:color w:val="auto"/>
              </w:rPr>
            </w:pPr>
            <w:r>
              <w:rPr>
                <w:rFonts w:ascii="Arial" w:cs="Arial" w:eastAsia="Arial" w:hAnsi="Arial"/>
                <w:sz w:val="17"/>
                <w:szCs w:val="17"/>
                <w:color w:val="28C0DA"/>
                <w:w w:val="96"/>
              </w:rPr>
              <w:t>■</w:t>
            </w:r>
          </w:p>
        </w:tc>
        <w:tc>
          <w:tcPr>
            <w:tcW w:w="840" w:type="dxa"/>
            <w:vAlign w:val="bottom"/>
            <w:tcBorders>
              <w:bottom w:val="single" w:sz="8" w:color="auto"/>
              <w:right w:val="single" w:sz="8" w:color="auto"/>
            </w:tcBorders>
            <w:gridSpan w:val="2"/>
            <w:shd w:val="clear" w:color="auto" w:fill="E7E7E8"/>
          </w:tcPr>
          <w:p>
            <w:pPr>
              <w:jc w:val="center"/>
              <w:ind w:right="60"/>
              <w:spacing w:after="0" w:line="180" w:lineRule="exact"/>
              <w:rPr>
                <w:sz w:val="20"/>
                <w:szCs w:val="20"/>
                <w:color w:val="auto"/>
              </w:rPr>
            </w:pPr>
            <w:r>
              <w:rPr>
                <w:rFonts w:ascii="Arial" w:cs="Arial" w:eastAsia="Arial" w:hAnsi="Arial"/>
                <w:sz w:val="17"/>
                <w:szCs w:val="17"/>
                <w:color w:val="28C0DA"/>
                <w:w w:val="96"/>
              </w:rPr>
              <w:t>■</w:t>
            </w:r>
          </w:p>
        </w:tc>
        <w:tc>
          <w:tcPr>
            <w:tcW w:w="840" w:type="dxa"/>
            <w:vAlign w:val="bottom"/>
            <w:tcBorders>
              <w:bottom w:val="single" w:sz="8" w:color="auto"/>
              <w:right w:val="single" w:sz="8" w:color="auto"/>
            </w:tcBorders>
          </w:tcPr>
          <w:p>
            <w:pPr>
              <w:jc w:val="center"/>
              <w:spacing w:after="0" w:line="180" w:lineRule="exact"/>
              <w:rPr>
                <w:sz w:val="20"/>
                <w:szCs w:val="20"/>
                <w:color w:val="auto"/>
              </w:rPr>
            </w:pPr>
            <w:r>
              <w:rPr>
                <w:rFonts w:ascii="Arial" w:cs="Arial" w:eastAsia="Arial" w:hAnsi="Arial"/>
                <w:sz w:val="17"/>
                <w:szCs w:val="17"/>
                <w:color w:val="28C0DA"/>
                <w:w w:val="96"/>
              </w:rPr>
              <w:t>■</w:t>
            </w:r>
          </w:p>
        </w:tc>
        <w:tc>
          <w:tcPr>
            <w:tcW w:w="120" w:type="dxa"/>
            <w:vAlign w:val="bottom"/>
            <w:tcBorders>
              <w:bottom w:val="single" w:sz="8" w:color="auto"/>
              <w:right w:val="single" w:sz="8" w:color="E7E7E8"/>
            </w:tcBorders>
            <w:shd w:val="clear" w:color="auto" w:fill="E7E7E8"/>
          </w:tcPr>
          <w:p>
            <w:pPr>
              <w:spacing w:after="0"/>
              <w:rPr>
                <w:sz w:val="15"/>
                <w:szCs w:val="15"/>
                <w:color w:val="auto"/>
              </w:rPr>
            </w:pPr>
          </w:p>
        </w:tc>
        <w:tc>
          <w:tcPr>
            <w:tcW w:w="620" w:type="dxa"/>
            <w:vAlign w:val="bottom"/>
            <w:tcBorders>
              <w:bottom w:val="single" w:sz="8" w:color="auto"/>
            </w:tcBorders>
            <w:shd w:val="clear" w:color="auto" w:fill="E7E7E8"/>
          </w:tcPr>
          <w:p>
            <w:pPr>
              <w:jc w:val="center"/>
              <w:ind w:right="2"/>
              <w:spacing w:after="0" w:line="180" w:lineRule="exact"/>
              <w:rPr>
                <w:sz w:val="20"/>
                <w:szCs w:val="20"/>
                <w:color w:val="auto"/>
              </w:rPr>
            </w:pPr>
            <w:r>
              <w:rPr>
                <w:rFonts w:ascii="Arial" w:cs="Arial" w:eastAsia="Arial" w:hAnsi="Arial"/>
                <w:sz w:val="17"/>
                <w:szCs w:val="17"/>
                <w:color w:val="28C0DA"/>
                <w:w w:val="96"/>
              </w:rPr>
              <w:t>■</w:t>
            </w:r>
          </w:p>
        </w:tc>
        <w:tc>
          <w:tcPr>
            <w:tcW w:w="80" w:type="dxa"/>
            <w:vAlign w:val="bottom"/>
            <w:tcBorders>
              <w:bottom w:val="single" w:sz="8" w:color="auto"/>
              <w:right w:val="single" w:sz="8" w:color="auto"/>
            </w:tcBorders>
            <w:shd w:val="clear" w:color="auto" w:fill="E7E7E8"/>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shd w:val="clear" w:color="auto" w:fill="E7E7E8"/>
          </w:tcPr>
          <w:p>
            <w:pPr>
              <w:jc w:val="center"/>
              <w:spacing w:after="0" w:line="180" w:lineRule="exact"/>
              <w:rPr>
                <w:sz w:val="20"/>
                <w:szCs w:val="20"/>
                <w:color w:val="auto"/>
              </w:rPr>
            </w:pPr>
            <w:r>
              <w:rPr>
                <w:rFonts w:ascii="Arial" w:cs="Arial" w:eastAsia="Arial" w:hAnsi="Arial"/>
                <w:sz w:val="17"/>
                <w:szCs w:val="17"/>
                <w:color w:val="28C0DA"/>
                <w:w w:val="96"/>
              </w:rPr>
              <w:t>■</w:t>
            </w:r>
          </w:p>
        </w:tc>
        <w:tc>
          <w:tcPr>
            <w:tcW w:w="780" w:type="dxa"/>
            <w:vAlign w:val="bottom"/>
            <w:tcBorders>
              <w:bottom w:val="single" w:sz="8" w:color="auto"/>
              <w:right w:val="single" w:sz="8" w:color="auto"/>
            </w:tcBorders>
            <w:gridSpan w:val="2"/>
          </w:tcPr>
          <w:p>
            <w:pPr>
              <w:jc w:val="center"/>
              <w:ind w:right="40"/>
              <w:spacing w:after="0" w:line="180" w:lineRule="exact"/>
              <w:rPr>
                <w:sz w:val="20"/>
                <w:szCs w:val="20"/>
                <w:color w:val="auto"/>
              </w:rPr>
            </w:pPr>
            <w:r>
              <w:rPr>
                <w:rFonts w:ascii="Arial" w:cs="Arial" w:eastAsia="Arial" w:hAnsi="Arial"/>
                <w:sz w:val="17"/>
                <w:szCs w:val="17"/>
                <w:color w:val="28C0DA"/>
                <w:w w:val="96"/>
              </w:rPr>
              <w:t>■</w:t>
            </w:r>
          </w:p>
        </w:tc>
        <w:tc>
          <w:tcPr>
            <w:tcW w:w="840" w:type="dxa"/>
            <w:vAlign w:val="bottom"/>
            <w:tcBorders>
              <w:bottom w:val="single" w:sz="8" w:color="auto"/>
              <w:right w:val="single" w:sz="8" w:color="auto"/>
            </w:tcBorders>
            <w:shd w:val="clear" w:color="auto" w:fill="E7E7E8"/>
          </w:tcPr>
          <w:p>
            <w:pPr>
              <w:jc w:val="center"/>
              <w:spacing w:after="0" w:line="180" w:lineRule="exact"/>
              <w:rPr>
                <w:sz w:val="20"/>
                <w:szCs w:val="20"/>
                <w:color w:val="auto"/>
              </w:rPr>
            </w:pPr>
            <w:r>
              <w:rPr>
                <w:rFonts w:ascii="Arial" w:cs="Arial" w:eastAsia="Arial" w:hAnsi="Arial"/>
                <w:sz w:val="17"/>
                <w:szCs w:val="17"/>
                <w:color w:val="28C0DA"/>
                <w:w w:val="96"/>
              </w:rPr>
              <w:t>■</w:t>
            </w:r>
          </w:p>
        </w:tc>
        <w:tc>
          <w:tcPr>
            <w:tcW w:w="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spacing w:after="0" w:line="180" w:lineRule="exact"/>
              <w:rPr>
                <w:sz w:val="20"/>
                <w:szCs w:val="20"/>
                <w:color w:val="auto"/>
              </w:rPr>
            </w:pPr>
            <w:r>
              <w:rPr>
                <w:rFonts w:ascii="Arial" w:cs="Arial" w:eastAsia="Arial" w:hAnsi="Arial"/>
                <w:sz w:val="17"/>
                <w:szCs w:val="17"/>
                <w:color w:val="28C0DA"/>
                <w:w w:val="96"/>
              </w:rPr>
              <w:t>■</w:t>
            </w: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Cynthia F. Smith</w:t>
            </w:r>
          </w:p>
        </w:tc>
        <w:tc>
          <w:tcPr>
            <w:tcW w:w="132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jc w:val="center"/>
              <w:spacing w:after="0" w:line="180" w:lineRule="exact"/>
              <w:rPr>
                <w:sz w:val="20"/>
                <w:szCs w:val="20"/>
                <w:color w:val="auto"/>
              </w:rPr>
            </w:pPr>
            <w:r>
              <w:rPr>
                <w:rFonts w:ascii="Arial" w:cs="Arial" w:eastAsia="Arial" w:hAnsi="Arial"/>
                <w:sz w:val="17"/>
                <w:szCs w:val="17"/>
                <w:color w:val="28C0DA"/>
                <w:w w:val="96"/>
              </w:rPr>
              <w:t>■</w:t>
            </w:r>
          </w:p>
        </w:tc>
        <w:tc>
          <w:tcPr>
            <w:tcW w:w="840" w:type="dxa"/>
            <w:vAlign w:val="bottom"/>
            <w:tcBorders>
              <w:bottom w:val="single" w:sz="8" w:color="auto"/>
              <w:right w:val="single" w:sz="8" w:color="auto"/>
            </w:tcBorders>
            <w:gridSpan w:val="2"/>
            <w:shd w:val="clear" w:color="auto" w:fill="E7E7E8"/>
          </w:tcPr>
          <w:p>
            <w:pPr>
              <w:jc w:val="center"/>
              <w:ind w:right="60"/>
              <w:spacing w:after="0" w:line="180" w:lineRule="exact"/>
              <w:rPr>
                <w:sz w:val="20"/>
                <w:szCs w:val="20"/>
                <w:color w:val="auto"/>
              </w:rPr>
            </w:pPr>
            <w:r>
              <w:rPr>
                <w:rFonts w:ascii="Arial" w:cs="Arial" w:eastAsia="Arial" w:hAnsi="Arial"/>
                <w:sz w:val="17"/>
                <w:szCs w:val="17"/>
                <w:color w:val="28C0DA"/>
                <w:w w:val="96"/>
              </w:rPr>
              <w:t>■</w:t>
            </w:r>
          </w:p>
        </w:tc>
        <w:tc>
          <w:tcPr>
            <w:tcW w:w="840" w:type="dxa"/>
            <w:vAlign w:val="bottom"/>
            <w:tcBorders>
              <w:bottom w:val="single" w:sz="8" w:color="auto"/>
              <w:right w:val="single" w:sz="8" w:color="auto"/>
            </w:tcBorders>
          </w:tcPr>
          <w:p>
            <w:pPr>
              <w:jc w:val="center"/>
              <w:spacing w:after="0" w:line="180" w:lineRule="exact"/>
              <w:rPr>
                <w:sz w:val="20"/>
                <w:szCs w:val="20"/>
                <w:color w:val="auto"/>
              </w:rPr>
            </w:pPr>
            <w:r>
              <w:rPr>
                <w:rFonts w:ascii="Arial" w:cs="Arial" w:eastAsia="Arial" w:hAnsi="Arial"/>
                <w:sz w:val="17"/>
                <w:szCs w:val="17"/>
                <w:color w:val="28C0DA"/>
                <w:w w:val="96"/>
              </w:rPr>
              <w:t>■</w:t>
            </w:r>
          </w:p>
        </w:tc>
        <w:tc>
          <w:tcPr>
            <w:tcW w:w="120" w:type="dxa"/>
            <w:vAlign w:val="bottom"/>
            <w:tcBorders>
              <w:bottom w:val="single" w:sz="8" w:color="auto"/>
              <w:right w:val="single" w:sz="8" w:color="E7E7E8"/>
            </w:tcBorders>
            <w:shd w:val="clear" w:color="auto" w:fill="E7E7E8"/>
          </w:tcPr>
          <w:p>
            <w:pPr>
              <w:spacing w:after="0"/>
              <w:rPr>
                <w:sz w:val="15"/>
                <w:szCs w:val="15"/>
                <w:color w:val="auto"/>
              </w:rPr>
            </w:pPr>
          </w:p>
        </w:tc>
        <w:tc>
          <w:tcPr>
            <w:tcW w:w="620" w:type="dxa"/>
            <w:vAlign w:val="bottom"/>
            <w:tcBorders>
              <w:bottom w:val="single" w:sz="8" w:color="auto"/>
            </w:tcBorders>
            <w:shd w:val="clear" w:color="auto" w:fill="E7E7E8"/>
          </w:tcPr>
          <w:p>
            <w:pPr>
              <w:jc w:val="center"/>
              <w:spacing w:after="0"/>
              <w:rPr>
                <w:sz w:val="20"/>
                <w:szCs w:val="20"/>
                <w:color w:val="auto"/>
              </w:rPr>
            </w:pPr>
            <w:r>
              <w:rPr>
                <w:rFonts w:ascii="Arial" w:cs="Arial" w:eastAsia="Arial" w:hAnsi="Arial"/>
                <w:sz w:val="12"/>
                <w:szCs w:val="12"/>
                <w:color w:val="auto"/>
              </w:rPr>
              <w:t> </w:t>
            </w:r>
          </w:p>
        </w:tc>
        <w:tc>
          <w:tcPr>
            <w:tcW w:w="80" w:type="dxa"/>
            <w:vAlign w:val="bottom"/>
            <w:tcBorders>
              <w:bottom w:val="single" w:sz="8" w:color="auto"/>
              <w:right w:val="single" w:sz="8" w:color="auto"/>
            </w:tcBorders>
            <w:shd w:val="clear" w:color="auto" w:fill="E7E7E8"/>
          </w:tcPr>
          <w:p>
            <w:pPr>
              <w:spacing w:after="0"/>
              <w:rPr>
                <w:sz w:val="15"/>
                <w:szCs w:val="15"/>
                <w:color w:val="auto"/>
              </w:rPr>
            </w:pPr>
          </w:p>
        </w:tc>
        <w:tc>
          <w:tcPr>
            <w:tcW w:w="76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2"/>
                <w:szCs w:val="12"/>
                <w:color w:val="auto"/>
                <w:w w:val="81"/>
              </w:rPr>
              <w:t> </w:t>
            </w:r>
          </w:p>
        </w:tc>
        <w:tc>
          <w:tcPr>
            <w:tcW w:w="720" w:type="dxa"/>
            <w:vAlign w:val="bottom"/>
            <w:tcBorders>
              <w:bottom w:val="single" w:sz="8" w:color="auto"/>
              <w:right w:val="single" w:sz="8" w:color="auto"/>
            </w:tcBorders>
            <w:shd w:val="clear" w:color="auto" w:fill="E7E7E8"/>
          </w:tcPr>
          <w:p>
            <w:pPr>
              <w:jc w:val="center"/>
              <w:spacing w:after="0" w:line="180" w:lineRule="exact"/>
              <w:rPr>
                <w:sz w:val="20"/>
                <w:szCs w:val="20"/>
                <w:color w:val="auto"/>
              </w:rPr>
            </w:pPr>
            <w:r>
              <w:rPr>
                <w:rFonts w:ascii="Arial" w:cs="Arial" w:eastAsia="Arial" w:hAnsi="Arial"/>
                <w:sz w:val="17"/>
                <w:szCs w:val="17"/>
                <w:color w:val="28C0DA"/>
                <w:w w:val="96"/>
              </w:rPr>
              <w:t>■</w:t>
            </w:r>
          </w:p>
        </w:tc>
        <w:tc>
          <w:tcPr>
            <w:tcW w:w="780" w:type="dxa"/>
            <w:vAlign w:val="bottom"/>
            <w:tcBorders>
              <w:bottom w:val="single" w:sz="8" w:color="auto"/>
              <w:right w:val="single" w:sz="8" w:color="auto"/>
            </w:tcBorders>
            <w:gridSpan w:val="2"/>
          </w:tcPr>
          <w:p>
            <w:pPr>
              <w:jc w:val="center"/>
              <w:ind w:right="40"/>
              <w:spacing w:after="0" w:line="180" w:lineRule="exact"/>
              <w:rPr>
                <w:sz w:val="20"/>
                <w:szCs w:val="20"/>
                <w:color w:val="auto"/>
              </w:rPr>
            </w:pPr>
            <w:r>
              <w:rPr>
                <w:rFonts w:ascii="Arial" w:cs="Arial" w:eastAsia="Arial" w:hAnsi="Arial"/>
                <w:sz w:val="17"/>
                <w:szCs w:val="17"/>
                <w:color w:val="28C0DA"/>
                <w:w w:val="96"/>
              </w:rPr>
              <w:t>■</w:t>
            </w:r>
          </w:p>
        </w:tc>
        <w:tc>
          <w:tcPr>
            <w:tcW w:w="840" w:type="dxa"/>
            <w:vAlign w:val="bottom"/>
            <w:tcBorders>
              <w:bottom w:val="single" w:sz="8" w:color="auto"/>
              <w:right w:val="single" w:sz="8" w:color="auto"/>
            </w:tcBorders>
            <w:shd w:val="clear" w:color="auto" w:fill="E7E7E8"/>
          </w:tcPr>
          <w:p>
            <w:pPr>
              <w:jc w:val="center"/>
              <w:spacing w:after="0"/>
              <w:rPr>
                <w:sz w:val="20"/>
                <w:szCs w:val="20"/>
                <w:color w:val="auto"/>
              </w:rPr>
            </w:pPr>
            <w:r>
              <w:rPr>
                <w:rFonts w:ascii="Arial" w:cs="Arial" w:eastAsia="Arial" w:hAnsi="Arial"/>
                <w:sz w:val="12"/>
                <w:szCs w:val="12"/>
                <w:color w:val="auto"/>
                <w:w w:val="81"/>
              </w:rPr>
              <w:t> </w:t>
            </w:r>
          </w:p>
        </w:tc>
        <w:tc>
          <w:tcPr>
            <w:tcW w:w="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spacing w:after="0" w:line="180" w:lineRule="exact"/>
              <w:rPr>
                <w:sz w:val="20"/>
                <w:szCs w:val="20"/>
                <w:color w:val="auto"/>
              </w:rPr>
            </w:pPr>
            <w:r>
              <w:rPr>
                <w:rFonts w:ascii="Arial" w:cs="Arial" w:eastAsia="Arial" w:hAnsi="Arial"/>
                <w:sz w:val="17"/>
                <w:szCs w:val="17"/>
                <w:color w:val="28C0DA"/>
                <w:w w:val="96"/>
              </w:rPr>
              <w:t>■</w:t>
            </w:r>
          </w:p>
        </w:tc>
        <w:tc>
          <w:tcPr>
            <w:tcW w:w="12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w w:val="81"/>
              </w:rPr>
              <w:t> </w:t>
            </w:r>
          </w:p>
        </w:tc>
        <w:tc>
          <w:tcPr>
            <w:tcW w:w="0" w:type="dxa"/>
            <w:vAlign w:val="bottom"/>
          </w:tcPr>
          <w:p>
            <w:pPr>
              <w:spacing w:after="0"/>
              <w:rPr>
                <w:sz w:val="1"/>
                <w:szCs w:val="1"/>
                <w:color w:val="auto"/>
              </w:rPr>
            </w:pPr>
          </w:p>
        </w:tc>
      </w:tr>
      <w:tr>
        <w:trPr>
          <w:trHeight w:val="180"/>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Robert J. Stevens</w:t>
            </w:r>
          </w:p>
        </w:tc>
        <w:tc>
          <w:tcPr>
            <w:tcW w:w="132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jc w:val="center"/>
              <w:spacing w:after="0" w:line="180" w:lineRule="exact"/>
              <w:rPr>
                <w:sz w:val="20"/>
                <w:szCs w:val="20"/>
                <w:color w:val="auto"/>
              </w:rPr>
            </w:pPr>
            <w:r>
              <w:rPr>
                <w:rFonts w:ascii="Arial" w:cs="Arial" w:eastAsia="Arial" w:hAnsi="Arial"/>
                <w:sz w:val="17"/>
                <w:szCs w:val="17"/>
                <w:color w:val="28C0DA"/>
                <w:w w:val="96"/>
              </w:rPr>
              <w:t>■</w:t>
            </w:r>
          </w:p>
        </w:tc>
        <w:tc>
          <w:tcPr>
            <w:tcW w:w="840" w:type="dxa"/>
            <w:vAlign w:val="bottom"/>
            <w:tcBorders>
              <w:bottom w:val="single" w:sz="8" w:color="auto"/>
              <w:right w:val="single" w:sz="8" w:color="auto"/>
            </w:tcBorders>
            <w:gridSpan w:val="2"/>
            <w:shd w:val="clear" w:color="auto" w:fill="E7E7E8"/>
          </w:tcPr>
          <w:p>
            <w:pPr>
              <w:jc w:val="center"/>
              <w:ind w:right="60"/>
              <w:spacing w:after="0" w:line="180" w:lineRule="exact"/>
              <w:rPr>
                <w:sz w:val="20"/>
                <w:szCs w:val="20"/>
                <w:color w:val="auto"/>
              </w:rPr>
            </w:pPr>
            <w:r>
              <w:rPr>
                <w:rFonts w:ascii="Arial" w:cs="Arial" w:eastAsia="Arial" w:hAnsi="Arial"/>
                <w:sz w:val="17"/>
                <w:szCs w:val="17"/>
                <w:color w:val="28C0DA"/>
                <w:w w:val="96"/>
              </w:rPr>
              <w:t>■</w:t>
            </w:r>
          </w:p>
        </w:tc>
        <w:tc>
          <w:tcPr>
            <w:tcW w:w="840" w:type="dxa"/>
            <w:vAlign w:val="bottom"/>
            <w:tcBorders>
              <w:bottom w:val="single" w:sz="8" w:color="auto"/>
              <w:right w:val="single" w:sz="8" w:color="auto"/>
            </w:tcBorders>
          </w:tcPr>
          <w:p>
            <w:pPr>
              <w:spacing w:after="0"/>
              <w:rPr>
                <w:sz w:val="15"/>
                <w:szCs w:val="15"/>
                <w:color w:val="auto"/>
              </w:rPr>
            </w:pPr>
          </w:p>
        </w:tc>
        <w:tc>
          <w:tcPr>
            <w:tcW w:w="120" w:type="dxa"/>
            <w:vAlign w:val="bottom"/>
            <w:tcBorders>
              <w:bottom w:val="single" w:sz="8" w:color="auto"/>
              <w:right w:val="single" w:sz="8" w:color="E7E7E8"/>
            </w:tcBorders>
            <w:shd w:val="clear" w:color="auto" w:fill="E7E7E8"/>
          </w:tcPr>
          <w:p>
            <w:pPr>
              <w:spacing w:after="0"/>
              <w:rPr>
                <w:sz w:val="15"/>
                <w:szCs w:val="15"/>
                <w:color w:val="auto"/>
              </w:rPr>
            </w:pPr>
          </w:p>
        </w:tc>
        <w:tc>
          <w:tcPr>
            <w:tcW w:w="620" w:type="dxa"/>
            <w:vAlign w:val="bottom"/>
            <w:tcBorders>
              <w:bottom w:val="single" w:sz="8" w:color="auto"/>
            </w:tcBorders>
            <w:shd w:val="clear" w:color="auto" w:fill="E7E7E8"/>
          </w:tcPr>
          <w:p>
            <w:pPr>
              <w:jc w:val="center"/>
              <w:ind w:right="2"/>
              <w:spacing w:after="0" w:line="180" w:lineRule="exact"/>
              <w:rPr>
                <w:sz w:val="20"/>
                <w:szCs w:val="20"/>
                <w:color w:val="auto"/>
              </w:rPr>
            </w:pPr>
            <w:r>
              <w:rPr>
                <w:rFonts w:ascii="Arial" w:cs="Arial" w:eastAsia="Arial" w:hAnsi="Arial"/>
                <w:sz w:val="17"/>
                <w:szCs w:val="17"/>
                <w:color w:val="28C0DA"/>
                <w:w w:val="96"/>
              </w:rPr>
              <w:t>■</w:t>
            </w:r>
          </w:p>
        </w:tc>
        <w:tc>
          <w:tcPr>
            <w:tcW w:w="80" w:type="dxa"/>
            <w:vAlign w:val="bottom"/>
            <w:tcBorders>
              <w:bottom w:val="single" w:sz="8" w:color="auto"/>
              <w:right w:val="single" w:sz="8" w:color="auto"/>
            </w:tcBorders>
            <w:shd w:val="clear" w:color="auto" w:fill="E7E7E8"/>
          </w:tcPr>
          <w:p>
            <w:pPr>
              <w:spacing w:after="0"/>
              <w:rPr>
                <w:sz w:val="15"/>
                <w:szCs w:val="15"/>
                <w:color w:val="auto"/>
              </w:rPr>
            </w:pPr>
          </w:p>
        </w:tc>
        <w:tc>
          <w:tcPr>
            <w:tcW w:w="760" w:type="dxa"/>
            <w:vAlign w:val="bottom"/>
            <w:tcBorders>
              <w:bottom w:val="single" w:sz="8" w:color="auto"/>
              <w:right w:val="single" w:sz="8" w:color="auto"/>
            </w:tcBorders>
            <w:gridSpan w:val="2"/>
          </w:tcPr>
          <w:p>
            <w:pPr>
              <w:jc w:val="center"/>
              <w:ind w:right="20"/>
              <w:spacing w:after="0" w:line="180" w:lineRule="exact"/>
              <w:rPr>
                <w:sz w:val="20"/>
                <w:szCs w:val="20"/>
                <w:color w:val="auto"/>
              </w:rPr>
            </w:pPr>
            <w:r>
              <w:rPr>
                <w:rFonts w:ascii="Arial" w:cs="Arial" w:eastAsia="Arial" w:hAnsi="Arial"/>
                <w:sz w:val="17"/>
                <w:szCs w:val="17"/>
                <w:color w:val="28C0DA"/>
                <w:w w:val="96"/>
              </w:rPr>
              <w:t>■</w:t>
            </w:r>
          </w:p>
        </w:tc>
        <w:tc>
          <w:tcPr>
            <w:tcW w:w="720" w:type="dxa"/>
            <w:vAlign w:val="bottom"/>
            <w:tcBorders>
              <w:bottom w:val="single" w:sz="8" w:color="auto"/>
              <w:right w:val="single" w:sz="8" w:color="auto"/>
            </w:tcBorders>
            <w:shd w:val="clear" w:color="auto" w:fill="E7E7E8"/>
          </w:tcPr>
          <w:p>
            <w:pPr>
              <w:jc w:val="center"/>
              <w:spacing w:after="0" w:line="180" w:lineRule="exact"/>
              <w:rPr>
                <w:sz w:val="20"/>
                <w:szCs w:val="20"/>
                <w:color w:val="auto"/>
              </w:rPr>
            </w:pPr>
            <w:r>
              <w:rPr>
                <w:rFonts w:ascii="Arial" w:cs="Arial" w:eastAsia="Arial" w:hAnsi="Arial"/>
                <w:sz w:val="17"/>
                <w:szCs w:val="17"/>
                <w:color w:val="28C0DA"/>
                <w:w w:val="96"/>
              </w:rPr>
              <w:t>■</w:t>
            </w:r>
          </w:p>
        </w:tc>
        <w:tc>
          <w:tcPr>
            <w:tcW w:w="780" w:type="dxa"/>
            <w:vAlign w:val="bottom"/>
            <w:tcBorders>
              <w:bottom w:val="single" w:sz="8" w:color="auto"/>
              <w:right w:val="single" w:sz="8" w:color="auto"/>
            </w:tcBorders>
            <w:gridSpan w:val="2"/>
          </w:tcPr>
          <w:p>
            <w:pPr>
              <w:jc w:val="center"/>
              <w:ind w:right="40"/>
              <w:spacing w:after="0" w:line="180" w:lineRule="exact"/>
              <w:rPr>
                <w:sz w:val="20"/>
                <w:szCs w:val="20"/>
                <w:color w:val="auto"/>
              </w:rPr>
            </w:pPr>
            <w:r>
              <w:rPr>
                <w:rFonts w:ascii="Arial" w:cs="Arial" w:eastAsia="Arial" w:hAnsi="Arial"/>
                <w:sz w:val="17"/>
                <w:szCs w:val="17"/>
                <w:color w:val="28C0DA"/>
                <w:w w:val="96"/>
              </w:rPr>
              <w:t>■</w:t>
            </w:r>
          </w:p>
        </w:tc>
        <w:tc>
          <w:tcPr>
            <w:tcW w:w="840" w:type="dxa"/>
            <w:vAlign w:val="bottom"/>
            <w:tcBorders>
              <w:bottom w:val="single" w:sz="8" w:color="auto"/>
              <w:right w:val="single" w:sz="8" w:color="auto"/>
            </w:tcBorders>
            <w:shd w:val="clear" w:color="auto" w:fill="E7E7E8"/>
          </w:tcPr>
          <w:p>
            <w:pPr>
              <w:jc w:val="center"/>
              <w:spacing w:after="0" w:line="180" w:lineRule="exact"/>
              <w:rPr>
                <w:sz w:val="20"/>
                <w:szCs w:val="20"/>
                <w:color w:val="auto"/>
              </w:rPr>
            </w:pPr>
            <w:r>
              <w:rPr>
                <w:rFonts w:ascii="Arial" w:cs="Arial" w:eastAsia="Arial" w:hAnsi="Arial"/>
                <w:sz w:val="17"/>
                <w:szCs w:val="17"/>
                <w:color w:val="28C0DA"/>
                <w:w w:val="96"/>
              </w:rPr>
              <w:t>■</w:t>
            </w:r>
          </w:p>
        </w:tc>
        <w:tc>
          <w:tcPr>
            <w:tcW w:w="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Sandra S. Wijnberg</w:t>
            </w:r>
          </w:p>
        </w:tc>
        <w:tc>
          <w:tcPr>
            <w:tcW w:w="132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jc w:val="center"/>
              <w:spacing w:after="0" w:line="180" w:lineRule="exact"/>
              <w:rPr>
                <w:sz w:val="20"/>
                <w:szCs w:val="20"/>
                <w:color w:val="auto"/>
              </w:rPr>
            </w:pPr>
            <w:r>
              <w:rPr>
                <w:rFonts w:ascii="Arial" w:cs="Arial" w:eastAsia="Arial" w:hAnsi="Arial"/>
                <w:sz w:val="17"/>
                <w:szCs w:val="17"/>
                <w:color w:val="28C0DA"/>
                <w:w w:val="96"/>
              </w:rPr>
              <w:t>■</w:t>
            </w:r>
          </w:p>
        </w:tc>
        <w:tc>
          <w:tcPr>
            <w:tcW w:w="840" w:type="dxa"/>
            <w:vAlign w:val="bottom"/>
            <w:tcBorders>
              <w:bottom w:val="single" w:sz="8" w:color="auto"/>
              <w:right w:val="single" w:sz="8" w:color="auto"/>
            </w:tcBorders>
            <w:gridSpan w:val="2"/>
            <w:shd w:val="clear" w:color="auto" w:fill="E7E7E8"/>
          </w:tcPr>
          <w:p>
            <w:pPr>
              <w:jc w:val="center"/>
              <w:ind w:right="60"/>
              <w:spacing w:after="0" w:line="180" w:lineRule="exact"/>
              <w:rPr>
                <w:sz w:val="20"/>
                <w:szCs w:val="20"/>
                <w:color w:val="auto"/>
              </w:rPr>
            </w:pPr>
            <w:r>
              <w:rPr>
                <w:rFonts w:ascii="Arial" w:cs="Arial" w:eastAsia="Arial" w:hAnsi="Arial"/>
                <w:sz w:val="17"/>
                <w:szCs w:val="17"/>
                <w:color w:val="28C0DA"/>
                <w:w w:val="96"/>
              </w:rPr>
              <w:t>■</w:t>
            </w:r>
          </w:p>
        </w:tc>
        <w:tc>
          <w:tcPr>
            <w:tcW w:w="840" w:type="dxa"/>
            <w:vAlign w:val="bottom"/>
            <w:tcBorders>
              <w:bottom w:val="single" w:sz="8" w:color="auto"/>
              <w:right w:val="single" w:sz="8" w:color="auto"/>
            </w:tcBorders>
          </w:tcPr>
          <w:p>
            <w:pPr>
              <w:jc w:val="center"/>
              <w:spacing w:after="0" w:line="180" w:lineRule="exact"/>
              <w:rPr>
                <w:sz w:val="20"/>
                <w:szCs w:val="20"/>
                <w:color w:val="auto"/>
              </w:rPr>
            </w:pPr>
            <w:r>
              <w:rPr>
                <w:rFonts w:ascii="Arial" w:cs="Arial" w:eastAsia="Arial" w:hAnsi="Arial"/>
                <w:sz w:val="17"/>
                <w:szCs w:val="17"/>
                <w:color w:val="28C0DA"/>
                <w:w w:val="96"/>
              </w:rPr>
              <w:t>■</w:t>
            </w:r>
          </w:p>
        </w:tc>
        <w:tc>
          <w:tcPr>
            <w:tcW w:w="120" w:type="dxa"/>
            <w:vAlign w:val="bottom"/>
            <w:tcBorders>
              <w:bottom w:val="single" w:sz="8" w:color="auto"/>
              <w:right w:val="single" w:sz="8" w:color="E7E7E8"/>
            </w:tcBorders>
            <w:shd w:val="clear" w:color="auto" w:fill="E7E7E8"/>
          </w:tcPr>
          <w:p>
            <w:pPr>
              <w:spacing w:after="0"/>
              <w:rPr>
                <w:sz w:val="15"/>
                <w:szCs w:val="15"/>
                <w:color w:val="auto"/>
              </w:rPr>
            </w:pPr>
          </w:p>
        </w:tc>
        <w:tc>
          <w:tcPr>
            <w:tcW w:w="620" w:type="dxa"/>
            <w:vAlign w:val="bottom"/>
            <w:tcBorders>
              <w:bottom w:val="single" w:sz="8" w:color="auto"/>
            </w:tcBorders>
            <w:shd w:val="clear" w:color="auto" w:fill="E7E7E8"/>
          </w:tcPr>
          <w:p>
            <w:pPr>
              <w:jc w:val="center"/>
              <w:ind w:right="2"/>
              <w:spacing w:after="0" w:line="180" w:lineRule="exact"/>
              <w:rPr>
                <w:sz w:val="20"/>
                <w:szCs w:val="20"/>
                <w:color w:val="auto"/>
              </w:rPr>
            </w:pPr>
            <w:r>
              <w:rPr>
                <w:rFonts w:ascii="Arial" w:cs="Arial" w:eastAsia="Arial" w:hAnsi="Arial"/>
                <w:sz w:val="17"/>
                <w:szCs w:val="17"/>
                <w:color w:val="28C0DA"/>
                <w:w w:val="96"/>
              </w:rPr>
              <w:t>■</w:t>
            </w:r>
          </w:p>
        </w:tc>
        <w:tc>
          <w:tcPr>
            <w:tcW w:w="80" w:type="dxa"/>
            <w:vAlign w:val="bottom"/>
            <w:tcBorders>
              <w:bottom w:val="single" w:sz="8" w:color="auto"/>
              <w:right w:val="single" w:sz="8" w:color="auto"/>
            </w:tcBorders>
            <w:shd w:val="clear" w:color="auto" w:fill="E7E7E8"/>
          </w:tcPr>
          <w:p>
            <w:pPr>
              <w:spacing w:after="0"/>
              <w:rPr>
                <w:sz w:val="15"/>
                <w:szCs w:val="15"/>
                <w:color w:val="auto"/>
              </w:rPr>
            </w:pPr>
          </w:p>
        </w:tc>
        <w:tc>
          <w:tcPr>
            <w:tcW w:w="760" w:type="dxa"/>
            <w:vAlign w:val="bottom"/>
            <w:tcBorders>
              <w:bottom w:val="single" w:sz="8" w:color="auto"/>
              <w:right w:val="single" w:sz="8" w:color="auto"/>
            </w:tcBorders>
            <w:gridSpan w:val="2"/>
          </w:tcPr>
          <w:p>
            <w:pPr>
              <w:jc w:val="center"/>
              <w:ind w:right="20"/>
              <w:spacing w:after="0" w:line="180" w:lineRule="exact"/>
              <w:rPr>
                <w:sz w:val="20"/>
                <w:szCs w:val="20"/>
                <w:color w:val="auto"/>
              </w:rPr>
            </w:pPr>
            <w:r>
              <w:rPr>
                <w:rFonts w:ascii="Arial" w:cs="Arial" w:eastAsia="Arial" w:hAnsi="Arial"/>
                <w:sz w:val="17"/>
                <w:szCs w:val="17"/>
                <w:color w:val="28C0DA"/>
                <w:w w:val="96"/>
              </w:rPr>
              <w:t>■</w:t>
            </w:r>
          </w:p>
        </w:tc>
        <w:tc>
          <w:tcPr>
            <w:tcW w:w="720" w:type="dxa"/>
            <w:vAlign w:val="bottom"/>
            <w:tcBorders>
              <w:bottom w:val="single" w:sz="8" w:color="auto"/>
              <w:right w:val="single" w:sz="8" w:color="auto"/>
            </w:tcBorders>
            <w:shd w:val="clear" w:color="auto" w:fill="E7E7E8"/>
          </w:tcPr>
          <w:p>
            <w:pPr>
              <w:jc w:val="center"/>
              <w:spacing w:after="0" w:line="180" w:lineRule="exact"/>
              <w:rPr>
                <w:sz w:val="20"/>
                <w:szCs w:val="20"/>
                <w:color w:val="auto"/>
              </w:rPr>
            </w:pPr>
            <w:r>
              <w:rPr>
                <w:rFonts w:ascii="Arial" w:cs="Arial" w:eastAsia="Arial" w:hAnsi="Arial"/>
                <w:sz w:val="17"/>
                <w:szCs w:val="17"/>
                <w:color w:val="28C0DA"/>
                <w:w w:val="96"/>
              </w:rPr>
              <w:t>■</w:t>
            </w:r>
          </w:p>
        </w:tc>
        <w:tc>
          <w:tcPr>
            <w:tcW w:w="780" w:type="dxa"/>
            <w:vAlign w:val="bottom"/>
            <w:tcBorders>
              <w:bottom w:val="single" w:sz="8" w:color="auto"/>
              <w:right w:val="single" w:sz="8" w:color="auto"/>
            </w:tcBorders>
            <w:gridSpan w:val="2"/>
          </w:tcPr>
          <w:p>
            <w:pPr>
              <w:jc w:val="center"/>
              <w:ind w:right="40"/>
              <w:spacing w:after="0" w:line="180" w:lineRule="exact"/>
              <w:rPr>
                <w:sz w:val="20"/>
                <w:szCs w:val="20"/>
                <w:color w:val="auto"/>
              </w:rPr>
            </w:pPr>
            <w:r>
              <w:rPr>
                <w:rFonts w:ascii="Arial" w:cs="Arial" w:eastAsia="Arial" w:hAnsi="Arial"/>
                <w:sz w:val="17"/>
                <w:szCs w:val="17"/>
                <w:color w:val="28C0DA"/>
                <w:w w:val="96"/>
              </w:rPr>
              <w:t>■</w:t>
            </w:r>
          </w:p>
        </w:tc>
        <w:tc>
          <w:tcPr>
            <w:tcW w:w="840" w:type="dxa"/>
            <w:vAlign w:val="bottom"/>
            <w:tcBorders>
              <w:bottom w:val="single" w:sz="8" w:color="auto"/>
              <w:right w:val="single" w:sz="8" w:color="auto"/>
            </w:tcBorders>
            <w:shd w:val="clear" w:color="auto" w:fill="E7E7E8"/>
          </w:tcPr>
          <w:p>
            <w:pPr>
              <w:jc w:val="center"/>
              <w:spacing w:after="0" w:line="180" w:lineRule="exact"/>
              <w:rPr>
                <w:sz w:val="20"/>
                <w:szCs w:val="20"/>
                <w:color w:val="auto"/>
              </w:rPr>
            </w:pPr>
            <w:r>
              <w:rPr>
                <w:rFonts w:ascii="Arial" w:cs="Arial" w:eastAsia="Arial" w:hAnsi="Arial"/>
                <w:sz w:val="17"/>
                <w:szCs w:val="17"/>
                <w:color w:val="28C0DA"/>
                <w:w w:val="96"/>
              </w:rPr>
              <w:t>■</w:t>
            </w:r>
          </w:p>
        </w:tc>
        <w:tc>
          <w:tcPr>
            <w:tcW w:w="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spacing w:after="0" w:line="180" w:lineRule="exact"/>
              <w:rPr>
                <w:sz w:val="20"/>
                <w:szCs w:val="20"/>
                <w:color w:val="auto"/>
              </w:rPr>
            </w:pPr>
            <w:r>
              <w:rPr>
                <w:rFonts w:ascii="Arial" w:cs="Arial" w:eastAsia="Arial" w:hAnsi="Arial"/>
                <w:sz w:val="17"/>
                <w:szCs w:val="17"/>
                <w:color w:val="28C0DA"/>
                <w:w w:val="96"/>
              </w:rPr>
              <w:t>■</w:t>
            </w: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Alan D. Wilson</w:t>
            </w:r>
          </w:p>
        </w:tc>
        <w:tc>
          <w:tcPr>
            <w:tcW w:w="132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jc w:val="center"/>
              <w:spacing w:after="0" w:line="180" w:lineRule="exact"/>
              <w:rPr>
                <w:sz w:val="20"/>
                <w:szCs w:val="20"/>
                <w:color w:val="auto"/>
              </w:rPr>
            </w:pPr>
            <w:r>
              <w:rPr>
                <w:rFonts w:ascii="Arial" w:cs="Arial" w:eastAsia="Arial" w:hAnsi="Arial"/>
                <w:sz w:val="17"/>
                <w:szCs w:val="17"/>
                <w:color w:val="28C0DA"/>
                <w:w w:val="96"/>
              </w:rPr>
              <w:t>■</w:t>
            </w:r>
          </w:p>
        </w:tc>
        <w:tc>
          <w:tcPr>
            <w:tcW w:w="840" w:type="dxa"/>
            <w:vAlign w:val="bottom"/>
            <w:tcBorders>
              <w:bottom w:val="single" w:sz="8" w:color="auto"/>
              <w:right w:val="single" w:sz="8" w:color="auto"/>
            </w:tcBorders>
            <w:gridSpan w:val="2"/>
            <w:shd w:val="clear" w:color="auto" w:fill="E7E7E8"/>
          </w:tcPr>
          <w:p>
            <w:pPr>
              <w:jc w:val="center"/>
              <w:ind w:right="60"/>
              <w:spacing w:after="0" w:line="180" w:lineRule="exact"/>
              <w:rPr>
                <w:sz w:val="20"/>
                <w:szCs w:val="20"/>
                <w:color w:val="auto"/>
              </w:rPr>
            </w:pPr>
            <w:r>
              <w:rPr>
                <w:rFonts w:ascii="Arial" w:cs="Arial" w:eastAsia="Arial" w:hAnsi="Arial"/>
                <w:sz w:val="17"/>
                <w:szCs w:val="17"/>
                <w:color w:val="28C0DA"/>
                <w:w w:val="96"/>
              </w:rPr>
              <w:t>■</w:t>
            </w:r>
          </w:p>
        </w:tc>
        <w:tc>
          <w:tcPr>
            <w:tcW w:w="840" w:type="dxa"/>
            <w:vAlign w:val="bottom"/>
            <w:tcBorders>
              <w:bottom w:val="single" w:sz="8" w:color="auto"/>
              <w:right w:val="single" w:sz="8" w:color="auto"/>
            </w:tcBorders>
          </w:tcPr>
          <w:p>
            <w:pPr>
              <w:spacing w:after="0"/>
              <w:rPr>
                <w:sz w:val="15"/>
                <w:szCs w:val="15"/>
                <w:color w:val="auto"/>
              </w:rPr>
            </w:pPr>
          </w:p>
        </w:tc>
        <w:tc>
          <w:tcPr>
            <w:tcW w:w="120" w:type="dxa"/>
            <w:vAlign w:val="bottom"/>
            <w:tcBorders>
              <w:bottom w:val="single" w:sz="8" w:color="auto"/>
              <w:right w:val="single" w:sz="8" w:color="E7E7E8"/>
            </w:tcBorders>
            <w:shd w:val="clear" w:color="auto" w:fill="E7E7E8"/>
          </w:tcPr>
          <w:p>
            <w:pPr>
              <w:spacing w:after="0"/>
              <w:rPr>
                <w:sz w:val="15"/>
                <w:szCs w:val="15"/>
                <w:color w:val="auto"/>
              </w:rPr>
            </w:pPr>
          </w:p>
        </w:tc>
        <w:tc>
          <w:tcPr>
            <w:tcW w:w="620" w:type="dxa"/>
            <w:vAlign w:val="bottom"/>
            <w:tcBorders>
              <w:bottom w:val="single" w:sz="8" w:color="auto"/>
            </w:tcBorders>
            <w:shd w:val="clear" w:color="auto" w:fill="E7E7E8"/>
          </w:tcPr>
          <w:p>
            <w:pPr>
              <w:jc w:val="center"/>
              <w:ind w:right="2"/>
              <w:spacing w:after="0" w:line="180" w:lineRule="exact"/>
              <w:rPr>
                <w:sz w:val="20"/>
                <w:szCs w:val="20"/>
                <w:color w:val="auto"/>
              </w:rPr>
            </w:pPr>
            <w:r>
              <w:rPr>
                <w:rFonts w:ascii="Arial" w:cs="Arial" w:eastAsia="Arial" w:hAnsi="Arial"/>
                <w:sz w:val="17"/>
                <w:szCs w:val="17"/>
                <w:color w:val="28C0DA"/>
                <w:w w:val="96"/>
              </w:rPr>
              <w:t>■</w:t>
            </w:r>
          </w:p>
        </w:tc>
        <w:tc>
          <w:tcPr>
            <w:tcW w:w="80" w:type="dxa"/>
            <w:vAlign w:val="bottom"/>
            <w:tcBorders>
              <w:bottom w:val="single" w:sz="8" w:color="auto"/>
              <w:right w:val="single" w:sz="8" w:color="auto"/>
            </w:tcBorders>
            <w:shd w:val="clear" w:color="auto" w:fill="E7E7E8"/>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shd w:val="clear" w:color="auto" w:fill="E7E7E8"/>
          </w:tcPr>
          <w:p>
            <w:pPr>
              <w:jc w:val="center"/>
              <w:spacing w:after="0" w:line="180" w:lineRule="exact"/>
              <w:rPr>
                <w:sz w:val="20"/>
                <w:szCs w:val="20"/>
                <w:color w:val="auto"/>
              </w:rPr>
            </w:pPr>
            <w:r>
              <w:rPr>
                <w:rFonts w:ascii="Arial" w:cs="Arial" w:eastAsia="Arial" w:hAnsi="Arial"/>
                <w:sz w:val="17"/>
                <w:szCs w:val="17"/>
                <w:color w:val="28C0DA"/>
                <w:w w:val="96"/>
              </w:rPr>
              <w:t>■</w:t>
            </w:r>
          </w:p>
        </w:tc>
        <w:tc>
          <w:tcPr>
            <w:tcW w:w="780" w:type="dxa"/>
            <w:vAlign w:val="bottom"/>
            <w:tcBorders>
              <w:bottom w:val="single" w:sz="8" w:color="auto"/>
              <w:right w:val="single" w:sz="8" w:color="auto"/>
            </w:tcBorders>
            <w:gridSpan w:val="2"/>
          </w:tcPr>
          <w:p>
            <w:pPr>
              <w:jc w:val="center"/>
              <w:ind w:right="40"/>
              <w:spacing w:after="0" w:line="180" w:lineRule="exact"/>
              <w:rPr>
                <w:sz w:val="20"/>
                <w:szCs w:val="20"/>
                <w:color w:val="auto"/>
              </w:rPr>
            </w:pPr>
            <w:r>
              <w:rPr>
                <w:rFonts w:ascii="Arial" w:cs="Arial" w:eastAsia="Arial" w:hAnsi="Arial"/>
                <w:sz w:val="17"/>
                <w:szCs w:val="17"/>
                <w:color w:val="28C0DA"/>
                <w:w w:val="96"/>
              </w:rPr>
              <w:t>■</w:t>
            </w:r>
          </w:p>
        </w:tc>
        <w:tc>
          <w:tcPr>
            <w:tcW w:w="840" w:type="dxa"/>
            <w:vAlign w:val="bottom"/>
            <w:tcBorders>
              <w:bottom w:val="single" w:sz="8" w:color="auto"/>
              <w:right w:val="single" w:sz="8" w:color="auto"/>
            </w:tcBorders>
            <w:shd w:val="clear" w:color="auto" w:fill="E7E7E8"/>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540" w:type="dxa"/>
            <w:vAlign w:val="bottom"/>
          </w:tcPr>
          <w:p>
            <w:pPr>
              <w:spacing w:after="0"/>
              <w:rPr>
                <w:sz w:val="20"/>
                <w:szCs w:val="20"/>
                <w:color w:val="auto"/>
              </w:rPr>
            </w:pPr>
            <w:r>
              <w:rPr>
                <w:rFonts w:ascii="Arial" w:cs="Arial" w:eastAsia="Arial" w:hAnsi="Arial"/>
                <w:sz w:val="17"/>
                <w:szCs w:val="17"/>
                <w:color w:val="auto"/>
              </w:rPr>
              <w:t> </w:t>
            </w:r>
          </w:p>
        </w:tc>
        <w:tc>
          <w:tcPr>
            <w:tcW w:w="2340" w:type="dxa"/>
            <w:vAlign w:val="bottom"/>
          </w:tcPr>
          <w:p>
            <w:pPr>
              <w:spacing w:after="0"/>
              <w:rPr>
                <w:sz w:val="18"/>
                <w:szCs w:val="18"/>
                <w:color w:val="auto"/>
              </w:rPr>
            </w:pPr>
          </w:p>
        </w:tc>
        <w:tc>
          <w:tcPr>
            <w:tcW w:w="5340" w:type="dxa"/>
            <w:vAlign w:val="bottom"/>
            <w:gridSpan w:val="10"/>
            <w:vMerge w:val="restart"/>
          </w:tcPr>
          <w:p>
            <w:pPr>
              <w:ind w:left="480"/>
              <w:spacing w:after="0"/>
              <w:rPr>
                <w:sz w:val="20"/>
                <w:szCs w:val="20"/>
                <w:color w:val="auto"/>
              </w:rPr>
            </w:pPr>
            <w:r>
              <w:rPr>
                <w:rFonts w:ascii="Times New Roman" w:cs="Times New Roman" w:eastAsia="Times New Roman" w:hAnsi="Times New Roman"/>
                <w:sz w:val="23"/>
                <w:szCs w:val="23"/>
                <w:b w:val="1"/>
                <w:bCs w:val="1"/>
                <w:color w:val="auto"/>
              </w:rPr>
              <w:t>Board Diversity Matrix (As of March 1, 2024)</w:t>
            </w: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40" w:type="dxa"/>
            <w:vAlign w:val="bottom"/>
            <w:vMerge w:val="restart"/>
          </w:tcPr>
          <w:p>
            <w:pPr>
              <w:spacing w:after="0"/>
              <w:rPr>
                <w:sz w:val="20"/>
                <w:szCs w:val="20"/>
                <w:color w:val="auto"/>
              </w:rPr>
            </w:pPr>
            <w:r>
              <w:rPr>
                <w:rFonts w:ascii="Arial" w:cs="Arial" w:eastAsia="Arial" w:hAnsi="Arial"/>
                <w:sz w:val="17"/>
                <w:szCs w:val="17"/>
                <w:color w:val="auto"/>
              </w:rPr>
              <w:t> </w:t>
            </w:r>
          </w:p>
        </w:tc>
        <w:tc>
          <w:tcPr>
            <w:tcW w:w="2340" w:type="dxa"/>
            <w:vAlign w:val="bottom"/>
          </w:tcPr>
          <w:p>
            <w:pPr>
              <w:spacing w:after="0"/>
              <w:rPr>
                <w:sz w:val="21"/>
                <w:szCs w:val="21"/>
                <w:color w:val="auto"/>
              </w:rPr>
            </w:pPr>
          </w:p>
        </w:tc>
        <w:tc>
          <w:tcPr>
            <w:tcW w:w="5340" w:type="dxa"/>
            <w:vAlign w:val="bottom"/>
            <w:gridSpan w:val="10"/>
            <w:vMerge w:val="continue"/>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540" w:type="dxa"/>
            <w:vAlign w:val="bottom"/>
            <w:vMerge w:val="continue"/>
          </w:tcPr>
          <w:p>
            <w:pPr>
              <w:spacing w:after="0"/>
              <w:rPr>
                <w:sz w:val="16"/>
                <w:szCs w:val="16"/>
                <w:color w:val="auto"/>
              </w:rPr>
            </w:pPr>
          </w:p>
        </w:tc>
        <w:tc>
          <w:tcPr>
            <w:tcW w:w="2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880" w:type="dxa"/>
            <w:vAlign w:val="bottom"/>
            <w:gridSpan w:val="2"/>
          </w:tcPr>
          <w:p>
            <w:pPr>
              <w:spacing w:after="0"/>
              <w:rPr>
                <w:sz w:val="20"/>
                <w:szCs w:val="20"/>
                <w:color w:val="auto"/>
              </w:rPr>
            </w:pPr>
            <w:r>
              <w:rPr>
                <w:rFonts w:ascii="Arial" w:cs="Arial" w:eastAsia="Arial" w:hAnsi="Arial"/>
                <w:sz w:val="17"/>
                <w:szCs w:val="17"/>
                <w:b w:val="1"/>
                <w:bCs w:val="1"/>
                <w:color w:val="000080"/>
              </w:rPr>
              <w:t>Total Number of Directors</w:t>
            </w:r>
          </w:p>
        </w:tc>
        <w:tc>
          <w:tcPr>
            <w:tcW w:w="1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000080"/>
              </w:rPr>
              <w:t>13</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40" w:type="dxa"/>
            <w:vAlign w:val="bottom"/>
            <w:shd w:val="clear" w:color="auto" w:fill="E7E7E8"/>
          </w:tcPr>
          <w:p>
            <w:pPr>
              <w:spacing w:after="0"/>
              <w:rPr>
                <w:sz w:val="16"/>
                <w:szCs w:val="16"/>
                <w:color w:val="auto"/>
              </w:rPr>
            </w:pPr>
          </w:p>
        </w:tc>
        <w:tc>
          <w:tcPr>
            <w:tcW w:w="2340" w:type="dxa"/>
            <w:vAlign w:val="bottom"/>
            <w:shd w:val="clear" w:color="auto" w:fill="E7E7E8"/>
          </w:tcPr>
          <w:p>
            <w:pPr>
              <w:spacing w:after="0"/>
              <w:rPr>
                <w:sz w:val="16"/>
                <w:szCs w:val="16"/>
                <w:color w:val="auto"/>
              </w:rPr>
            </w:pPr>
          </w:p>
        </w:tc>
        <w:tc>
          <w:tcPr>
            <w:tcW w:w="1320" w:type="dxa"/>
            <w:vAlign w:val="bottom"/>
            <w:tcBorders>
              <w:right w:val="single" w:sz="8" w:color="E7E7E8"/>
            </w:tcBorders>
            <w:shd w:val="clear" w:color="auto" w:fill="E7E7E8"/>
          </w:tcPr>
          <w:p>
            <w:pPr>
              <w:spacing w:after="0"/>
              <w:rPr>
                <w:sz w:val="16"/>
                <w:szCs w:val="16"/>
                <w:color w:val="auto"/>
              </w:rPr>
            </w:pPr>
          </w:p>
        </w:tc>
        <w:tc>
          <w:tcPr>
            <w:tcW w:w="760" w:type="dxa"/>
            <w:vAlign w:val="bottom"/>
            <w:tcBorders>
              <w:right w:val="single" w:sz="8" w:color="E7E7E8"/>
            </w:tcBorders>
            <w:shd w:val="clear" w:color="auto" w:fill="E7E7E8"/>
          </w:tcPr>
          <w:p>
            <w:pPr>
              <w:spacing w:after="0"/>
              <w:rPr>
                <w:sz w:val="16"/>
                <w:szCs w:val="16"/>
                <w:color w:val="auto"/>
              </w:rPr>
            </w:pPr>
          </w:p>
        </w:tc>
        <w:tc>
          <w:tcPr>
            <w:tcW w:w="440" w:type="dxa"/>
            <w:vAlign w:val="bottom"/>
            <w:tcBorders>
              <w:right w:val="single" w:sz="8" w:color="auto"/>
            </w:tcBorders>
            <w:shd w:val="clear" w:color="auto" w:fill="E7E7E8"/>
          </w:tcPr>
          <w:p>
            <w:pPr>
              <w:spacing w:after="0"/>
              <w:rPr>
                <w:sz w:val="16"/>
                <w:szCs w:val="16"/>
                <w:color w:val="auto"/>
              </w:rPr>
            </w:pPr>
          </w:p>
        </w:tc>
        <w:tc>
          <w:tcPr>
            <w:tcW w:w="400" w:type="dxa"/>
            <w:vAlign w:val="bottom"/>
            <w:tcBorders>
              <w:right w:val="single" w:sz="8" w:color="E7E7E8"/>
            </w:tcBorders>
            <w:shd w:val="clear" w:color="auto" w:fill="E7E7E8"/>
          </w:tcPr>
          <w:p>
            <w:pPr>
              <w:spacing w:after="0"/>
              <w:rPr>
                <w:sz w:val="16"/>
                <w:szCs w:val="16"/>
                <w:color w:val="auto"/>
              </w:rPr>
            </w:pPr>
          </w:p>
        </w:tc>
        <w:tc>
          <w:tcPr>
            <w:tcW w:w="840" w:type="dxa"/>
            <w:vAlign w:val="bottom"/>
            <w:tcBorders>
              <w:right w:val="single" w:sz="8" w:color="E7E7E8"/>
            </w:tcBorders>
            <w:shd w:val="clear" w:color="auto" w:fill="E7E7E8"/>
          </w:tcPr>
          <w:p>
            <w:pPr>
              <w:spacing w:after="0"/>
              <w:rPr>
                <w:sz w:val="16"/>
                <w:szCs w:val="16"/>
                <w:color w:val="auto"/>
              </w:rPr>
            </w:pPr>
          </w:p>
        </w:tc>
        <w:tc>
          <w:tcPr>
            <w:tcW w:w="120" w:type="dxa"/>
            <w:vAlign w:val="bottom"/>
            <w:tcBorders>
              <w:right w:val="single" w:sz="8" w:color="auto"/>
            </w:tcBorders>
            <w:shd w:val="clear" w:color="auto" w:fill="E7E7E8"/>
          </w:tcPr>
          <w:p>
            <w:pPr>
              <w:spacing w:after="0"/>
              <w:rPr>
                <w:sz w:val="16"/>
                <w:szCs w:val="16"/>
                <w:color w:val="auto"/>
              </w:rPr>
            </w:pPr>
          </w:p>
        </w:tc>
        <w:tc>
          <w:tcPr>
            <w:tcW w:w="620" w:type="dxa"/>
            <w:vAlign w:val="bottom"/>
            <w:shd w:val="clear" w:color="auto" w:fill="E7E7E8"/>
          </w:tcPr>
          <w:p>
            <w:pPr>
              <w:spacing w:after="0"/>
              <w:rPr>
                <w:sz w:val="16"/>
                <w:szCs w:val="16"/>
                <w:color w:val="auto"/>
              </w:rPr>
            </w:pPr>
          </w:p>
        </w:tc>
        <w:tc>
          <w:tcPr>
            <w:tcW w:w="80" w:type="dxa"/>
            <w:vAlign w:val="bottom"/>
            <w:tcBorders>
              <w:right w:val="single" w:sz="8" w:color="E7E7E8"/>
            </w:tcBorders>
            <w:shd w:val="clear" w:color="auto" w:fill="E7E7E8"/>
          </w:tcPr>
          <w:p>
            <w:pPr>
              <w:spacing w:after="0"/>
              <w:rPr>
                <w:sz w:val="16"/>
                <w:szCs w:val="16"/>
                <w:color w:val="auto"/>
              </w:rPr>
            </w:pPr>
          </w:p>
        </w:tc>
        <w:tc>
          <w:tcPr>
            <w:tcW w:w="640" w:type="dxa"/>
            <w:vAlign w:val="bottom"/>
            <w:tcBorders>
              <w:right w:val="single" w:sz="8" w:color="auto"/>
            </w:tcBorders>
            <w:shd w:val="clear" w:color="auto" w:fill="E7E7E8"/>
          </w:tcPr>
          <w:p>
            <w:pPr>
              <w:spacing w:after="0"/>
              <w:rPr>
                <w:sz w:val="16"/>
                <w:szCs w:val="16"/>
                <w:color w:val="auto"/>
              </w:rPr>
            </w:pPr>
          </w:p>
        </w:tc>
        <w:tc>
          <w:tcPr>
            <w:tcW w:w="120" w:type="dxa"/>
            <w:vAlign w:val="bottom"/>
            <w:tcBorders>
              <w:right w:val="single" w:sz="8" w:color="E7E7E8"/>
            </w:tcBorders>
            <w:shd w:val="clear" w:color="auto" w:fill="E7E7E8"/>
          </w:tcPr>
          <w:p>
            <w:pPr>
              <w:spacing w:after="0"/>
              <w:rPr>
                <w:sz w:val="16"/>
                <w:szCs w:val="16"/>
                <w:color w:val="auto"/>
              </w:rPr>
            </w:pPr>
          </w:p>
        </w:tc>
        <w:tc>
          <w:tcPr>
            <w:tcW w:w="720" w:type="dxa"/>
            <w:vAlign w:val="bottom"/>
            <w:tcBorders>
              <w:right w:val="single" w:sz="8" w:color="E7E7E8"/>
            </w:tcBorders>
            <w:shd w:val="clear" w:color="auto" w:fill="E7E7E8"/>
          </w:tcPr>
          <w:p>
            <w:pPr>
              <w:spacing w:after="0"/>
              <w:rPr>
                <w:sz w:val="16"/>
                <w:szCs w:val="16"/>
                <w:color w:val="auto"/>
              </w:rPr>
            </w:pPr>
          </w:p>
        </w:tc>
        <w:tc>
          <w:tcPr>
            <w:tcW w:w="520" w:type="dxa"/>
            <w:vAlign w:val="bottom"/>
            <w:tcBorders>
              <w:right w:val="single" w:sz="8" w:color="auto"/>
            </w:tcBorders>
            <w:shd w:val="clear" w:color="auto" w:fill="E7E7E8"/>
          </w:tcPr>
          <w:p>
            <w:pPr>
              <w:spacing w:after="0"/>
              <w:rPr>
                <w:sz w:val="16"/>
                <w:szCs w:val="16"/>
                <w:color w:val="auto"/>
              </w:rPr>
            </w:pPr>
          </w:p>
        </w:tc>
        <w:tc>
          <w:tcPr>
            <w:tcW w:w="260" w:type="dxa"/>
            <w:vAlign w:val="bottom"/>
            <w:tcBorders>
              <w:right w:val="single" w:sz="8" w:color="E7E7E8"/>
            </w:tcBorders>
            <w:shd w:val="clear" w:color="auto" w:fill="E7E7E8"/>
          </w:tcPr>
          <w:p>
            <w:pPr>
              <w:spacing w:after="0"/>
              <w:rPr>
                <w:sz w:val="16"/>
                <w:szCs w:val="16"/>
                <w:color w:val="auto"/>
              </w:rPr>
            </w:pPr>
          </w:p>
        </w:tc>
        <w:tc>
          <w:tcPr>
            <w:tcW w:w="880" w:type="dxa"/>
            <w:vAlign w:val="bottom"/>
            <w:gridSpan w:val="2"/>
            <w:shd w:val="clear" w:color="auto" w:fill="E7E7E8"/>
          </w:tcPr>
          <w:p>
            <w:pPr>
              <w:ind w:left="340"/>
              <w:spacing w:after="0"/>
              <w:rPr>
                <w:sz w:val="20"/>
                <w:szCs w:val="20"/>
                <w:color w:val="auto"/>
              </w:rPr>
            </w:pPr>
            <w:r>
              <w:rPr>
                <w:rFonts w:ascii="Arial" w:cs="Arial" w:eastAsia="Arial" w:hAnsi="Arial"/>
                <w:sz w:val="15"/>
                <w:szCs w:val="15"/>
                <w:b w:val="1"/>
                <w:bCs w:val="1"/>
                <w:color w:val="auto"/>
                <w:w w:val="97"/>
              </w:rPr>
              <w:t>Did Not</w:t>
            </w:r>
          </w:p>
        </w:tc>
        <w:tc>
          <w:tcPr>
            <w:tcW w:w="540" w:type="dxa"/>
            <w:vAlign w:val="bottom"/>
            <w:shd w:val="clear" w:color="auto" w:fill="E7E7E8"/>
          </w:tcPr>
          <w:p>
            <w:pPr>
              <w:spacing w:after="0"/>
              <w:rPr>
                <w:sz w:val="16"/>
                <w:szCs w:val="16"/>
                <w:color w:val="auto"/>
              </w:rPr>
            </w:pPr>
          </w:p>
        </w:tc>
        <w:tc>
          <w:tcPr>
            <w:tcW w:w="120" w:type="dxa"/>
            <w:vAlign w:val="bottom"/>
            <w:tcBorders>
              <w:right w:val="single" w:sz="8" w:color="auto"/>
            </w:tcBorders>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40" w:type="dxa"/>
            <w:vAlign w:val="bottom"/>
            <w:tcBorders>
              <w:bottom w:val="single" w:sz="8" w:color="auto"/>
            </w:tcBorders>
            <w:shd w:val="clear" w:color="auto" w:fill="E7E7E8"/>
          </w:tcPr>
          <w:p>
            <w:pPr>
              <w:spacing w:after="0"/>
              <w:rPr>
                <w:sz w:val="18"/>
                <w:szCs w:val="18"/>
                <w:color w:val="auto"/>
              </w:rPr>
            </w:pPr>
          </w:p>
        </w:tc>
        <w:tc>
          <w:tcPr>
            <w:tcW w:w="2340" w:type="dxa"/>
            <w:vAlign w:val="bottom"/>
            <w:tcBorders>
              <w:bottom w:val="single" w:sz="8" w:color="auto"/>
            </w:tcBorders>
            <w:shd w:val="clear" w:color="auto" w:fill="E7E7E8"/>
          </w:tcPr>
          <w:p>
            <w:pPr>
              <w:spacing w:after="0"/>
              <w:rPr>
                <w:sz w:val="18"/>
                <w:szCs w:val="18"/>
                <w:color w:val="auto"/>
              </w:rPr>
            </w:pPr>
          </w:p>
        </w:tc>
        <w:tc>
          <w:tcPr>
            <w:tcW w:w="1320" w:type="dxa"/>
            <w:vAlign w:val="bottom"/>
            <w:tcBorders>
              <w:bottom w:val="single" w:sz="8" w:color="auto"/>
              <w:right w:val="single" w:sz="8" w:color="E7E7E8"/>
            </w:tcBorders>
            <w:shd w:val="clear" w:color="auto" w:fill="E7E7E8"/>
          </w:tcPr>
          <w:p>
            <w:pPr>
              <w:spacing w:after="0"/>
              <w:rPr>
                <w:sz w:val="18"/>
                <w:szCs w:val="18"/>
                <w:color w:val="auto"/>
              </w:rPr>
            </w:pPr>
          </w:p>
        </w:tc>
        <w:tc>
          <w:tcPr>
            <w:tcW w:w="760" w:type="dxa"/>
            <w:vAlign w:val="bottom"/>
            <w:tcBorders>
              <w:bottom w:val="single" w:sz="8" w:color="auto"/>
              <w:right w:val="single" w:sz="8" w:color="E7E7E8"/>
            </w:tcBorders>
            <w:shd w:val="clear" w:color="auto" w:fill="E7E7E8"/>
          </w:tcPr>
          <w:p>
            <w:pPr>
              <w:spacing w:after="0"/>
              <w:rPr>
                <w:sz w:val="18"/>
                <w:szCs w:val="18"/>
                <w:color w:val="auto"/>
              </w:rPr>
            </w:pPr>
          </w:p>
        </w:tc>
        <w:tc>
          <w:tcPr>
            <w:tcW w:w="440" w:type="dxa"/>
            <w:vAlign w:val="bottom"/>
            <w:tcBorders>
              <w:bottom w:val="single" w:sz="8" w:color="auto"/>
              <w:right w:val="single" w:sz="8" w:color="auto"/>
            </w:tcBorders>
            <w:shd w:val="clear" w:color="auto" w:fill="E7E7E8"/>
          </w:tcPr>
          <w:p>
            <w:pPr>
              <w:spacing w:after="0"/>
              <w:rPr>
                <w:sz w:val="18"/>
                <w:szCs w:val="18"/>
                <w:color w:val="auto"/>
              </w:rPr>
            </w:pPr>
          </w:p>
        </w:tc>
        <w:tc>
          <w:tcPr>
            <w:tcW w:w="400" w:type="dxa"/>
            <w:vAlign w:val="bottom"/>
            <w:tcBorders>
              <w:bottom w:val="single" w:sz="8" w:color="auto"/>
              <w:right w:val="single" w:sz="8" w:color="E7E7E8"/>
            </w:tcBorders>
            <w:shd w:val="clear" w:color="auto" w:fill="E7E7E8"/>
          </w:tcPr>
          <w:p>
            <w:pPr>
              <w:spacing w:after="0"/>
              <w:rPr>
                <w:sz w:val="18"/>
                <w:szCs w:val="18"/>
                <w:color w:val="auto"/>
              </w:rPr>
            </w:pPr>
          </w:p>
        </w:tc>
        <w:tc>
          <w:tcPr>
            <w:tcW w:w="840" w:type="dxa"/>
            <w:vAlign w:val="bottom"/>
            <w:tcBorders>
              <w:bottom w:val="single" w:sz="8" w:color="auto"/>
              <w:right w:val="single" w:sz="8" w:color="E7E7E8"/>
            </w:tcBorders>
            <w:shd w:val="clear" w:color="auto" w:fill="E7E7E8"/>
          </w:tcPr>
          <w:p>
            <w:pPr>
              <w:jc w:val="center"/>
              <w:ind w:right="253"/>
              <w:spacing w:after="0"/>
              <w:rPr>
                <w:sz w:val="20"/>
                <w:szCs w:val="20"/>
                <w:color w:val="auto"/>
              </w:rPr>
            </w:pPr>
            <w:r>
              <w:rPr>
                <w:rFonts w:ascii="Arial" w:cs="Arial" w:eastAsia="Arial" w:hAnsi="Arial"/>
                <w:sz w:val="15"/>
                <w:szCs w:val="15"/>
                <w:b w:val="1"/>
                <w:bCs w:val="1"/>
                <w:color w:val="auto"/>
              </w:rPr>
              <w:t>Female</w:t>
            </w:r>
          </w:p>
        </w:tc>
        <w:tc>
          <w:tcPr>
            <w:tcW w:w="120" w:type="dxa"/>
            <w:vAlign w:val="bottom"/>
            <w:tcBorders>
              <w:bottom w:val="single" w:sz="8" w:color="auto"/>
              <w:right w:val="single" w:sz="8" w:color="auto"/>
            </w:tcBorders>
            <w:shd w:val="clear" w:color="auto" w:fill="E7E7E8"/>
          </w:tcPr>
          <w:p>
            <w:pPr>
              <w:spacing w:after="0"/>
              <w:rPr>
                <w:sz w:val="18"/>
                <w:szCs w:val="18"/>
                <w:color w:val="auto"/>
              </w:rPr>
            </w:pPr>
          </w:p>
        </w:tc>
        <w:tc>
          <w:tcPr>
            <w:tcW w:w="1340" w:type="dxa"/>
            <w:vAlign w:val="bottom"/>
            <w:tcBorders>
              <w:bottom w:val="single" w:sz="8" w:color="auto"/>
              <w:right w:val="single" w:sz="8" w:color="auto"/>
            </w:tcBorders>
            <w:gridSpan w:val="3"/>
            <w:shd w:val="clear" w:color="auto" w:fill="E7E7E8"/>
          </w:tcPr>
          <w:p>
            <w:pPr>
              <w:jc w:val="center"/>
              <w:spacing w:after="0"/>
              <w:rPr>
                <w:sz w:val="20"/>
                <w:szCs w:val="20"/>
                <w:color w:val="auto"/>
              </w:rPr>
            </w:pPr>
            <w:r>
              <w:rPr>
                <w:rFonts w:ascii="Arial" w:cs="Arial" w:eastAsia="Arial" w:hAnsi="Arial"/>
                <w:sz w:val="15"/>
                <w:szCs w:val="15"/>
                <w:b w:val="1"/>
                <w:bCs w:val="1"/>
                <w:color w:val="auto"/>
              </w:rPr>
              <w:t>Male</w:t>
            </w:r>
          </w:p>
        </w:tc>
        <w:tc>
          <w:tcPr>
            <w:tcW w:w="120" w:type="dxa"/>
            <w:vAlign w:val="bottom"/>
            <w:tcBorders>
              <w:bottom w:val="single" w:sz="8" w:color="auto"/>
              <w:right w:val="single" w:sz="8" w:color="E7E7E8"/>
            </w:tcBorders>
            <w:shd w:val="clear" w:color="auto" w:fill="E7E7E8"/>
          </w:tcPr>
          <w:p>
            <w:pPr>
              <w:spacing w:after="0"/>
              <w:rPr>
                <w:sz w:val="18"/>
                <w:szCs w:val="18"/>
                <w:color w:val="auto"/>
              </w:rPr>
            </w:pPr>
          </w:p>
        </w:tc>
        <w:tc>
          <w:tcPr>
            <w:tcW w:w="1240" w:type="dxa"/>
            <w:vAlign w:val="bottom"/>
            <w:tcBorders>
              <w:bottom w:val="single" w:sz="8" w:color="auto"/>
              <w:right w:val="single" w:sz="8" w:color="auto"/>
            </w:tcBorders>
            <w:gridSpan w:val="2"/>
            <w:shd w:val="clear" w:color="auto" w:fill="E7E7E8"/>
          </w:tcPr>
          <w:p>
            <w:pPr>
              <w:jc w:val="center"/>
              <w:ind w:right="81"/>
              <w:spacing w:after="0"/>
              <w:rPr>
                <w:sz w:val="20"/>
                <w:szCs w:val="20"/>
                <w:color w:val="auto"/>
              </w:rPr>
            </w:pPr>
            <w:r>
              <w:rPr>
                <w:rFonts w:ascii="Arial" w:cs="Arial" w:eastAsia="Arial" w:hAnsi="Arial"/>
                <w:sz w:val="15"/>
                <w:szCs w:val="15"/>
                <w:b w:val="1"/>
                <w:bCs w:val="1"/>
                <w:color w:val="auto"/>
              </w:rPr>
              <w:t>Non-binary</w:t>
            </w:r>
          </w:p>
        </w:tc>
        <w:tc>
          <w:tcPr>
            <w:tcW w:w="260" w:type="dxa"/>
            <w:vAlign w:val="bottom"/>
            <w:tcBorders>
              <w:bottom w:val="single" w:sz="8" w:color="auto"/>
              <w:right w:val="single" w:sz="8" w:color="E7E7E8"/>
            </w:tcBorders>
            <w:shd w:val="clear" w:color="auto" w:fill="E7E7E8"/>
          </w:tcPr>
          <w:p>
            <w:pPr>
              <w:spacing w:after="0"/>
              <w:rPr>
                <w:sz w:val="18"/>
                <w:szCs w:val="18"/>
                <w:color w:val="auto"/>
              </w:rPr>
            </w:pPr>
          </w:p>
        </w:tc>
        <w:tc>
          <w:tcPr>
            <w:tcW w:w="1420" w:type="dxa"/>
            <w:vAlign w:val="bottom"/>
            <w:tcBorders>
              <w:bottom w:val="single" w:sz="8" w:color="auto"/>
            </w:tcBorders>
            <w:gridSpan w:val="3"/>
            <w:shd w:val="clear" w:color="auto" w:fill="E7E7E8"/>
          </w:tcPr>
          <w:p>
            <w:pPr>
              <w:jc w:val="center"/>
              <w:ind w:right="106"/>
              <w:spacing w:after="0"/>
              <w:rPr>
                <w:sz w:val="20"/>
                <w:szCs w:val="20"/>
                <w:color w:val="auto"/>
              </w:rPr>
            </w:pPr>
            <w:r>
              <w:rPr>
                <w:rFonts w:ascii="Arial" w:cs="Arial" w:eastAsia="Arial" w:hAnsi="Arial"/>
                <w:sz w:val="15"/>
                <w:szCs w:val="15"/>
                <w:b w:val="1"/>
                <w:bCs w:val="1"/>
                <w:color w:val="auto"/>
              </w:rPr>
              <w:t>Disclose Gender</w:t>
            </w:r>
          </w:p>
        </w:tc>
        <w:tc>
          <w:tcPr>
            <w:tcW w:w="120" w:type="dxa"/>
            <w:vAlign w:val="bottom"/>
            <w:tcBorders>
              <w:bottom w:val="single" w:sz="8" w:color="auto"/>
              <w:right w:val="single" w:sz="8" w:color="auto"/>
            </w:tcBorders>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w w:val="98"/>
              </w:rPr>
              <w:t>Directors</w:t>
            </w:r>
          </w:p>
        </w:tc>
        <w:tc>
          <w:tcPr>
            <w:tcW w:w="23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right w:val="single" w:sz="8" w:color="CCEEFF"/>
            </w:tcBorders>
            <w:shd w:val="clear" w:color="auto" w:fill="CCEEFF"/>
          </w:tcPr>
          <w:p>
            <w:pPr>
              <w:spacing w:after="0"/>
              <w:rPr>
                <w:sz w:val="17"/>
                <w:szCs w:val="17"/>
                <w:color w:val="auto"/>
              </w:rPr>
            </w:pPr>
          </w:p>
        </w:tc>
        <w:tc>
          <w:tcPr>
            <w:tcW w:w="760" w:type="dxa"/>
            <w:vAlign w:val="bottom"/>
            <w:tcBorders>
              <w:bottom w:val="single" w:sz="8" w:color="CCEEFF"/>
              <w:right w:val="single" w:sz="8" w:color="CCEEFF"/>
            </w:tcBorders>
            <w:shd w:val="clear" w:color="auto" w:fill="CCEEFF"/>
          </w:tcPr>
          <w:p>
            <w:pPr>
              <w:spacing w:after="0"/>
              <w:rPr>
                <w:sz w:val="17"/>
                <w:szCs w:val="17"/>
                <w:color w:val="auto"/>
              </w:rPr>
            </w:pPr>
          </w:p>
        </w:tc>
        <w:tc>
          <w:tcPr>
            <w:tcW w:w="440" w:type="dxa"/>
            <w:vAlign w:val="bottom"/>
            <w:tcBorders>
              <w:bottom w:val="single" w:sz="8" w:color="CCEEFF"/>
              <w:right w:val="single" w:sz="8" w:color="auto"/>
            </w:tcBorders>
            <w:shd w:val="clear" w:color="auto" w:fill="CCEEFF"/>
          </w:tcPr>
          <w:p>
            <w:pPr>
              <w:spacing w:after="0"/>
              <w:rPr>
                <w:sz w:val="17"/>
                <w:szCs w:val="17"/>
                <w:color w:val="auto"/>
              </w:rPr>
            </w:pPr>
          </w:p>
        </w:tc>
        <w:tc>
          <w:tcPr>
            <w:tcW w:w="400" w:type="dxa"/>
            <w:vAlign w:val="bottom"/>
            <w:tcBorders>
              <w:bottom w:val="single" w:sz="8" w:color="CCEEFF"/>
              <w:right w:val="single" w:sz="8" w:color="CCEEFF"/>
            </w:tcBorders>
            <w:shd w:val="clear" w:color="auto" w:fill="CCEEFF"/>
          </w:tcPr>
          <w:p>
            <w:pPr>
              <w:spacing w:after="0"/>
              <w:rPr>
                <w:sz w:val="17"/>
                <w:szCs w:val="17"/>
                <w:color w:val="auto"/>
              </w:rPr>
            </w:pPr>
          </w:p>
        </w:tc>
        <w:tc>
          <w:tcPr>
            <w:tcW w:w="840" w:type="dxa"/>
            <w:vAlign w:val="bottom"/>
            <w:tcBorders>
              <w:bottom w:val="single" w:sz="8" w:color="CCEEFF"/>
              <w:right w:val="single" w:sz="8" w:color="CCEEFF"/>
            </w:tcBorders>
            <w:shd w:val="clear" w:color="auto" w:fill="CCEEFF"/>
          </w:tcPr>
          <w:p>
            <w:pPr>
              <w:jc w:val="center"/>
              <w:ind w:right="233"/>
              <w:spacing w:after="0"/>
              <w:rPr>
                <w:sz w:val="20"/>
                <w:szCs w:val="20"/>
                <w:color w:val="auto"/>
              </w:rPr>
            </w:pPr>
            <w:r>
              <w:rPr>
                <w:rFonts w:ascii="Arial" w:cs="Arial" w:eastAsia="Arial" w:hAnsi="Arial"/>
                <w:sz w:val="12"/>
                <w:szCs w:val="12"/>
                <w:b w:val="1"/>
                <w:bCs w:val="1"/>
                <w:color w:val="28C0DA"/>
                <w:w w:val="89"/>
              </w:rPr>
              <w:t>4</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620" w:type="dxa"/>
            <w:vAlign w:val="bottom"/>
            <w:tcBorders>
              <w:bottom w:val="single" w:sz="8" w:color="E7E7E8"/>
            </w:tcBorders>
            <w:shd w:val="clear" w:color="auto" w:fill="E7E7E8"/>
          </w:tcPr>
          <w:p>
            <w:pPr>
              <w:spacing w:after="0"/>
              <w:rPr>
                <w:sz w:val="17"/>
                <w:szCs w:val="17"/>
                <w:color w:val="auto"/>
              </w:rPr>
            </w:pPr>
          </w:p>
        </w:tc>
        <w:tc>
          <w:tcPr>
            <w:tcW w:w="80" w:type="dxa"/>
            <w:vAlign w:val="bottom"/>
            <w:tcBorders>
              <w:bottom w:val="single" w:sz="8" w:color="E7E7E8"/>
              <w:right w:val="single" w:sz="8" w:color="E7E7E8"/>
            </w:tcBorders>
            <w:shd w:val="clear" w:color="auto" w:fill="E7E7E8"/>
          </w:tcPr>
          <w:p>
            <w:pPr>
              <w:jc w:val="center"/>
              <w:spacing w:after="0"/>
              <w:rPr>
                <w:sz w:val="20"/>
                <w:szCs w:val="20"/>
                <w:color w:val="auto"/>
              </w:rPr>
            </w:pPr>
            <w:r>
              <w:rPr>
                <w:rFonts w:ascii="Arial" w:cs="Arial" w:eastAsia="Arial" w:hAnsi="Arial"/>
                <w:sz w:val="12"/>
                <w:szCs w:val="12"/>
                <w:b w:val="1"/>
                <w:bCs w:val="1"/>
                <w:color w:val="28C0DA"/>
                <w:w w:val="89"/>
              </w:rPr>
              <w:t>9</w:t>
            </w:r>
          </w:p>
        </w:tc>
        <w:tc>
          <w:tcPr>
            <w:tcW w:w="640" w:type="dxa"/>
            <w:vAlign w:val="bottom"/>
            <w:tcBorders>
              <w:bottom w:val="single" w:sz="8" w:color="E7E7E8"/>
              <w:right w:val="single" w:sz="8" w:color="auto"/>
            </w:tcBorders>
            <w:shd w:val="clear" w:color="auto" w:fill="E7E7E8"/>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720" w:type="dxa"/>
            <w:vAlign w:val="bottom"/>
            <w:tcBorders>
              <w:bottom w:val="single" w:sz="8" w:color="CCEEFF"/>
              <w:right w:val="single" w:sz="8" w:color="CCEEFF"/>
            </w:tcBorders>
            <w:shd w:val="clear" w:color="auto" w:fill="CCEEFF"/>
          </w:tcPr>
          <w:p>
            <w:pPr>
              <w:jc w:val="center"/>
              <w:ind w:left="310"/>
              <w:spacing w:after="0"/>
              <w:rPr>
                <w:sz w:val="20"/>
                <w:szCs w:val="20"/>
                <w:color w:val="auto"/>
              </w:rPr>
            </w:pPr>
            <w:r>
              <w:rPr>
                <w:rFonts w:ascii="Arial" w:cs="Arial" w:eastAsia="Arial" w:hAnsi="Arial"/>
                <w:sz w:val="12"/>
                <w:szCs w:val="12"/>
                <w:b w:val="1"/>
                <w:bCs w:val="1"/>
                <w:color w:val="28C0DA"/>
                <w:w w:val="89"/>
              </w:rPr>
              <w:t>0</w:t>
            </w:r>
          </w:p>
        </w:tc>
        <w:tc>
          <w:tcPr>
            <w:tcW w:w="520" w:type="dxa"/>
            <w:vAlign w:val="bottom"/>
            <w:tcBorders>
              <w:bottom w:val="single" w:sz="8" w:color="CCEEFF"/>
              <w:right w:val="single" w:sz="8" w:color="auto"/>
            </w:tcBorders>
            <w:shd w:val="clear" w:color="auto" w:fill="CCEEFF"/>
          </w:tcPr>
          <w:p>
            <w:pPr>
              <w:spacing w:after="0"/>
              <w:rPr>
                <w:sz w:val="17"/>
                <w:szCs w:val="17"/>
                <w:color w:val="auto"/>
              </w:rPr>
            </w:pPr>
          </w:p>
        </w:tc>
        <w:tc>
          <w:tcPr>
            <w:tcW w:w="260" w:type="dxa"/>
            <w:vAlign w:val="bottom"/>
            <w:tcBorders>
              <w:bottom w:val="single" w:sz="8" w:color="E7E7E8"/>
              <w:right w:val="single" w:sz="8" w:color="E7E7E8"/>
            </w:tcBorders>
            <w:shd w:val="clear" w:color="auto" w:fill="E7E7E8"/>
          </w:tcPr>
          <w:p>
            <w:pPr>
              <w:spacing w:after="0"/>
              <w:rPr>
                <w:sz w:val="17"/>
                <w:szCs w:val="17"/>
                <w:color w:val="auto"/>
              </w:rPr>
            </w:pPr>
          </w:p>
        </w:tc>
        <w:tc>
          <w:tcPr>
            <w:tcW w:w="840" w:type="dxa"/>
            <w:vAlign w:val="bottom"/>
            <w:tcBorders>
              <w:bottom w:val="single" w:sz="8" w:color="E7E7E8"/>
              <w:right w:val="single" w:sz="8" w:color="E7E7E8"/>
            </w:tcBorders>
            <w:shd w:val="clear" w:color="auto" w:fill="E7E7E8"/>
          </w:tcPr>
          <w:p>
            <w:pPr>
              <w:jc w:val="center"/>
              <w:ind w:left="334"/>
              <w:spacing w:after="0"/>
              <w:rPr>
                <w:sz w:val="20"/>
                <w:szCs w:val="20"/>
                <w:color w:val="auto"/>
              </w:rPr>
            </w:pPr>
            <w:r>
              <w:rPr>
                <w:rFonts w:ascii="Arial" w:cs="Arial" w:eastAsia="Arial" w:hAnsi="Arial"/>
                <w:sz w:val="12"/>
                <w:szCs w:val="12"/>
                <w:b w:val="1"/>
                <w:bCs w:val="1"/>
                <w:color w:val="28C0DA"/>
              </w:rPr>
              <w:t>0</w:t>
            </w:r>
          </w:p>
        </w:tc>
        <w:tc>
          <w:tcPr>
            <w:tcW w:w="40" w:type="dxa"/>
            <w:vAlign w:val="bottom"/>
            <w:tcBorders>
              <w:bottom w:val="single" w:sz="8" w:color="E7E7E8"/>
            </w:tcBorders>
            <w:shd w:val="clear" w:color="auto" w:fill="E7E7E8"/>
          </w:tcPr>
          <w:p>
            <w:pPr>
              <w:spacing w:after="0"/>
              <w:rPr>
                <w:sz w:val="17"/>
                <w:szCs w:val="17"/>
                <w:color w:val="auto"/>
              </w:rPr>
            </w:pPr>
          </w:p>
        </w:tc>
        <w:tc>
          <w:tcPr>
            <w:tcW w:w="540" w:type="dxa"/>
            <w:vAlign w:val="bottom"/>
            <w:tcBorders>
              <w:bottom w:val="single" w:sz="8" w:color="E7E7E8"/>
            </w:tcBorders>
            <w:shd w:val="clear" w:color="auto" w:fill="E7E7E8"/>
          </w:tcPr>
          <w:p>
            <w:pPr>
              <w:spacing w:after="0"/>
              <w:rPr>
                <w:sz w:val="17"/>
                <w:szCs w:val="17"/>
                <w:color w:val="auto"/>
              </w:rPr>
            </w:pPr>
          </w:p>
        </w:tc>
        <w:tc>
          <w:tcPr>
            <w:tcW w:w="120" w:type="dxa"/>
            <w:vAlign w:val="bottom"/>
            <w:tcBorders>
              <w:bottom w:val="single" w:sz="8" w:color="E7E7E8"/>
              <w:right w:val="single" w:sz="8" w:color="auto"/>
            </w:tcBorders>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960" w:type="dxa"/>
            <w:vAlign w:val="bottom"/>
            <w:tcBorders>
              <w:top w:val="single" w:sz="8" w:color="auto"/>
              <w:bottom w:val="single" w:sz="8" w:color="E7E7E8"/>
              <w:right w:val="single" w:sz="8" w:color="E7E7E8"/>
            </w:tcBorders>
            <w:gridSpan w:val="4"/>
            <w:shd w:val="clear" w:color="auto" w:fill="E7E7E8"/>
          </w:tcPr>
          <w:p>
            <w:pPr>
              <w:spacing w:after="0"/>
              <w:rPr>
                <w:sz w:val="20"/>
                <w:szCs w:val="20"/>
                <w:color w:val="auto"/>
              </w:rPr>
            </w:pPr>
            <w:r>
              <w:rPr>
                <w:rFonts w:ascii="Arial" w:cs="Arial" w:eastAsia="Arial" w:hAnsi="Arial"/>
                <w:sz w:val="12"/>
                <w:szCs w:val="12"/>
                <w:b w:val="1"/>
                <w:bCs w:val="1"/>
                <w:color w:val="auto"/>
              </w:rPr>
              <w:t>Number of Directors Who Identify in Any of the Categories Below</w:t>
            </w:r>
          </w:p>
        </w:tc>
        <w:tc>
          <w:tcPr>
            <w:tcW w:w="440" w:type="dxa"/>
            <w:vAlign w:val="bottom"/>
            <w:tcBorders>
              <w:top w:val="single" w:sz="8" w:color="auto"/>
              <w:bottom w:val="single" w:sz="8" w:color="E7E7E8"/>
              <w:right w:val="single" w:sz="8" w:color="E7E7E8"/>
            </w:tcBorders>
            <w:shd w:val="clear" w:color="auto" w:fill="E7E7E8"/>
          </w:tcPr>
          <w:p>
            <w:pPr>
              <w:spacing w:after="0"/>
              <w:rPr>
                <w:sz w:val="16"/>
                <w:szCs w:val="16"/>
                <w:color w:val="auto"/>
              </w:rPr>
            </w:pPr>
          </w:p>
        </w:tc>
        <w:tc>
          <w:tcPr>
            <w:tcW w:w="400" w:type="dxa"/>
            <w:vAlign w:val="bottom"/>
            <w:tcBorders>
              <w:top w:val="single" w:sz="8" w:color="auto"/>
              <w:bottom w:val="single" w:sz="8" w:color="E7E7E8"/>
              <w:right w:val="single" w:sz="8" w:color="E7E7E8"/>
            </w:tcBorders>
            <w:shd w:val="clear" w:color="auto" w:fill="E7E7E8"/>
          </w:tcPr>
          <w:p>
            <w:pPr>
              <w:spacing w:after="0"/>
              <w:rPr>
                <w:sz w:val="16"/>
                <w:szCs w:val="16"/>
                <w:color w:val="auto"/>
              </w:rPr>
            </w:pPr>
          </w:p>
        </w:tc>
        <w:tc>
          <w:tcPr>
            <w:tcW w:w="840" w:type="dxa"/>
            <w:vAlign w:val="bottom"/>
            <w:tcBorders>
              <w:top w:val="single" w:sz="8" w:color="auto"/>
              <w:bottom w:val="single" w:sz="8" w:color="E7E7E8"/>
              <w:right w:val="single" w:sz="8" w:color="E7E7E8"/>
            </w:tcBorders>
            <w:shd w:val="clear" w:color="auto" w:fill="E7E7E8"/>
          </w:tcPr>
          <w:p>
            <w:pPr>
              <w:spacing w:after="0"/>
              <w:rPr>
                <w:sz w:val="16"/>
                <w:szCs w:val="16"/>
                <w:color w:val="auto"/>
              </w:rPr>
            </w:pPr>
          </w:p>
        </w:tc>
        <w:tc>
          <w:tcPr>
            <w:tcW w:w="120" w:type="dxa"/>
            <w:vAlign w:val="bottom"/>
            <w:tcBorders>
              <w:top w:val="single" w:sz="8" w:color="auto"/>
              <w:bottom w:val="single" w:sz="8" w:color="E7E7E8"/>
              <w:right w:val="single" w:sz="8" w:color="E7E7E8"/>
            </w:tcBorders>
            <w:shd w:val="clear" w:color="auto" w:fill="E7E7E8"/>
          </w:tcPr>
          <w:p>
            <w:pPr>
              <w:spacing w:after="0"/>
              <w:rPr>
                <w:sz w:val="16"/>
                <w:szCs w:val="16"/>
                <w:color w:val="auto"/>
              </w:rPr>
            </w:pPr>
          </w:p>
        </w:tc>
        <w:tc>
          <w:tcPr>
            <w:tcW w:w="620" w:type="dxa"/>
            <w:vAlign w:val="bottom"/>
            <w:tcBorders>
              <w:top w:val="single" w:sz="8" w:color="auto"/>
              <w:bottom w:val="single" w:sz="8" w:color="E7E7E8"/>
            </w:tcBorders>
            <w:shd w:val="clear" w:color="auto" w:fill="E7E7E8"/>
          </w:tcPr>
          <w:p>
            <w:pPr>
              <w:spacing w:after="0"/>
              <w:rPr>
                <w:sz w:val="16"/>
                <w:szCs w:val="16"/>
                <w:color w:val="auto"/>
              </w:rPr>
            </w:pPr>
          </w:p>
        </w:tc>
        <w:tc>
          <w:tcPr>
            <w:tcW w:w="80" w:type="dxa"/>
            <w:vAlign w:val="bottom"/>
            <w:tcBorders>
              <w:top w:val="single" w:sz="8" w:color="auto"/>
              <w:bottom w:val="single" w:sz="8" w:color="E7E7E8"/>
              <w:right w:val="single" w:sz="8" w:color="E7E7E8"/>
            </w:tcBorders>
            <w:shd w:val="clear" w:color="auto" w:fill="E7E7E8"/>
          </w:tcPr>
          <w:p>
            <w:pPr>
              <w:spacing w:after="0"/>
              <w:rPr>
                <w:sz w:val="16"/>
                <w:szCs w:val="16"/>
                <w:color w:val="auto"/>
              </w:rPr>
            </w:pPr>
          </w:p>
        </w:tc>
        <w:tc>
          <w:tcPr>
            <w:tcW w:w="640" w:type="dxa"/>
            <w:vAlign w:val="bottom"/>
            <w:tcBorders>
              <w:top w:val="single" w:sz="8" w:color="auto"/>
              <w:bottom w:val="single" w:sz="8" w:color="E7E7E8"/>
              <w:right w:val="single" w:sz="8" w:color="E7E7E8"/>
            </w:tcBorders>
            <w:shd w:val="clear" w:color="auto" w:fill="E7E7E8"/>
          </w:tcPr>
          <w:p>
            <w:pPr>
              <w:spacing w:after="0"/>
              <w:rPr>
                <w:sz w:val="16"/>
                <w:szCs w:val="16"/>
                <w:color w:val="auto"/>
              </w:rPr>
            </w:pPr>
          </w:p>
        </w:tc>
        <w:tc>
          <w:tcPr>
            <w:tcW w:w="120" w:type="dxa"/>
            <w:vAlign w:val="bottom"/>
            <w:tcBorders>
              <w:top w:val="single" w:sz="8" w:color="auto"/>
              <w:bottom w:val="single" w:sz="8" w:color="E7E7E8"/>
              <w:right w:val="single" w:sz="8" w:color="E7E7E8"/>
            </w:tcBorders>
            <w:shd w:val="clear" w:color="auto" w:fill="E7E7E8"/>
          </w:tcPr>
          <w:p>
            <w:pPr>
              <w:spacing w:after="0"/>
              <w:rPr>
                <w:sz w:val="16"/>
                <w:szCs w:val="16"/>
                <w:color w:val="auto"/>
              </w:rPr>
            </w:pPr>
          </w:p>
        </w:tc>
        <w:tc>
          <w:tcPr>
            <w:tcW w:w="720" w:type="dxa"/>
            <w:vAlign w:val="bottom"/>
            <w:tcBorders>
              <w:top w:val="single" w:sz="8" w:color="auto"/>
              <w:bottom w:val="single" w:sz="8" w:color="E7E7E8"/>
              <w:right w:val="single" w:sz="8" w:color="E7E7E8"/>
            </w:tcBorders>
            <w:shd w:val="clear" w:color="auto" w:fill="E7E7E8"/>
          </w:tcPr>
          <w:p>
            <w:pPr>
              <w:spacing w:after="0"/>
              <w:rPr>
                <w:sz w:val="16"/>
                <w:szCs w:val="16"/>
                <w:color w:val="auto"/>
              </w:rPr>
            </w:pPr>
          </w:p>
        </w:tc>
        <w:tc>
          <w:tcPr>
            <w:tcW w:w="520" w:type="dxa"/>
            <w:vAlign w:val="bottom"/>
            <w:tcBorders>
              <w:top w:val="single" w:sz="8" w:color="auto"/>
              <w:bottom w:val="single" w:sz="8" w:color="E7E7E8"/>
              <w:right w:val="single" w:sz="8" w:color="E7E7E8"/>
            </w:tcBorders>
            <w:shd w:val="clear" w:color="auto" w:fill="E7E7E8"/>
          </w:tcPr>
          <w:p>
            <w:pPr>
              <w:spacing w:after="0"/>
              <w:rPr>
                <w:sz w:val="16"/>
                <w:szCs w:val="16"/>
                <w:color w:val="auto"/>
              </w:rPr>
            </w:pPr>
          </w:p>
        </w:tc>
        <w:tc>
          <w:tcPr>
            <w:tcW w:w="260" w:type="dxa"/>
            <w:vAlign w:val="bottom"/>
            <w:tcBorders>
              <w:top w:val="single" w:sz="8" w:color="auto"/>
              <w:bottom w:val="single" w:sz="8" w:color="E7E7E8"/>
              <w:right w:val="single" w:sz="8" w:color="E7E7E8"/>
            </w:tcBorders>
            <w:shd w:val="clear" w:color="auto" w:fill="E7E7E8"/>
          </w:tcPr>
          <w:p>
            <w:pPr>
              <w:spacing w:after="0"/>
              <w:rPr>
                <w:sz w:val="16"/>
                <w:szCs w:val="16"/>
                <w:color w:val="auto"/>
              </w:rPr>
            </w:pPr>
          </w:p>
        </w:tc>
        <w:tc>
          <w:tcPr>
            <w:tcW w:w="840" w:type="dxa"/>
            <w:vAlign w:val="bottom"/>
            <w:tcBorders>
              <w:top w:val="single" w:sz="8" w:color="auto"/>
              <w:bottom w:val="single" w:sz="8" w:color="E7E7E8"/>
              <w:right w:val="single" w:sz="8" w:color="E7E7E8"/>
            </w:tcBorders>
            <w:shd w:val="clear" w:color="auto" w:fill="E7E7E8"/>
          </w:tcPr>
          <w:p>
            <w:pPr>
              <w:spacing w:after="0"/>
              <w:rPr>
                <w:sz w:val="16"/>
                <w:szCs w:val="16"/>
                <w:color w:val="auto"/>
              </w:rPr>
            </w:pPr>
          </w:p>
        </w:tc>
        <w:tc>
          <w:tcPr>
            <w:tcW w:w="40" w:type="dxa"/>
            <w:vAlign w:val="bottom"/>
            <w:tcBorders>
              <w:top w:val="single" w:sz="8" w:color="auto"/>
              <w:bottom w:val="single" w:sz="8" w:color="E7E7E8"/>
            </w:tcBorders>
            <w:shd w:val="clear" w:color="auto" w:fill="E7E7E8"/>
          </w:tcPr>
          <w:p>
            <w:pPr>
              <w:spacing w:after="0"/>
              <w:rPr>
                <w:sz w:val="16"/>
                <w:szCs w:val="16"/>
                <w:color w:val="auto"/>
              </w:rPr>
            </w:pPr>
          </w:p>
        </w:tc>
        <w:tc>
          <w:tcPr>
            <w:tcW w:w="540" w:type="dxa"/>
            <w:vAlign w:val="bottom"/>
            <w:tcBorders>
              <w:top w:val="single" w:sz="8" w:color="auto"/>
              <w:bottom w:val="single" w:sz="8" w:color="E7E7E8"/>
            </w:tcBorders>
            <w:shd w:val="clear" w:color="auto" w:fill="E7E7E8"/>
          </w:tcPr>
          <w:p>
            <w:pPr>
              <w:spacing w:after="0"/>
              <w:rPr>
                <w:sz w:val="16"/>
                <w:szCs w:val="16"/>
                <w:color w:val="auto"/>
              </w:rPr>
            </w:pPr>
          </w:p>
        </w:tc>
        <w:tc>
          <w:tcPr>
            <w:tcW w:w="120" w:type="dxa"/>
            <w:vAlign w:val="bottom"/>
            <w:tcBorders>
              <w:top w:val="single" w:sz="8" w:color="auto"/>
              <w:bottom w:val="single" w:sz="8" w:color="E7E7E8"/>
              <w:right w:val="single" w:sz="8" w:color="auto"/>
            </w:tcBorders>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88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Arial" w:cs="Arial" w:eastAsia="Arial" w:hAnsi="Arial"/>
                <w:sz w:val="12"/>
                <w:szCs w:val="12"/>
                <w:b w:val="1"/>
                <w:bCs w:val="1"/>
                <w:color w:val="auto"/>
              </w:rPr>
              <w:t>African American or Black</w:t>
            </w:r>
          </w:p>
        </w:tc>
        <w:tc>
          <w:tcPr>
            <w:tcW w:w="1320" w:type="dxa"/>
            <w:vAlign w:val="bottom"/>
            <w:tcBorders>
              <w:top w:val="single" w:sz="8" w:color="auto"/>
              <w:bottom w:val="single" w:sz="8" w:color="CCEEFF"/>
              <w:right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CCEEFF"/>
              <w:right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CCEEFF"/>
              <w:right w:val="single" w:sz="8" w:color="auto"/>
            </w:tcBorders>
            <w:shd w:val="clear" w:color="auto" w:fill="CCEEFF"/>
          </w:tcPr>
          <w:p>
            <w:pPr>
              <w:spacing w:after="0"/>
              <w:rPr>
                <w:sz w:val="16"/>
                <w:szCs w:val="16"/>
                <w:color w:val="auto"/>
              </w:rPr>
            </w:pPr>
          </w:p>
        </w:tc>
        <w:tc>
          <w:tcPr>
            <w:tcW w:w="400" w:type="dxa"/>
            <w:vAlign w:val="bottom"/>
            <w:tcBorders>
              <w:top w:val="single" w:sz="8" w:color="auto"/>
              <w:bottom w:val="single" w:sz="8" w:color="CCEEFF"/>
              <w:right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right w:val="single" w:sz="8" w:color="CCEEFF"/>
            </w:tcBorders>
            <w:shd w:val="clear" w:color="auto" w:fill="CCEEFF"/>
          </w:tcPr>
          <w:p>
            <w:pPr>
              <w:jc w:val="center"/>
              <w:ind w:right="233"/>
              <w:spacing w:after="0"/>
              <w:rPr>
                <w:sz w:val="20"/>
                <w:szCs w:val="20"/>
                <w:color w:val="auto"/>
              </w:rPr>
            </w:pPr>
            <w:r>
              <w:rPr>
                <w:rFonts w:ascii="Arial" w:cs="Arial" w:eastAsia="Arial" w:hAnsi="Arial"/>
                <w:sz w:val="12"/>
                <w:szCs w:val="12"/>
                <w:b w:val="1"/>
                <w:bCs w:val="1"/>
                <w:color w:val="28C0DA"/>
                <w:w w:val="89"/>
              </w:rPr>
              <w:t>1</w:t>
            </w:r>
          </w:p>
        </w:tc>
        <w:tc>
          <w:tcPr>
            <w:tcW w:w="120" w:type="dxa"/>
            <w:vAlign w:val="bottom"/>
            <w:tcBorders>
              <w:top w:val="single" w:sz="8" w:color="auto"/>
              <w:bottom w:val="single" w:sz="8" w:color="CCEEFF"/>
              <w:right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E7E7E8"/>
            </w:tcBorders>
            <w:shd w:val="clear" w:color="auto" w:fill="E7E7E8"/>
          </w:tcPr>
          <w:p>
            <w:pPr>
              <w:spacing w:after="0"/>
              <w:rPr>
                <w:sz w:val="16"/>
                <w:szCs w:val="16"/>
                <w:color w:val="auto"/>
              </w:rPr>
            </w:pPr>
          </w:p>
        </w:tc>
        <w:tc>
          <w:tcPr>
            <w:tcW w:w="80" w:type="dxa"/>
            <w:vAlign w:val="bottom"/>
            <w:tcBorders>
              <w:top w:val="single" w:sz="8" w:color="auto"/>
              <w:bottom w:val="single" w:sz="8" w:color="E7E7E8"/>
              <w:right w:val="single" w:sz="8" w:color="E7E7E8"/>
            </w:tcBorders>
            <w:shd w:val="clear" w:color="auto" w:fill="E7E7E8"/>
          </w:tcPr>
          <w:p>
            <w:pPr>
              <w:jc w:val="center"/>
              <w:spacing w:after="0"/>
              <w:rPr>
                <w:sz w:val="20"/>
                <w:szCs w:val="20"/>
                <w:color w:val="auto"/>
              </w:rPr>
            </w:pPr>
            <w:r>
              <w:rPr>
                <w:rFonts w:ascii="Arial" w:cs="Arial" w:eastAsia="Arial" w:hAnsi="Arial"/>
                <w:sz w:val="12"/>
                <w:szCs w:val="12"/>
                <w:b w:val="1"/>
                <w:bCs w:val="1"/>
                <w:color w:val="28C0DA"/>
                <w:w w:val="89"/>
              </w:rPr>
              <w:t>1</w:t>
            </w:r>
          </w:p>
        </w:tc>
        <w:tc>
          <w:tcPr>
            <w:tcW w:w="640" w:type="dxa"/>
            <w:vAlign w:val="bottom"/>
            <w:tcBorders>
              <w:top w:val="single" w:sz="8" w:color="auto"/>
              <w:bottom w:val="single" w:sz="8" w:color="E7E7E8"/>
              <w:right w:val="single" w:sz="8" w:color="auto"/>
            </w:tcBorders>
            <w:shd w:val="clear" w:color="auto" w:fill="E7E7E8"/>
          </w:tcPr>
          <w:p>
            <w:pPr>
              <w:spacing w:after="0"/>
              <w:rPr>
                <w:sz w:val="16"/>
                <w:szCs w:val="16"/>
                <w:color w:val="auto"/>
              </w:rPr>
            </w:pPr>
          </w:p>
        </w:tc>
        <w:tc>
          <w:tcPr>
            <w:tcW w:w="120" w:type="dxa"/>
            <w:vAlign w:val="bottom"/>
            <w:tcBorders>
              <w:top w:val="single" w:sz="8" w:color="auto"/>
              <w:bottom w:val="single" w:sz="8" w:color="CCEEFF"/>
              <w:right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right w:val="single" w:sz="8" w:color="CCEEFF"/>
            </w:tcBorders>
            <w:shd w:val="clear" w:color="auto" w:fill="CCEEFF"/>
          </w:tcPr>
          <w:p>
            <w:pPr>
              <w:jc w:val="center"/>
              <w:ind w:left="310"/>
              <w:spacing w:after="0"/>
              <w:rPr>
                <w:sz w:val="20"/>
                <w:szCs w:val="20"/>
                <w:color w:val="auto"/>
              </w:rPr>
            </w:pPr>
            <w:r>
              <w:rPr>
                <w:rFonts w:ascii="Arial" w:cs="Arial" w:eastAsia="Arial" w:hAnsi="Arial"/>
                <w:sz w:val="12"/>
                <w:szCs w:val="12"/>
                <w:b w:val="1"/>
                <w:bCs w:val="1"/>
                <w:color w:val="28C0DA"/>
                <w:w w:val="89"/>
              </w:rPr>
              <w:t>0</w:t>
            </w:r>
          </w:p>
        </w:tc>
        <w:tc>
          <w:tcPr>
            <w:tcW w:w="520" w:type="dxa"/>
            <w:vAlign w:val="bottom"/>
            <w:tcBorders>
              <w:top w:val="single" w:sz="8" w:color="auto"/>
              <w:bottom w:val="single" w:sz="8" w:color="CCEEFF"/>
              <w:right w:val="single" w:sz="8" w:color="auto"/>
            </w:tcBorders>
            <w:shd w:val="clear" w:color="auto" w:fill="CCEEFF"/>
          </w:tcPr>
          <w:p>
            <w:pPr>
              <w:spacing w:after="0"/>
              <w:rPr>
                <w:sz w:val="16"/>
                <w:szCs w:val="16"/>
                <w:color w:val="auto"/>
              </w:rPr>
            </w:pPr>
          </w:p>
        </w:tc>
        <w:tc>
          <w:tcPr>
            <w:tcW w:w="260" w:type="dxa"/>
            <w:vAlign w:val="bottom"/>
            <w:tcBorders>
              <w:top w:val="single" w:sz="8" w:color="auto"/>
              <w:bottom w:val="single" w:sz="8" w:color="E7E7E8"/>
              <w:right w:val="single" w:sz="8" w:color="E7E7E8"/>
            </w:tcBorders>
            <w:shd w:val="clear" w:color="auto" w:fill="E7E7E8"/>
          </w:tcPr>
          <w:p>
            <w:pPr>
              <w:spacing w:after="0"/>
              <w:rPr>
                <w:sz w:val="16"/>
                <w:szCs w:val="16"/>
                <w:color w:val="auto"/>
              </w:rPr>
            </w:pPr>
          </w:p>
        </w:tc>
        <w:tc>
          <w:tcPr>
            <w:tcW w:w="840" w:type="dxa"/>
            <w:vAlign w:val="bottom"/>
            <w:tcBorders>
              <w:top w:val="single" w:sz="8" w:color="auto"/>
              <w:bottom w:val="single" w:sz="8" w:color="E7E7E8"/>
              <w:right w:val="single" w:sz="8" w:color="E7E7E8"/>
            </w:tcBorders>
            <w:shd w:val="clear" w:color="auto" w:fill="E7E7E8"/>
          </w:tcPr>
          <w:p>
            <w:pPr>
              <w:jc w:val="center"/>
              <w:ind w:left="334"/>
              <w:spacing w:after="0"/>
              <w:rPr>
                <w:sz w:val="20"/>
                <w:szCs w:val="20"/>
                <w:color w:val="auto"/>
              </w:rPr>
            </w:pPr>
            <w:r>
              <w:rPr>
                <w:rFonts w:ascii="Arial" w:cs="Arial" w:eastAsia="Arial" w:hAnsi="Arial"/>
                <w:sz w:val="12"/>
                <w:szCs w:val="12"/>
                <w:b w:val="1"/>
                <w:bCs w:val="1"/>
                <w:color w:val="28C0DA"/>
              </w:rPr>
              <w:t>0</w:t>
            </w:r>
          </w:p>
        </w:tc>
        <w:tc>
          <w:tcPr>
            <w:tcW w:w="40" w:type="dxa"/>
            <w:vAlign w:val="bottom"/>
            <w:tcBorders>
              <w:top w:val="single" w:sz="8" w:color="auto"/>
              <w:bottom w:val="single" w:sz="8" w:color="E7E7E8"/>
            </w:tcBorders>
            <w:shd w:val="clear" w:color="auto" w:fill="E7E7E8"/>
          </w:tcPr>
          <w:p>
            <w:pPr>
              <w:spacing w:after="0"/>
              <w:rPr>
                <w:sz w:val="16"/>
                <w:szCs w:val="16"/>
                <w:color w:val="auto"/>
              </w:rPr>
            </w:pPr>
          </w:p>
        </w:tc>
        <w:tc>
          <w:tcPr>
            <w:tcW w:w="540" w:type="dxa"/>
            <w:vAlign w:val="bottom"/>
            <w:tcBorders>
              <w:top w:val="single" w:sz="8" w:color="auto"/>
              <w:bottom w:val="single" w:sz="8" w:color="E7E7E8"/>
            </w:tcBorders>
            <w:shd w:val="clear" w:color="auto" w:fill="E7E7E8"/>
          </w:tcPr>
          <w:p>
            <w:pPr>
              <w:spacing w:after="0"/>
              <w:rPr>
                <w:sz w:val="16"/>
                <w:szCs w:val="16"/>
                <w:color w:val="auto"/>
              </w:rPr>
            </w:pPr>
          </w:p>
        </w:tc>
        <w:tc>
          <w:tcPr>
            <w:tcW w:w="120" w:type="dxa"/>
            <w:vAlign w:val="bottom"/>
            <w:tcBorders>
              <w:top w:val="single" w:sz="8" w:color="auto"/>
              <w:bottom w:val="single" w:sz="8" w:color="E7E7E8"/>
              <w:right w:val="single" w:sz="8" w:color="auto"/>
            </w:tcBorders>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880" w:type="dxa"/>
            <w:vAlign w:val="bottom"/>
            <w:tcBorders>
              <w:top w:val="single" w:sz="8" w:color="auto"/>
            </w:tcBorders>
            <w:gridSpan w:val="2"/>
          </w:tcPr>
          <w:p>
            <w:pPr>
              <w:spacing w:after="0"/>
              <w:rPr>
                <w:sz w:val="20"/>
                <w:szCs w:val="20"/>
                <w:color w:val="auto"/>
              </w:rPr>
            </w:pPr>
            <w:r>
              <w:rPr>
                <w:rFonts w:ascii="Arial" w:cs="Arial" w:eastAsia="Arial" w:hAnsi="Arial"/>
                <w:sz w:val="12"/>
                <w:szCs w:val="12"/>
                <w:b w:val="1"/>
                <w:bCs w:val="1"/>
                <w:color w:val="auto"/>
              </w:rPr>
              <w:t>Alaskan Native or Native American</w:t>
            </w:r>
          </w:p>
        </w:tc>
        <w:tc>
          <w:tcPr>
            <w:tcW w:w="13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40" w:type="dxa"/>
            <w:vAlign w:val="bottom"/>
            <w:tcBorders>
              <w:top w:val="single" w:sz="8" w:color="auto"/>
              <w:right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center"/>
              <w:ind w:right="233"/>
              <w:spacing w:after="0"/>
              <w:rPr>
                <w:sz w:val="20"/>
                <w:szCs w:val="20"/>
                <w:color w:val="auto"/>
              </w:rPr>
            </w:pPr>
            <w:r>
              <w:rPr>
                <w:rFonts w:ascii="Arial" w:cs="Arial" w:eastAsia="Arial" w:hAnsi="Arial"/>
                <w:sz w:val="12"/>
                <w:szCs w:val="12"/>
                <w:b w:val="1"/>
                <w:bCs w:val="1"/>
                <w:color w:val="28C0DA"/>
                <w:w w:val="89"/>
              </w:rPr>
              <w:t>0</w:t>
            </w:r>
          </w:p>
        </w:tc>
        <w:tc>
          <w:tcPr>
            <w:tcW w:w="120" w:type="dxa"/>
            <w:vAlign w:val="bottom"/>
            <w:tcBorders>
              <w:top w:val="single" w:sz="8" w:color="auto"/>
              <w:right w:val="single" w:sz="8" w:color="auto"/>
            </w:tcBorders>
          </w:tcPr>
          <w:p>
            <w:pPr>
              <w:spacing w:after="0"/>
              <w:rPr>
                <w:sz w:val="16"/>
                <w:szCs w:val="16"/>
                <w:color w:val="auto"/>
              </w:rPr>
            </w:pPr>
          </w:p>
        </w:tc>
        <w:tc>
          <w:tcPr>
            <w:tcW w:w="620" w:type="dxa"/>
            <w:vAlign w:val="bottom"/>
            <w:tcBorders>
              <w:top w:val="single" w:sz="8" w:color="auto"/>
              <w:bottom w:val="single" w:sz="8" w:color="E7E7E8"/>
            </w:tcBorders>
            <w:shd w:val="clear" w:color="auto" w:fill="E7E7E8"/>
          </w:tcPr>
          <w:p>
            <w:pPr>
              <w:spacing w:after="0"/>
              <w:rPr>
                <w:sz w:val="16"/>
                <w:szCs w:val="16"/>
                <w:color w:val="auto"/>
              </w:rPr>
            </w:pPr>
          </w:p>
        </w:tc>
        <w:tc>
          <w:tcPr>
            <w:tcW w:w="80" w:type="dxa"/>
            <w:vAlign w:val="bottom"/>
            <w:tcBorders>
              <w:top w:val="single" w:sz="8" w:color="auto"/>
              <w:bottom w:val="single" w:sz="8" w:color="E7E7E8"/>
              <w:right w:val="single" w:sz="8" w:color="E7E7E8"/>
            </w:tcBorders>
            <w:shd w:val="clear" w:color="auto" w:fill="E7E7E8"/>
          </w:tcPr>
          <w:p>
            <w:pPr>
              <w:jc w:val="center"/>
              <w:spacing w:after="0"/>
              <w:rPr>
                <w:sz w:val="20"/>
                <w:szCs w:val="20"/>
                <w:color w:val="auto"/>
              </w:rPr>
            </w:pPr>
            <w:r>
              <w:rPr>
                <w:rFonts w:ascii="Arial" w:cs="Arial" w:eastAsia="Arial" w:hAnsi="Arial"/>
                <w:sz w:val="12"/>
                <w:szCs w:val="12"/>
                <w:b w:val="1"/>
                <w:bCs w:val="1"/>
                <w:color w:val="28C0DA"/>
                <w:w w:val="89"/>
              </w:rPr>
              <w:t>0</w:t>
            </w:r>
          </w:p>
        </w:tc>
        <w:tc>
          <w:tcPr>
            <w:tcW w:w="640" w:type="dxa"/>
            <w:vAlign w:val="bottom"/>
            <w:tcBorders>
              <w:top w:val="single" w:sz="8" w:color="auto"/>
              <w:bottom w:val="single" w:sz="8" w:color="E7E7E8"/>
              <w:right w:val="single" w:sz="8" w:color="auto"/>
            </w:tcBorders>
            <w:shd w:val="clear" w:color="auto" w:fill="E7E7E8"/>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center"/>
              <w:ind w:left="310"/>
              <w:spacing w:after="0"/>
              <w:rPr>
                <w:sz w:val="20"/>
                <w:szCs w:val="20"/>
                <w:color w:val="auto"/>
              </w:rPr>
            </w:pPr>
            <w:r>
              <w:rPr>
                <w:rFonts w:ascii="Arial" w:cs="Arial" w:eastAsia="Arial" w:hAnsi="Arial"/>
                <w:sz w:val="12"/>
                <w:szCs w:val="12"/>
                <w:b w:val="1"/>
                <w:bCs w:val="1"/>
                <w:color w:val="28C0DA"/>
                <w:w w:val="89"/>
              </w:rPr>
              <w:t>0</w:t>
            </w:r>
          </w:p>
        </w:tc>
        <w:tc>
          <w:tcPr>
            <w:tcW w:w="520" w:type="dxa"/>
            <w:vAlign w:val="bottom"/>
            <w:tcBorders>
              <w:top w:val="single" w:sz="8" w:color="auto"/>
              <w:right w:val="single" w:sz="8" w:color="auto"/>
            </w:tcBorders>
          </w:tcPr>
          <w:p>
            <w:pPr>
              <w:spacing w:after="0"/>
              <w:rPr>
                <w:sz w:val="16"/>
                <w:szCs w:val="16"/>
                <w:color w:val="auto"/>
              </w:rPr>
            </w:pPr>
          </w:p>
        </w:tc>
        <w:tc>
          <w:tcPr>
            <w:tcW w:w="260" w:type="dxa"/>
            <w:vAlign w:val="bottom"/>
            <w:tcBorders>
              <w:top w:val="single" w:sz="8" w:color="auto"/>
              <w:bottom w:val="single" w:sz="8" w:color="E7E7E8"/>
              <w:right w:val="single" w:sz="8" w:color="E7E7E8"/>
            </w:tcBorders>
            <w:shd w:val="clear" w:color="auto" w:fill="E7E7E8"/>
          </w:tcPr>
          <w:p>
            <w:pPr>
              <w:spacing w:after="0"/>
              <w:rPr>
                <w:sz w:val="16"/>
                <w:szCs w:val="16"/>
                <w:color w:val="auto"/>
              </w:rPr>
            </w:pPr>
          </w:p>
        </w:tc>
        <w:tc>
          <w:tcPr>
            <w:tcW w:w="840" w:type="dxa"/>
            <w:vAlign w:val="bottom"/>
            <w:tcBorders>
              <w:top w:val="single" w:sz="8" w:color="auto"/>
              <w:bottom w:val="single" w:sz="8" w:color="E7E7E8"/>
              <w:right w:val="single" w:sz="8" w:color="E7E7E8"/>
            </w:tcBorders>
            <w:shd w:val="clear" w:color="auto" w:fill="E7E7E8"/>
          </w:tcPr>
          <w:p>
            <w:pPr>
              <w:jc w:val="center"/>
              <w:ind w:left="334"/>
              <w:spacing w:after="0"/>
              <w:rPr>
                <w:sz w:val="20"/>
                <w:szCs w:val="20"/>
                <w:color w:val="auto"/>
              </w:rPr>
            </w:pPr>
            <w:r>
              <w:rPr>
                <w:rFonts w:ascii="Arial" w:cs="Arial" w:eastAsia="Arial" w:hAnsi="Arial"/>
                <w:sz w:val="12"/>
                <w:szCs w:val="12"/>
                <w:b w:val="1"/>
                <w:bCs w:val="1"/>
                <w:color w:val="28C0DA"/>
              </w:rPr>
              <w:t>0</w:t>
            </w:r>
          </w:p>
        </w:tc>
        <w:tc>
          <w:tcPr>
            <w:tcW w:w="40" w:type="dxa"/>
            <w:vAlign w:val="bottom"/>
            <w:tcBorders>
              <w:top w:val="single" w:sz="8" w:color="auto"/>
              <w:bottom w:val="single" w:sz="8" w:color="E7E7E8"/>
            </w:tcBorders>
            <w:shd w:val="clear" w:color="auto" w:fill="E7E7E8"/>
          </w:tcPr>
          <w:p>
            <w:pPr>
              <w:spacing w:after="0"/>
              <w:rPr>
                <w:sz w:val="16"/>
                <w:szCs w:val="16"/>
                <w:color w:val="auto"/>
              </w:rPr>
            </w:pPr>
          </w:p>
        </w:tc>
        <w:tc>
          <w:tcPr>
            <w:tcW w:w="540" w:type="dxa"/>
            <w:vAlign w:val="bottom"/>
            <w:tcBorders>
              <w:top w:val="single" w:sz="8" w:color="auto"/>
              <w:bottom w:val="single" w:sz="8" w:color="E7E7E8"/>
            </w:tcBorders>
            <w:shd w:val="clear" w:color="auto" w:fill="E7E7E8"/>
          </w:tcPr>
          <w:p>
            <w:pPr>
              <w:spacing w:after="0"/>
              <w:rPr>
                <w:sz w:val="16"/>
                <w:szCs w:val="16"/>
                <w:color w:val="auto"/>
              </w:rPr>
            </w:pPr>
          </w:p>
        </w:tc>
        <w:tc>
          <w:tcPr>
            <w:tcW w:w="120" w:type="dxa"/>
            <w:vAlign w:val="bottom"/>
            <w:tcBorders>
              <w:top w:val="single" w:sz="8" w:color="auto"/>
              <w:bottom w:val="single" w:sz="8" w:color="E7E7E8"/>
              <w:right w:val="single" w:sz="8" w:color="auto"/>
            </w:tcBorders>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Asian</w:t>
            </w:r>
          </w:p>
        </w:tc>
        <w:tc>
          <w:tcPr>
            <w:tcW w:w="2340" w:type="dxa"/>
            <w:vAlign w:val="bottom"/>
            <w:tcBorders>
              <w:top w:val="single" w:sz="8" w:color="auto"/>
              <w:bottom w:val="single" w:sz="8" w:color="CCEEFF"/>
            </w:tcBorders>
            <w:shd w:val="clear" w:color="auto" w:fill="CCEEFF"/>
          </w:tcPr>
          <w:p>
            <w:pPr>
              <w:spacing w:after="0"/>
              <w:rPr>
                <w:sz w:val="16"/>
                <w:szCs w:val="16"/>
                <w:color w:val="auto"/>
              </w:rPr>
            </w:pPr>
          </w:p>
        </w:tc>
        <w:tc>
          <w:tcPr>
            <w:tcW w:w="1320" w:type="dxa"/>
            <w:vAlign w:val="bottom"/>
            <w:tcBorders>
              <w:top w:val="single" w:sz="8" w:color="auto"/>
              <w:bottom w:val="single" w:sz="8" w:color="CCEEFF"/>
              <w:right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CCEEFF"/>
              <w:right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CCEEFF"/>
              <w:right w:val="single" w:sz="8" w:color="auto"/>
            </w:tcBorders>
            <w:shd w:val="clear" w:color="auto" w:fill="CCEEFF"/>
          </w:tcPr>
          <w:p>
            <w:pPr>
              <w:spacing w:after="0"/>
              <w:rPr>
                <w:sz w:val="16"/>
                <w:szCs w:val="16"/>
                <w:color w:val="auto"/>
              </w:rPr>
            </w:pPr>
          </w:p>
        </w:tc>
        <w:tc>
          <w:tcPr>
            <w:tcW w:w="400" w:type="dxa"/>
            <w:vAlign w:val="bottom"/>
            <w:tcBorders>
              <w:top w:val="single" w:sz="8" w:color="auto"/>
              <w:bottom w:val="single" w:sz="8" w:color="CCEEFF"/>
              <w:right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right w:val="single" w:sz="8" w:color="CCEEFF"/>
            </w:tcBorders>
            <w:shd w:val="clear" w:color="auto" w:fill="CCEEFF"/>
          </w:tcPr>
          <w:p>
            <w:pPr>
              <w:jc w:val="center"/>
              <w:ind w:right="233"/>
              <w:spacing w:after="0"/>
              <w:rPr>
                <w:sz w:val="20"/>
                <w:szCs w:val="20"/>
                <w:color w:val="auto"/>
              </w:rPr>
            </w:pPr>
            <w:r>
              <w:rPr>
                <w:rFonts w:ascii="Arial" w:cs="Arial" w:eastAsia="Arial" w:hAnsi="Arial"/>
                <w:sz w:val="12"/>
                <w:szCs w:val="12"/>
                <w:b w:val="1"/>
                <w:bCs w:val="1"/>
                <w:color w:val="28C0DA"/>
                <w:w w:val="89"/>
              </w:rPr>
              <w:t>0</w:t>
            </w:r>
          </w:p>
        </w:tc>
        <w:tc>
          <w:tcPr>
            <w:tcW w:w="120" w:type="dxa"/>
            <w:vAlign w:val="bottom"/>
            <w:tcBorders>
              <w:top w:val="single" w:sz="8" w:color="auto"/>
              <w:bottom w:val="single" w:sz="8" w:color="CCEEFF"/>
              <w:right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E7E7E8"/>
            </w:tcBorders>
            <w:shd w:val="clear" w:color="auto" w:fill="E7E7E8"/>
          </w:tcPr>
          <w:p>
            <w:pPr>
              <w:spacing w:after="0"/>
              <w:rPr>
                <w:sz w:val="16"/>
                <w:szCs w:val="16"/>
                <w:color w:val="auto"/>
              </w:rPr>
            </w:pPr>
          </w:p>
        </w:tc>
        <w:tc>
          <w:tcPr>
            <w:tcW w:w="80" w:type="dxa"/>
            <w:vAlign w:val="bottom"/>
            <w:tcBorders>
              <w:top w:val="single" w:sz="8" w:color="auto"/>
              <w:bottom w:val="single" w:sz="8" w:color="E7E7E8"/>
              <w:right w:val="single" w:sz="8" w:color="E7E7E8"/>
            </w:tcBorders>
            <w:shd w:val="clear" w:color="auto" w:fill="E7E7E8"/>
          </w:tcPr>
          <w:p>
            <w:pPr>
              <w:jc w:val="center"/>
              <w:spacing w:after="0"/>
              <w:rPr>
                <w:sz w:val="20"/>
                <w:szCs w:val="20"/>
                <w:color w:val="auto"/>
              </w:rPr>
            </w:pPr>
            <w:r>
              <w:rPr>
                <w:rFonts w:ascii="Arial" w:cs="Arial" w:eastAsia="Arial" w:hAnsi="Arial"/>
                <w:sz w:val="12"/>
                <w:szCs w:val="12"/>
                <w:b w:val="1"/>
                <w:bCs w:val="1"/>
                <w:color w:val="28C0DA"/>
                <w:w w:val="89"/>
              </w:rPr>
              <w:t>0</w:t>
            </w:r>
          </w:p>
        </w:tc>
        <w:tc>
          <w:tcPr>
            <w:tcW w:w="640" w:type="dxa"/>
            <w:vAlign w:val="bottom"/>
            <w:tcBorders>
              <w:top w:val="single" w:sz="8" w:color="auto"/>
              <w:bottom w:val="single" w:sz="8" w:color="E7E7E8"/>
              <w:right w:val="single" w:sz="8" w:color="auto"/>
            </w:tcBorders>
            <w:shd w:val="clear" w:color="auto" w:fill="E7E7E8"/>
          </w:tcPr>
          <w:p>
            <w:pPr>
              <w:spacing w:after="0"/>
              <w:rPr>
                <w:sz w:val="16"/>
                <w:szCs w:val="16"/>
                <w:color w:val="auto"/>
              </w:rPr>
            </w:pPr>
          </w:p>
        </w:tc>
        <w:tc>
          <w:tcPr>
            <w:tcW w:w="120" w:type="dxa"/>
            <w:vAlign w:val="bottom"/>
            <w:tcBorders>
              <w:top w:val="single" w:sz="8" w:color="auto"/>
              <w:bottom w:val="single" w:sz="8" w:color="CCEEFF"/>
              <w:right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right w:val="single" w:sz="8" w:color="CCEEFF"/>
            </w:tcBorders>
            <w:shd w:val="clear" w:color="auto" w:fill="CCEEFF"/>
          </w:tcPr>
          <w:p>
            <w:pPr>
              <w:jc w:val="center"/>
              <w:ind w:left="310"/>
              <w:spacing w:after="0"/>
              <w:rPr>
                <w:sz w:val="20"/>
                <w:szCs w:val="20"/>
                <w:color w:val="auto"/>
              </w:rPr>
            </w:pPr>
            <w:r>
              <w:rPr>
                <w:rFonts w:ascii="Arial" w:cs="Arial" w:eastAsia="Arial" w:hAnsi="Arial"/>
                <w:sz w:val="12"/>
                <w:szCs w:val="12"/>
                <w:b w:val="1"/>
                <w:bCs w:val="1"/>
                <w:color w:val="28C0DA"/>
                <w:w w:val="89"/>
              </w:rPr>
              <w:t>0</w:t>
            </w:r>
          </w:p>
        </w:tc>
        <w:tc>
          <w:tcPr>
            <w:tcW w:w="520" w:type="dxa"/>
            <w:vAlign w:val="bottom"/>
            <w:tcBorders>
              <w:top w:val="single" w:sz="8" w:color="auto"/>
              <w:bottom w:val="single" w:sz="8" w:color="CCEEFF"/>
              <w:right w:val="single" w:sz="8" w:color="auto"/>
            </w:tcBorders>
            <w:shd w:val="clear" w:color="auto" w:fill="CCEEFF"/>
          </w:tcPr>
          <w:p>
            <w:pPr>
              <w:spacing w:after="0"/>
              <w:rPr>
                <w:sz w:val="16"/>
                <w:szCs w:val="16"/>
                <w:color w:val="auto"/>
              </w:rPr>
            </w:pPr>
          </w:p>
        </w:tc>
        <w:tc>
          <w:tcPr>
            <w:tcW w:w="260" w:type="dxa"/>
            <w:vAlign w:val="bottom"/>
            <w:tcBorders>
              <w:top w:val="single" w:sz="8" w:color="auto"/>
              <w:bottom w:val="single" w:sz="8" w:color="E7E7E8"/>
              <w:right w:val="single" w:sz="8" w:color="E7E7E8"/>
            </w:tcBorders>
            <w:shd w:val="clear" w:color="auto" w:fill="E7E7E8"/>
          </w:tcPr>
          <w:p>
            <w:pPr>
              <w:spacing w:after="0"/>
              <w:rPr>
                <w:sz w:val="16"/>
                <w:szCs w:val="16"/>
                <w:color w:val="auto"/>
              </w:rPr>
            </w:pPr>
          </w:p>
        </w:tc>
        <w:tc>
          <w:tcPr>
            <w:tcW w:w="840" w:type="dxa"/>
            <w:vAlign w:val="bottom"/>
            <w:tcBorders>
              <w:top w:val="single" w:sz="8" w:color="auto"/>
              <w:bottom w:val="single" w:sz="8" w:color="E7E7E8"/>
              <w:right w:val="single" w:sz="8" w:color="E7E7E8"/>
            </w:tcBorders>
            <w:shd w:val="clear" w:color="auto" w:fill="E7E7E8"/>
          </w:tcPr>
          <w:p>
            <w:pPr>
              <w:jc w:val="center"/>
              <w:ind w:left="334"/>
              <w:spacing w:after="0"/>
              <w:rPr>
                <w:sz w:val="20"/>
                <w:szCs w:val="20"/>
                <w:color w:val="auto"/>
              </w:rPr>
            </w:pPr>
            <w:r>
              <w:rPr>
                <w:rFonts w:ascii="Arial" w:cs="Arial" w:eastAsia="Arial" w:hAnsi="Arial"/>
                <w:sz w:val="12"/>
                <w:szCs w:val="12"/>
                <w:b w:val="1"/>
                <w:bCs w:val="1"/>
                <w:color w:val="28C0DA"/>
              </w:rPr>
              <w:t>0</w:t>
            </w:r>
          </w:p>
        </w:tc>
        <w:tc>
          <w:tcPr>
            <w:tcW w:w="40" w:type="dxa"/>
            <w:vAlign w:val="bottom"/>
            <w:tcBorders>
              <w:top w:val="single" w:sz="8" w:color="auto"/>
              <w:bottom w:val="single" w:sz="8" w:color="E7E7E8"/>
            </w:tcBorders>
            <w:shd w:val="clear" w:color="auto" w:fill="E7E7E8"/>
          </w:tcPr>
          <w:p>
            <w:pPr>
              <w:spacing w:after="0"/>
              <w:rPr>
                <w:sz w:val="16"/>
                <w:szCs w:val="16"/>
                <w:color w:val="auto"/>
              </w:rPr>
            </w:pPr>
          </w:p>
        </w:tc>
        <w:tc>
          <w:tcPr>
            <w:tcW w:w="540" w:type="dxa"/>
            <w:vAlign w:val="bottom"/>
            <w:tcBorders>
              <w:top w:val="single" w:sz="8" w:color="auto"/>
              <w:bottom w:val="single" w:sz="8" w:color="E7E7E8"/>
            </w:tcBorders>
            <w:shd w:val="clear" w:color="auto" w:fill="E7E7E8"/>
          </w:tcPr>
          <w:p>
            <w:pPr>
              <w:spacing w:after="0"/>
              <w:rPr>
                <w:sz w:val="16"/>
                <w:szCs w:val="16"/>
                <w:color w:val="auto"/>
              </w:rPr>
            </w:pPr>
          </w:p>
        </w:tc>
        <w:tc>
          <w:tcPr>
            <w:tcW w:w="120" w:type="dxa"/>
            <w:vAlign w:val="bottom"/>
            <w:tcBorders>
              <w:top w:val="single" w:sz="8" w:color="auto"/>
              <w:bottom w:val="single" w:sz="8" w:color="E7E7E8"/>
              <w:right w:val="single" w:sz="8" w:color="auto"/>
            </w:tcBorders>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880" w:type="dxa"/>
            <w:vAlign w:val="bottom"/>
            <w:tcBorders>
              <w:top w:val="single" w:sz="8" w:color="auto"/>
            </w:tcBorders>
            <w:gridSpan w:val="2"/>
          </w:tcPr>
          <w:p>
            <w:pPr>
              <w:spacing w:after="0"/>
              <w:rPr>
                <w:sz w:val="20"/>
                <w:szCs w:val="20"/>
                <w:color w:val="auto"/>
              </w:rPr>
            </w:pPr>
            <w:r>
              <w:rPr>
                <w:rFonts w:ascii="Arial" w:cs="Arial" w:eastAsia="Arial" w:hAnsi="Arial"/>
                <w:sz w:val="12"/>
                <w:szCs w:val="12"/>
                <w:b w:val="1"/>
                <w:bCs w:val="1"/>
                <w:color w:val="auto"/>
              </w:rPr>
              <w:t>Hispanic or Latinx</w:t>
            </w:r>
          </w:p>
        </w:tc>
        <w:tc>
          <w:tcPr>
            <w:tcW w:w="13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40" w:type="dxa"/>
            <w:vAlign w:val="bottom"/>
            <w:tcBorders>
              <w:top w:val="single" w:sz="8" w:color="auto"/>
              <w:right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center"/>
              <w:ind w:right="233"/>
              <w:spacing w:after="0"/>
              <w:rPr>
                <w:sz w:val="20"/>
                <w:szCs w:val="20"/>
                <w:color w:val="auto"/>
              </w:rPr>
            </w:pPr>
            <w:r>
              <w:rPr>
                <w:rFonts w:ascii="Arial" w:cs="Arial" w:eastAsia="Arial" w:hAnsi="Arial"/>
                <w:sz w:val="12"/>
                <w:szCs w:val="12"/>
                <w:b w:val="1"/>
                <w:bCs w:val="1"/>
                <w:color w:val="28C0DA"/>
                <w:w w:val="89"/>
              </w:rPr>
              <w:t>1</w:t>
            </w:r>
          </w:p>
        </w:tc>
        <w:tc>
          <w:tcPr>
            <w:tcW w:w="120" w:type="dxa"/>
            <w:vAlign w:val="bottom"/>
            <w:tcBorders>
              <w:top w:val="single" w:sz="8" w:color="auto"/>
              <w:right w:val="single" w:sz="8" w:color="auto"/>
            </w:tcBorders>
          </w:tcPr>
          <w:p>
            <w:pPr>
              <w:spacing w:after="0"/>
              <w:rPr>
                <w:sz w:val="16"/>
                <w:szCs w:val="16"/>
                <w:color w:val="auto"/>
              </w:rPr>
            </w:pPr>
          </w:p>
        </w:tc>
        <w:tc>
          <w:tcPr>
            <w:tcW w:w="620" w:type="dxa"/>
            <w:vAlign w:val="bottom"/>
            <w:tcBorders>
              <w:top w:val="single" w:sz="8" w:color="auto"/>
              <w:bottom w:val="single" w:sz="8" w:color="E7E7E8"/>
            </w:tcBorders>
            <w:shd w:val="clear" w:color="auto" w:fill="E7E7E8"/>
          </w:tcPr>
          <w:p>
            <w:pPr>
              <w:spacing w:after="0"/>
              <w:rPr>
                <w:sz w:val="16"/>
                <w:szCs w:val="16"/>
                <w:color w:val="auto"/>
              </w:rPr>
            </w:pPr>
          </w:p>
        </w:tc>
        <w:tc>
          <w:tcPr>
            <w:tcW w:w="80" w:type="dxa"/>
            <w:vAlign w:val="bottom"/>
            <w:tcBorders>
              <w:top w:val="single" w:sz="8" w:color="auto"/>
              <w:bottom w:val="single" w:sz="8" w:color="E7E7E8"/>
              <w:right w:val="single" w:sz="8" w:color="E7E7E8"/>
            </w:tcBorders>
            <w:shd w:val="clear" w:color="auto" w:fill="E7E7E8"/>
          </w:tcPr>
          <w:p>
            <w:pPr>
              <w:jc w:val="center"/>
              <w:spacing w:after="0"/>
              <w:rPr>
                <w:sz w:val="20"/>
                <w:szCs w:val="20"/>
                <w:color w:val="auto"/>
              </w:rPr>
            </w:pPr>
            <w:r>
              <w:rPr>
                <w:rFonts w:ascii="Arial" w:cs="Arial" w:eastAsia="Arial" w:hAnsi="Arial"/>
                <w:sz w:val="12"/>
                <w:szCs w:val="12"/>
                <w:b w:val="1"/>
                <w:bCs w:val="1"/>
                <w:color w:val="28C0DA"/>
                <w:w w:val="89"/>
              </w:rPr>
              <w:t>0</w:t>
            </w:r>
          </w:p>
        </w:tc>
        <w:tc>
          <w:tcPr>
            <w:tcW w:w="640" w:type="dxa"/>
            <w:vAlign w:val="bottom"/>
            <w:tcBorders>
              <w:top w:val="single" w:sz="8" w:color="auto"/>
              <w:bottom w:val="single" w:sz="8" w:color="E7E7E8"/>
              <w:right w:val="single" w:sz="8" w:color="auto"/>
            </w:tcBorders>
            <w:shd w:val="clear" w:color="auto" w:fill="E7E7E8"/>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center"/>
              <w:ind w:left="310"/>
              <w:spacing w:after="0"/>
              <w:rPr>
                <w:sz w:val="20"/>
                <w:szCs w:val="20"/>
                <w:color w:val="auto"/>
              </w:rPr>
            </w:pPr>
            <w:r>
              <w:rPr>
                <w:rFonts w:ascii="Arial" w:cs="Arial" w:eastAsia="Arial" w:hAnsi="Arial"/>
                <w:sz w:val="12"/>
                <w:szCs w:val="12"/>
                <w:b w:val="1"/>
                <w:bCs w:val="1"/>
                <w:color w:val="28C0DA"/>
                <w:w w:val="89"/>
              </w:rPr>
              <w:t>0</w:t>
            </w:r>
          </w:p>
        </w:tc>
        <w:tc>
          <w:tcPr>
            <w:tcW w:w="520" w:type="dxa"/>
            <w:vAlign w:val="bottom"/>
            <w:tcBorders>
              <w:top w:val="single" w:sz="8" w:color="auto"/>
              <w:right w:val="single" w:sz="8" w:color="auto"/>
            </w:tcBorders>
          </w:tcPr>
          <w:p>
            <w:pPr>
              <w:spacing w:after="0"/>
              <w:rPr>
                <w:sz w:val="16"/>
                <w:szCs w:val="16"/>
                <w:color w:val="auto"/>
              </w:rPr>
            </w:pPr>
          </w:p>
        </w:tc>
        <w:tc>
          <w:tcPr>
            <w:tcW w:w="260" w:type="dxa"/>
            <w:vAlign w:val="bottom"/>
            <w:tcBorders>
              <w:top w:val="single" w:sz="8" w:color="auto"/>
              <w:bottom w:val="single" w:sz="8" w:color="E7E7E8"/>
              <w:right w:val="single" w:sz="8" w:color="E7E7E8"/>
            </w:tcBorders>
            <w:shd w:val="clear" w:color="auto" w:fill="E7E7E8"/>
          </w:tcPr>
          <w:p>
            <w:pPr>
              <w:spacing w:after="0"/>
              <w:rPr>
                <w:sz w:val="16"/>
                <w:szCs w:val="16"/>
                <w:color w:val="auto"/>
              </w:rPr>
            </w:pPr>
          </w:p>
        </w:tc>
        <w:tc>
          <w:tcPr>
            <w:tcW w:w="840" w:type="dxa"/>
            <w:vAlign w:val="bottom"/>
            <w:tcBorders>
              <w:top w:val="single" w:sz="8" w:color="auto"/>
              <w:bottom w:val="single" w:sz="8" w:color="E7E7E8"/>
              <w:right w:val="single" w:sz="8" w:color="E7E7E8"/>
            </w:tcBorders>
            <w:shd w:val="clear" w:color="auto" w:fill="E7E7E8"/>
          </w:tcPr>
          <w:p>
            <w:pPr>
              <w:jc w:val="center"/>
              <w:ind w:left="334"/>
              <w:spacing w:after="0"/>
              <w:rPr>
                <w:sz w:val="20"/>
                <w:szCs w:val="20"/>
                <w:color w:val="auto"/>
              </w:rPr>
            </w:pPr>
            <w:r>
              <w:rPr>
                <w:rFonts w:ascii="Arial" w:cs="Arial" w:eastAsia="Arial" w:hAnsi="Arial"/>
                <w:sz w:val="12"/>
                <w:szCs w:val="12"/>
                <w:b w:val="1"/>
                <w:bCs w:val="1"/>
                <w:color w:val="28C0DA"/>
              </w:rPr>
              <w:t>0</w:t>
            </w:r>
          </w:p>
        </w:tc>
        <w:tc>
          <w:tcPr>
            <w:tcW w:w="40" w:type="dxa"/>
            <w:vAlign w:val="bottom"/>
            <w:tcBorders>
              <w:top w:val="single" w:sz="8" w:color="auto"/>
              <w:bottom w:val="single" w:sz="8" w:color="E7E7E8"/>
            </w:tcBorders>
            <w:shd w:val="clear" w:color="auto" w:fill="E7E7E8"/>
          </w:tcPr>
          <w:p>
            <w:pPr>
              <w:spacing w:after="0"/>
              <w:rPr>
                <w:sz w:val="16"/>
                <w:szCs w:val="16"/>
                <w:color w:val="auto"/>
              </w:rPr>
            </w:pPr>
          </w:p>
        </w:tc>
        <w:tc>
          <w:tcPr>
            <w:tcW w:w="540" w:type="dxa"/>
            <w:vAlign w:val="bottom"/>
            <w:tcBorders>
              <w:top w:val="single" w:sz="8" w:color="auto"/>
              <w:bottom w:val="single" w:sz="8" w:color="E7E7E8"/>
            </w:tcBorders>
            <w:shd w:val="clear" w:color="auto" w:fill="E7E7E8"/>
          </w:tcPr>
          <w:p>
            <w:pPr>
              <w:spacing w:after="0"/>
              <w:rPr>
                <w:sz w:val="16"/>
                <w:szCs w:val="16"/>
                <w:color w:val="auto"/>
              </w:rPr>
            </w:pPr>
          </w:p>
        </w:tc>
        <w:tc>
          <w:tcPr>
            <w:tcW w:w="120" w:type="dxa"/>
            <w:vAlign w:val="bottom"/>
            <w:tcBorders>
              <w:top w:val="single" w:sz="8" w:color="auto"/>
              <w:bottom w:val="single" w:sz="8" w:color="E7E7E8"/>
              <w:right w:val="single" w:sz="8" w:color="auto"/>
            </w:tcBorders>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88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Arial" w:cs="Arial" w:eastAsia="Arial" w:hAnsi="Arial"/>
                <w:sz w:val="12"/>
                <w:szCs w:val="12"/>
                <w:b w:val="1"/>
                <w:bCs w:val="1"/>
                <w:color w:val="auto"/>
              </w:rPr>
              <w:t>Native Hawaiian or Pacific Islander</w:t>
            </w:r>
          </w:p>
        </w:tc>
        <w:tc>
          <w:tcPr>
            <w:tcW w:w="1320" w:type="dxa"/>
            <w:vAlign w:val="bottom"/>
            <w:tcBorders>
              <w:top w:val="single" w:sz="8" w:color="auto"/>
              <w:bottom w:val="single" w:sz="8" w:color="CCEEFF"/>
              <w:right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CCEEFF"/>
              <w:right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CCEEFF"/>
              <w:right w:val="single" w:sz="8" w:color="auto"/>
            </w:tcBorders>
            <w:shd w:val="clear" w:color="auto" w:fill="CCEEFF"/>
          </w:tcPr>
          <w:p>
            <w:pPr>
              <w:spacing w:after="0"/>
              <w:rPr>
                <w:sz w:val="16"/>
                <w:szCs w:val="16"/>
                <w:color w:val="auto"/>
              </w:rPr>
            </w:pPr>
          </w:p>
        </w:tc>
        <w:tc>
          <w:tcPr>
            <w:tcW w:w="400" w:type="dxa"/>
            <w:vAlign w:val="bottom"/>
            <w:tcBorders>
              <w:top w:val="single" w:sz="8" w:color="auto"/>
              <w:bottom w:val="single" w:sz="8" w:color="CCEEFF"/>
              <w:right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right w:val="single" w:sz="8" w:color="CCEEFF"/>
            </w:tcBorders>
            <w:shd w:val="clear" w:color="auto" w:fill="CCEEFF"/>
          </w:tcPr>
          <w:p>
            <w:pPr>
              <w:jc w:val="center"/>
              <w:ind w:right="233"/>
              <w:spacing w:after="0"/>
              <w:rPr>
                <w:sz w:val="20"/>
                <w:szCs w:val="20"/>
                <w:color w:val="auto"/>
              </w:rPr>
            </w:pPr>
            <w:r>
              <w:rPr>
                <w:rFonts w:ascii="Arial" w:cs="Arial" w:eastAsia="Arial" w:hAnsi="Arial"/>
                <w:sz w:val="12"/>
                <w:szCs w:val="12"/>
                <w:b w:val="1"/>
                <w:bCs w:val="1"/>
                <w:color w:val="28C0DA"/>
                <w:w w:val="89"/>
              </w:rPr>
              <w:t>0</w:t>
            </w:r>
          </w:p>
        </w:tc>
        <w:tc>
          <w:tcPr>
            <w:tcW w:w="120" w:type="dxa"/>
            <w:vAlign w:val="bottom"/>
            <w:tcBorders>
              <w:top w:val="single" w:sz="8" w:color="auto"/>
              <w:bottom w:val="single" w:sz="8" w:color="CCEEFF"/>
              <w:right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E7E7E8"/>
            </w:tcBorders>
            <w:shd w:val="clear" w:color="auto" w:fill="E7E7E8"/>
          </w:tcPr>
          <w:p>
            <w:pPr>
              <w:spacing w:after="0"/>
              <w:rPr>
                <w:sz w:val="16"/>
                <w:szCs w:val="16"/>
                <w:color w:val="auto"/>
              </w:rPr>
            </w:pPr>
          </w:p>
        </w:tc>
        <w:tc>
          <w:tcPr>
            <w:tcW w:w="80" w:type="dxa"/>
            <w:vAlign w:val="bottom"/>
            <w:tcBorders>
              <w:top w:val="single" w:sz="8" w:color="auto"/>
              <w:bottom w:val="single" w:sz="8" w:color="E7E7E8"/>
              <w:right w:val="single" w:sz="8" w:color="E7E7E8"/>
            </w:tcBorders>
            <w:shd w:val="clear" w:color="auto" w:fill="E7E7E8"/>
          </w:tcPr>
          <w:p>
            <w:pPr>
              <w:jc w:val="center"/>
              <w:spacing w:after="0"/>
              <w:rPr>
                <w:sz w:val="20"/>
                <w:szCs w:val="20"/>
                <w:color w:val="auto"/>
              </w:rPr>
            </w:pPr>
            <w:r>
              <w:rPr>
                <w:rFonts w:ascii="Arial" w:cs="Arial" w:eastAsia="Arial" w:hAnsi="Arial"/>
                <w:sz w:val="12"/>
                <w:szCs w:val="12"/>
                <w:b w:val="1"/>
                <w:bCs w:val="1"/>
                <w:color w:val="28C0DA"/>
                <w:w w:val="89"/>
              </w:rPr>
              <w:t>0</w:t>
            </w:r>
          </w:p>
        </w:tc>
        <w:tc>
          <w:tcPr>
            <w:tcW w:w="640" w:type="dxa"/>
            <w:vAlign w:val="bottom"/>
            <w:tcBorders>
              <w:top w:val="single" w:sz="8" w:color="auto"/>
              <w:bottom w:val="single" w:sz="8" w:color="E7E7E8"/>
              <w:right w:val="single" w:sz="8" w:color="auto"/>
            </w:tcBorders>
            <w:shd w:val="clear" w:color="auto" w:fill="E7E7E8"/>
          </w:tcPr>
          <w:p>
            <w:pPr>
              <w:spacing w:after="0"/>
              <w:rPr>
                <w:sz w:val="16"/>
                <w:szCs w:val="16"/>
                <w:color w:val="auto"/>
              </w:rPr>
            </w:pPr>
          </w:p>
        </w:tc>
        <w:tc>
          <w:tcPr>
            <w:tcW w:w="120" w:type="dxa"/>
            <w:vAlign w:val="bottom"/>
            <w:tcBorders>
              <w:top w:val="single" w:sz="8" w:color="auto"/>
              <w:bottom w:val="single" w:sz="8" w:color="CCEEFF"/>
              <w:right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right w:val="single" w:sz="8" w:color="CCEEFF"/>
            </w:tcBorders>
            <w:shd w:val="clear" w:color="auto" w:fill="CCEEFF"/>
          </w:tcPr>
          <w:p>
            <w:pPr>
              <w:jc w:val="center"/>
              <w:ind w:left="310"/>
              <w:spacing w:after="0"/>
              <w:rPr>
                <w:sz w:val="20"/>
                <w:szCs w:val="20"/>
                <w:color w:val="auto"/>
              </w:rPr>
            </w:pPr>
            <w:r>
              <w:rPr>
                <w:rFonts w:ascii="Arial" w:cs="Arial" w:eastAsia="Arial" w:hAnsi="Arial"/>
                <w:sz w:val="12"/>
                <w:szCs w:val="12"/>
                <w:b w:val="1"/>
                <w:bCs w:val="1"/>
                <w:color w:val="28C0DA"/>
                <w:w w:val="89"/>
              </w:rPr>
              <w:t>0</w:t>
            </w:r>
          </w:p>
        </w:tc>
        <w:tc>
          <w:tcPr>
            <w:tcW w:w="520" w:type="dxa"/>
            <w:vAlign w:val="bottom"/>
            <w:tcBorders>
              <w:top w:val="single" w:sz="8" w:color="auto"/>
              <w:bottom w:val="single" w:sz="8" w:color="CCEEFF"/>
              <w:right w:val="single" w:sz="8" w:color="auto"/>
            </w:tcBorders>
            <w:shd w:val="clear" w:color="auto" w:fill="CCEEFF"/>
          </w:tcPr>
          <w:p>
            <w:pPr>
              <w:spacing w:after="0"/>
              <w:rPr>
                <w:sz w:val="16"/>
                <w:szCs w:val="16"/>
                <w:color w:val="auto"/>
              </w:rPr>
            </w:pPr>
          </w:p>
        </w:tc>
        <w:tc>
          <w:tcPr>
            <w:tcW w:w="260" w:type="dxa"/>
            <w:vAlign w:val="bottom"/>
            <w:tcBorders>
              <w:top w:val="single" w:sz="8" w:color="auto"/>
              <w:bottom w:val="single" w:sz="8" w:color="E7E7E8"/>
              <w:right w:val="single" w:sz="8" w:color="E7E7E8"/>
            </w:tcBorders>
            <w:shd w:val="clear" w:color="auto" w:fill="E7E7E8"/>
          </w:tcPr>
          <w:p>
            <w:pPr>
              <w:spacing w:after="0"/>
              <w:rPr>
                <w:sz w:val="16"/>
                <w:szCs w:val="16"/>
                <w:color w:val="auto"/>
              </w:rPr>
            </w:pPr>
          </w:p>
        </w:tc>
        <w:tc>
          <w:tcPr>
            <w:tcW w:w="840" w:type="dxa"/>
            <w:vAlign w:val="bottom"/>
            <w:tcBorders>
              <w:top w:val="single" w:sz="8" w:color="auto"/>
              <w:bottom w:val="single" w:sz="8" w:color="E7E7E8"/>
              <w:right w:val="single" w:sz="8" w:color="E7E7E8"/>
            </w:tcBorders>
            <w:shd w:val="clear" w:color="auto" w:fill="E7E7E8"/>
          </w:tcPr>
          <w:p>
            <w:pPr>
              <w:jc w:val="center"/>
              <w:ind w:left="334"/>
              <w:spacing w:after="0"/>
              <w:rPr>
                <w:sz w:val="20"/>
                <w:szCs w:val="20"/>
                <w:color w:val="auto"/>
              </w:rPr>
            </w:pPr>
            <w:r>
              <w:rPr>
                <w:rFonts w:ascii="Arial" w:cs="Arial" w:eastAsia="Arial" w:hAnsi="Arial"/>
                <w:sz w:val="12"/>
                <w:szCs w:val="12"/>
                <w:b w:val="1"/>
                <w:bCs w:val="1"/>
                <w:color w:val="28C0DA"/>
              </w:rPr>
              <w:t>0</w:t>
            </w:r>
          </w:p>
        </w:tc>
        <w:tc>
          <w:tcPr>
            <w:tcW w:w="40" w:type="dxa"/>
            <w:vAlign w:val="bottom"/>
            <w:tcBorders>
              <w:top w:val="single" w:sz="8" w:color="auto"/>
              <w:bottom w:val="single" w:sz="8" w:color="E7E7E8"/>
            </w:tcBorders>
            <w:shd w:val="clear" w:color="auto" w:fill="E7E7E8"/>
          </w:tcPr>
          <w:p>
            <w:pPr>
              <w:spacing w:after="0"/>
              <w:rPr>
                <w:sz w:val="16"/>
                <w:szCs w:val="16"/>
                <w:color w:val="auto"/>
              </w:rPr>
            </w:pPr>
          </w:p>
        </w:tc>
        <w:tc>
          <w:tcPr>
            <w:tcW w:w="540" w:type="dxa"/>
            <w:vAlign w:val="bottom"/>
            <w:tcBorders>
              <w:top w:val="single" w:sz="8" w:color="auto"/>
              <w:bottom w:val="single" w:sz="8" w:color="E7E7E8"/>
            </w:tcBorders>
            <w:shd w:val="clear" w:color="auto" w:fill="E7E7E8"/>
          </w:tcPr>
          <w:p>
            <w:pPr>
              <w:spacing w:after="0"/>
              <w:rPr>
                <w:sz w:val="16"/>
                <w:szCs w:val="16"/>
                <w:color w:val="auto"/>
              </w:rPr>
            </w:pPr>
          </w:p>
        </w:tc>
        <w:tc>
          <w:tcPr>
            <w:tcW w:w="120" w:type="dxa"/>
            <w:vAlign w:val="bottom"/>
            <w:tcBorders>
              <w:top w:val="single" w:sz="8" w:color="auto"/>
              <w:bottom w:val="single" w:sz="8" w:color="E7E7E8"/>
              <w:right w:val="single" w:sz="8" w:color="auto"/>
            </w:tcBorders>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White</w:t>
            </w:r>
          </w:p>
        </w:tc>
        <w:tc>
          <w:tcPr>
            <w:tcW w:w="23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40" w:type="dxa"/>
            <w:vAlign w:val="bottom"/>
            <w:tcBorders>
              <w:top w:val="single" w:sz="8" w:color="auto"/>
              <w:right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center"/>
              <w:ind w:right="233"/>
              <w:spacing w:after="0"/>
              <w:rPr>
                <w:sz w:val="20"/>
                <w:szCs w:val="20"/>
                <w:color w:val="auto"/>
              </w:rPr>
            </w:pPr>
            <w:r>
              <w:rPr>
                <w:rFonts w:ascii="Arial" w:cs="Arial" w:eastAsia="Arial" w:hAnsi="Arial"/>
                <w:sz w:val="12"/>
                <w:szCs w:val="12"/>
                <w:b w:val="1"/>
                <w:bCs w:val="1"/>
                <w:color w:val="28C0DA"/>
                <w:w w:val="89"/>
              </w:rPr>
              <w:t>3</w:t>
            </w:r>
          </w:p>
        </w:tc>
        <w:tc>
          <w:tcPr>
            <w:tcW w:w="120" w:type="dxa"/>
            <w:vAlign w:val="bottom"/>
            <w:tcBorders>
              <w:top w:val="single" w:sz="8" w:color="auto"/>
              <w:right w:val="single" w:sz="8" w:color="auto"/>
            </w:tcBorders>
          </w:tcPr>
          <w:p>
            <w:pPr>
              <w:spacing w:after="0"/>
              <w:rPr>
                <w:sz w:val="16"/>
                <w:szCs w:val="16"/>
                <w:color w:val="auto"/>
              </w:rPr>
            </w:pPr>
          </w:p>
        </w:tc>
        <w:tc>
          <w:tcPr>
            <w:tcW w:w="620" w:type="dxa"/>
            <w:vAlign w:val="bottom"/>
            <w:tcBorders>
              <w:top w:val="single" w:sz="8" w:color="auto"/>
              <w:bottom w:val="single" w:sz="8" w:color="E7E7E8"/>
            </w:tcBorders>
            <w:shd w:val="clear" w:color="auto" w:fill="E7E7E8"/>
          </w:tcPr>
          <w:p>
            <w:pPr>
              <w:spacing w:after="0"/>
              <w:rPr>
                <w:sz w:val="16"/>
                <w:szCs w:val="16"/>
                <w:color w:val="auto"/>
              </w:rPr>
            </w:pPr>
          </w:p>
        </w:tc>
        <w:tc>
          <w:tcPr>
            <w:tcW w:w="80" w:type="dxa"/>
            <w:vAlign w:val="bottom"/>
            <w:tcBorders>
              <w:top w:val="single" w:sz="8" w:color="auto"/>
              <w:bottom w:val="single" w:sz="8" w:color="E7E7E8"/>
              <w:right w:val="single" w:sz="8" w:color="E7E7E8"/>
            </w:tcBorders>
            <w:shd w:val="clear" w:color="auto" w:fill="E7E7E8"/>
          </w:tcPr>
          <w:p>
            <w:pPr>
              <w:jc w:val="center"/>
              <w:spacing w:after="0"/>
              <w:rPr>
                <w:sz w:val="20"/>
                <w:szCs w:val="20"/>
                <w:color w:val="auto"/>
              </w:rPr>
            </w:pPr>
            <w:r>
              <w:rPr>
                <w:rFonts w:ascii="Arial" w:cs="Arial" w:eastAsia="Arial" w:hAnsi="Arial"/>
                <w:sz w:val="12"/>
                <w:szCs w:val="12"/>
                <w:b w:val="1"/>
                <w:bCs w:val="1"/>
                <w:color w:val="28C0DA"/>
                <w:w w:val="89"/>
              </w:rPr>
              <w:t>8</w:t>
            </w:r>
          </w:p>
        </w:tc>
        <w:tc>
          <w:tcPr>
            <w:tcW w:w="640" w:type="dxa"/>
            <w:vAlign w:val="bottom"/>
            <w:tcBorders>
              <w:top w:val="single" w:sz="8" w:color="auto"/>
              <w:bottom w:val="single" w:sz="8" w:color="E7E7E8"/>
              <w:right w:val="single" w:sz="8" w:color="auto"/>
            </w:tcBorders>
            <w:shd w:val="clear" w:color="auto" w:fill="E7E7E8"/>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center"/>
              <w:ind w:left="310"/>
              <w:spacing w:after="0"/>
              <w:rPr>
                <w:sz w:val="20"/>
                <w:szCs w:val="20"/>
                <w:color w:val="auto"/>
              </w:rPr>
            </w:pPr>
            <w:r>
              <w:rPr>
                <w:rFonts w:ascii="Arial" w:cs="Arial" w:eastAsia="Arial" w:hAnsi="Arial"/>
                <w:sz w:val="12"/>
                <w:szCs w:val="12"/>
                <w:b w:val="1"/>
                <w:bCs w:val="1"/>
                <w:color w:val="28C0DA"/>
                <w:w w:val="89"/>
              </w:rPr>
              <w:t>0</w:t>
            </w:r>
          </w:p>
        </w:tc>
        <w:tc>
          <w:tcPr>
            <w:tcW w:w="520" w:type="dxa"/>
            <w:vAlign w:val="bottom"/>
            <w:tcBorders>
              <w:top w:val="single" w:sz="8" w:color="auto"/>
              <w:right w:val="single" w:sz="8" w:color="auto"/>
            </w:tcBorders>
          </w:tcPr>
          <w:p>
            <w:pPr>
              <w:spacing w:after="0"/>
              <w:rPr>
                <w:sz w:val="16"/>
                <w:szCs w:val="16"/>
                <w:color w:val="auto"/>
              </w:rPr>
            </w:pPr>
          </w:p>
        </w:tc>
        <w:tc>
          <w:tcPr>
            <w:tcW w:w="260" w:type="dxa"/>
            <w:vAlign w:val="bottom"/>
            <w:tcBorders>
              <w:top w:val="single" w:sz="8" w:color="auto"/>
              <w:bottom w:val="single" w:sz="8" w:color="E7E7E8"/>
              <w:right w:val="single" w:sz="8" w:color="E7E7E8"/>
            </w:tcBorders>
            <w:shd w:val="clear" w:color="auto" w:fill="E7E7E8"/>
          </w:tcPr>
          <w:p>
            <w:pPr>
              <w:spacing w:after="0"/>
              <w:rPr>
                <w:sz w:val="16"/>
                <w:szCs w:val="16"/>
                <w:color w:val="auto"/>
              </w:rPr>
            </w:pPr>
          </w:p>
        </w:tc>
        <w:tc>
          <w:tcPr>
            <w:tcW w:w="840" w:type="dxa"/>
            <w:vAlign w:val="bottom"/>
            <w:tcBorders>
              <w:top w:val="single" w:sz="8" w:color="auto"/>
              <w:bottom w:val="single" w:sz="8" w:color="E7E7E8"/>
              <w:right w:val="single" w:sz="8" w:color="E7E7E8"/>
            </w:tcBorders>
            <w:shd w:val="clear" w:color="auto" w:fill="E7E7E8"/>
          </w:tcPr>
          <w:p>
            <w:pPr>
              <w:jc w:val="center"/>
              <w:ind w:left="334"/>
              <w:spacing w:after="0"/>
              <w:rPr>
                <w:sz w:val="20"/>
                <w:szCs w:val="20"/>
                <w:color w:val="auto"/>
              </w:rPr>
            </w:pPr>
            <w:r>
              <w:rPr>
                <w:rFonts w:ascii="Arial" w:cs="Arial" w:eastAsia="Arial" w:hAnsi="Arial"/>
                <w:sz w:val="12"/>
                <w:szCs w:val="12"/>
                <w:b w:val="1"/>
                <w:bCs w:val="1"/>
                <w:color w:val="28C0DA"/>
              </w:rPr>
              <w:t>0</w:t>
            </w:r>
          </w:p>
        </w:tc>
        <w:tc>
          <w:tcPr>
            <w:tcW w:w="40" w:type="dxa"/>
            <w:vAlign w:val="bottom"/>
            <w:tcBorders>
              <w:top w:val="single" w:sz="8" w:color="auto"/>
              <w:bottom w:val="single" w:sz="8" w:color="E7E7E8"/>
            </w:tcBorders>
            <w:shd w:val="clear" w:color="auto" w:fill="E7E7E8"/>
          </w:tcPr>
          <w:p>
            <w:pPr>
              <w:spacing w:after="0"/>
              <w:rPr>
                <w:sz w:val="16"/>
                <w:szCs w:val="16"/>
                <w:color w:val="auto"/>
              </w:rPr>
            </w:pPr>
          </w:p>
        </w:tc>
        <w:tc>
          <w:tcPr>
            <w:tcW w:w="540" w:type="dxa"/>
            <w:vAlign w:val="bottom"/>
            <w:tcBorders>
              <w:top w:val="single" w:sz="8" w:color="auto"/>
              <w:bottom w:val="single" w:sz="8" w:color="E7E7E8"/>
            </w:tcBorders>
            <w:shd w:val="clear" w:color="auto" w:fill="E7E7E8"/>
          </w:tcPr>
          <w:p>
            <w:pPr>
              <w:spacing w:after="0"/>
              <w:rPr>
                <w:sz w:val="16"/>
                <w:szCs w:val="16"/>
                <w:color w:val="auto"/>
              </w:rPr>
            </w:pPr>
          </w:p>
        </w:tc>
        <w:tc>
          <w:tcPr>
            <w:tcW w:w="120" w:type="dxa"/>
            <w:vAlign w:val="bottom"/>
            <w:tcBorders>
              <w:top w:val="single" w:sz="8" w:color="auto"/>
              <w:bottom w:val="single" w:sz="8" w:color="E7E7E8"/>
              <w:right w:val="single" w:sz="8" w:color="auto"/>
            </w:tcBorders>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88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Arial" w:cs="Arial" w:eastAsia="Arial" w:hAnsi="Arial"/>
                <w:sz w:val="12"/>
                <w:szCs w:val="12"/>
                <w:b w:val="1"/>
                <w:bCs w:val="1"/>
                <w:color w:val="auto"/>
              </w:rPr>
              <w:t>Two or More Races of Ethnicities</w:t>
            </w:r>
          </w:p>
        </w:tc>
        <w:tc>
          <w:tcPr>
            <w:tcW w:w="1320" w:type="dxa"/>
            <w:vAlign w:val="bottom"/>
            <w:tcBorders>
              <w:top w:val="single" w:sz="8" w:color="auto"/>
              <w:bottom w:val="single" w:sz="8" w:color="CCEEFF"/>
              <w:right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CCEEFF"/>
              <w:right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CCEEFF"/>
              <w:right w:val="single" w:sz="8" w:color="auto"/>
            </w:tcBorders>
            <w:shd w:val="clear" w:color="auto" w:fill="CCEEFF"/>
          </w:tcPr>
          <w:p>
            <w:pPr>
              <w:spacing w:after="0"/>
              <w:rPr>
                <w:sz w:val="16"/>
                <w:szCs w:val="16"/>
                <w:color w:val="auto"/>
              </w:rPr>
            </w:pPr>
          </w:p>
        </w:tc>
        <w:tc>
          <w:tcPr>
            <w:tcW w:w="400" w:type="dxa"/>
            <w:vAlign w:val="bottom"/>
            <w:tcBorders>
              <w:top w:val="single" w:sz="8" w:color="auto"/>
              <w:bottom w:val="single" w:sz="8" w:color="CCEEFF"/>
              <w:right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right w:val="single" w:sz="8" w:color="CCEEFF"/>
            </w:tcBorders>
            <w:shd w:val="clear" w:color="auto" w:fill="CCEEFF"/>
          </w:tcPr>
          <w:p>
            <w:pPr>
              <w:jc w:val="center"/>
              <w:ind w:right="233"/>
              <w:spacing w:after="0"/>
              <w:rPr>
                <w:sz w:val="20"/>
                <w:szCs w:val="20"/>
                <w:color w:val="auto"/>
              </w:rPr>
            </w:pPr>
            <w:r>
              <w:rPr>
                <w:rFonts w:ascii="Arial" w:cs="Arial" w:eastAsia="Arial" w:hAnsi="Arial"/>
                <w:sz w:val="12"/>
                <w:szCs w:val="12"/>
                <w:b w:val="1"/>
                <w:bCs w:val="1"/>
                <w:color w:val="28C0DA"/>
                <w:w w:val="89"/>
              </w:rPr>
              <w:t>1</w:t>
            </w:r>
          </w:p>
        </w:tc>
        <w:tc>
          <w:tcPr>
            <w:tcW w:w="120" w:type="dxa"/>
            <w:vAlign w:val="bottom"/>
            <w:tcBorders>
              <w:top w:val="single" w:sz="8" w:color="auto"/>
              <w:bottom w:val="single" w:sz="8" w:color="CCEEFF"/>
              <w:right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E7E7E8"/>
            </w:tcBorders>
            <w:shd w:val="clear" w:color="auto" w:fill="E7E7E8"/>
          </w:tcPr>
          <w:p>
            <w:pPr>
              <w:spacing w:after="0"/>
              <w:rPr>
                <w:sz w:val="16"/>
                <w:szCs w:val="16"/>
                <w:color w:val="auto"/>
              </w:rPr>
            </w:pPr>
          </w:p>
        </w:tc>
        <w:tc>
          <w:tcPr>
            <w:tcW w:w="80" w:type="dxa"/>
            <w:vAlign w:val="bottom"/>
            <w:tcBorders>
              <w:top w:val="single" w:sz="8" w:color="auto"/>
              <w:bottom w:val="single" w:sz="8" w:color="E7E7E8"/>
              <w:right w:val="single" w:sz="8" w:color="E7E7E8"/>
            </w:tcBorders>
            <w:shd w:val="clear" w:color="auto" w:fill="E7E7E8"/>
          </w:tcPr>
          <w:p>
            <w:pPr>
              <w:jc w:val="center"/>
              <w:spacing w:after="0"/>
              <w:rPr>
                <w:sz w:val="20"/>
                <w:szCs w:val="20"/>
                <w:color w:val="auto"/>
              </w:rPr>
            </w:pPr>
            <w:r>
              <w:rPr>
                <w:rFonts w:ascii="Arial" w:cs="Arial" w:eastAsia="Arial" w:hAnsi="Arial"/>
                <w:sz w:val="12"/>
                <w:szCs w:val="12"/>
                <w:b w:val="1"/>
                <w:bCs w:val="1"/>
                <w:color w:val="28C0DA"/>
                <w:w w:val="89"/>
              </w:rPr>
              <w:t>0</w:t>
            </w:r>
          </w:p>
        </w:tc>
        <w:tc>
          <w:tcPr>
            <w:tcW w:w="640" w:type="dxa"/>
            <w:vAlign w:val="bottom"/>
            <w:tcBorders>
              <w:top w:val="single" w:sz="8" w:color="auto"/>
              <w:bottom w:val="single" w:sz="8" w:color="E7E7E8"/>
              <w:right w:val="single" w:sz="8" w:color="auto"/>
            </w:tcBorders>
            <w:shd w:val="clear" w:color="auto" w:fill="E7E7E8"/>
          </w:tcPr>
          <w:p>
            <w:pPr>
              <w:spacing w:after="0"/>
              <w:rPr>
                <w:sz w:val="16"/>
                <w:szCs w:val="16"/>
                <w:color w:val="auto"/>
              </w:rPr>
            </w:pPr>
          </w:p>
        </w:tc>
        <w:tc>
          <w:tcPr>
            <w:tcW w:w="120" w:type="dxa"/>
            <w:vAlign w:val="bottom"/>
            <w:tcBorders>
              <w:top w:val="single" w:sz="8" w:color="auto"/>
              <w:bottom w:val="single" w:sz="8" w:color="CCEEFF"/>
              <w:right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right w:val="single" w:sz="8" w:color="CCEEFF"/>
            </w:tcBorders>
            <w:shd w:val="clear" w:color="auto" w:fill="CCEEFF"/>
          </w:tcPr>
          <w:p>
            <w:pPr>
              <w:jc w:val="center"/>
              <w:ind w:left="310"/>
              <w:spacing w:after="0"/>
              <w:rPr>
                <w:sz w:val="20"/>
                <w:szCs w:val="20"/>
                <w:color w:val="auto"/>
              </w:rPr>
            </w:pPr>
            <w:r>
              <w:rPr>
                <w:rFonts w:ascii="Arial" w:cs="Arial" w:eastAsia="Arial" w:hAnsi="Arial"/>
                <w:sz w:val="12"/>
                <w:szCs w:val="12"/>
                <w:b w:val="1"/>
                <w:bCs w:val="1"/>
                <w:color w:val="28C0DA"/>
                <w:w w:val="89"/>
              </w:rPr>
              <w:t>0</w:t>
            </w:r>
          </w:p>
        </w:tc>
        <w:tc>
          <w:tcPr>
            <w:tcW w:w="520" w:type="dxa"/>
            <w:vAlign w:val="bottom"/>
            <w:tcBorders>
              <w:top w:val="single" w:sz="8" w:color="auto"/>
              <w:bottom w:val="single" w:sz="8" w:color="CCEEFF"/>
              <w:right w:val="single" w:sz="8" w:color="auto"/>
            </w:tcBorders>
            <w:shd w:val="clear" w:color="auto" w:fill="CCEEFF"/>
          </w:tcPr>
          <w:p>
            <w:pPr>
              <w:spacing w:after="0"/>
              <w:rPr>
                <w:sz w:val="16"/>
                <w:szCs w:val="16"/>
                <w:color w:val="auto"/>
              </w:rPr>
            </w:pPr>
          </w:p>
        </w:tc>
        <w:tc>
          <w:tcPr>
            <w:tcW w:w="260" w:type="dxa"/>
            <w:vAlign w:val="bottom"/>
            <w:tcBorders>
              <w:top w:val="single" w:sz="8" w:color="auto"/>
              <w:bottom w:val="single" w:sz="8" w:color="E7E7E8"/>
              <w:right w:val="single" w:sz="8" w:color="E7E7E8"/>
            </w:tcBorders>
            <w:shd w:val="clear" w:color="auto" w:fill="E7E7E8"/>
          </w:tcPr>
          <w:p>
            <w:pPr>
              <w:spacing w:after="0"/>
              <w:rPr>
                <w:sz w:val="16"/>
                <w:szCs w:val="16"/>
                <w:color w:val="auto"/>
              </w:rPr>
            </w:pPr>
          </w:p>
        </w:tc>
        <w:tc>
          <w:tcPr>
            <w:tcW w:w="840" w:type="dxa"/>
            <w:vAlign w:val="bottom"/>
            <w:tcBorders>
              <w:top w:val="single" w:sz="8" w:color="auto"/>
              <w:bottom w:val="single" w:sz="8" w:color="E7E7E8"/>
              <w:right w:val="single" w:sz="8" w:color="E7E7E8"/>
            </w:tcBorders>
            <w:shd w:val="clear" w:color="auto" w:fill="E7E7E8"/>
          </w:tcPr>
          <w:p>
            <w:pPr>
              <w:jc w:val="center"/>
              <w:ind w:left="334"/>
              <w:spacing w:after="0"/>
              <w:rPr>
                <w:sz w:val="20"/>
                <w:szCs w:val="20"/>
                <w:color w:val="auto"/>
              </w:rPr>
            </w:pPr>
            <w:r>
              <w:rPr>
                <w:rFonts w:ascii="Arial" w:cs="Arial" w:eastAsia="Arial" w:hAnsi="Arial"/>
                <w:sz w:val="12"/>
                <w:szCs w:val="12"/>
                <w:b w:val="1"/>
                <w:bCs w:val="1"/>
                <w:color w:val="28C0DA"/>
              </w:rPr>
              <w:t>0</w:t>
            </w:r>
          </w:p>
        </w:tc>
        <w:tc>
          <w:tcPr>
            <w:tcW w:w="40" w:type="dxa"/>
            <w:vAlign w:val="bottom"/>
            <w:tcBorders>
              <w:top w:val="single" w:sz="8" w:color="auto"/>
              <w:bottom w:val="single" w:sz="8" w:color="E7E7E8"/>
            </w:tcBorders>
            <w:shd w:val="clear" w:color="auto" w:fill="E7E7E8"/>
          </w:tcPr>
          <w:p>
            <w:pPr>
              <w:spacing w:after="0"/>
              <w:rPr>
                <w:sz w:val="16"/>
                <w:szCs w:val="16"/>
                <w:color w:val="auto"/>
              </w:rPr>
            </w:pPr>
          </w:p>
        </w:tc>
        <w:tc>
          <w:tcPr>
            <w:tcW w:w="540" w:type="dxa"/>
            <w:vAlign w:val="bottom"/>
            <w:tcBorders>
              <w:top w:val="single" w:sz="8" w:color="auto"/>
              <w:bottom w:val="single" w:sz="8" w:color="E7E7E8"/>
            </w:tcBorders>
            <w:shd w:val="clear" w:color="auto" w:fill="E7E7E8"/>
          </w:tcPr>
          <w:p>
            <w:pPr>
              <w:spacing w:after="0"/>
              <w:rPr>
                <w:sz w:val="16"/>
                <w:szCs w:val="16"/>
                <w:color w:val="auto"/>
              </w:rPr>
            </w:pPr>
          </w:p>
        </w:tc>
        <w:tc>
          <w:tcPr>
            <w:tcW w:w="120" w:type="dxa"/>
            <w:vAlign w:val="bottom"/>
            <w:tcBorders>
              <w:top w:val="single" w:sz="8" w:color="auto"/>
              <w:bottom w:val="single" w:sz="8" w:color="E7E7E8"/>
              <w:right w:val="single" w:sz="8" w:color="auto"/>
            </w:tcBorders>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LGBTQ+</w:t>
            </w:r>
          </w:p>
        </w:tc>
        <w:tc>
          <w:tcPr>
            <w:tcW w:w="23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40" w:type="dxa"/>
            <w:vAlign w:val="bottom"/>
            <w:tcBorders>
              <w:top w:val="single" w:sz="8" w:color="auto"/>
              <w:right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center"/>
              <w:ind w:right="233"/>
              <w:spacing w:after="0"/>
              <w:rPr>
                <w:sz w:val="20"/>
                <w:szCs w:val="20"/>
                <w:color w:val="auto"/>
              </w:rPr>
            </w:pPr>
            <w:r>
              <w:rPr>
                <w:rFonts w:ascii="Arial" w:cs="Arial" w:eastAsia="Arial" w:hAnsi="Arial"/>
                <w:sz w:val="12"/>
                <w:szCs w:val="12"/>
                <w:b w:val="1"/>
                <w:bCs w:val="1"/>
                <w:color w:val="28C0DA"/>
                <w:w w:val="89"/>
              </w:rPr>
              <w:t>0</w:t>
            </w:r>
          </w:p>
        </w:tc>
        <w:tc>
          <w:tcPr>
            <w:tcW w:w="120" w:type="dxa"/>
            <w:vAlign w:val="bottom"/>
            <w:tcBorders>
              <w:top w:val="single" w:sz="8" w:color="auto"/>
              <w:right w:val="single" w:sz="8" w:color="auto"/>
            </w:tcBorders>
          </w:tcPr>
          <w:p>
            <w:pPr>
              <w:spacing w:after="0"/>
              <w:rPr>
                <w:sz w:val="16"/>
                <w:szCs w:val="16"/>
                <w:color w:val="auto"/>
              </w:rPr>
            </w:pPr>
          </w:p>
        </w:tc>
        <w:tc>
          <w:tcPr>
            <w:tcW w:w="620" w:type="dxa"/>
            <w:vAlign w:val="bottom"/>
            <w:tcBorders>
              <w:top w:val="single" w:sz="8" w:color="auto"/>
              <w:bottom w:val="single" w:sz="8" w:color="E7E7E8"/>
            </w:tcBorders>
            <w:shd w:val="clear" w:color="auto" w:fill="E7E7E8"/>
          </w:tcPr>
          <w:p>
            <w:pPr>
              <w:spacing w:after="0"/>
              <w:rPr>
                <w:sz w:val="16"/>
                <w:szCs w:val="16"/>
                <w:color w:val="auto"/>
              </w:rPr>
            </w:pPr>
          </w:p>
        </w:tc>
        <w:tc>
          <w:tcPr>
            <w:tcW w:w="80" w:type="dxa"/>
            <w:vAlign w:val="bottom"/>
            <w:tcBorders>
              <w:top w:val="single" w:sz="8" w:color="auto"/>
              <w:bottom w:val="single" w:sz="8" w:color="E7E7E8"/>
              <w:right w:val="single" w:sz="8" w:color="E7E7E8"/>
            </w:tcBorders>
            <w:shd w:val="clear" w:color="auto" w:fill="E7E7E8"/>
          </w:tcPr>
          <w:p>
            <w:pPr>
              <w:jc w:val="center"/>
              <w:spacing w:after="0"/>
              <w:rPr>
                <w:sz w:val="20"/>
                <w:szCs w:val="20"/>
                <w:color w:val="auto"/>
              </w:rPr>
            </w:pPr>
            <w:r>
              <w:rPr>
                <w:rFonts w:ascii="Arial" w:cs="Arial" w:eastAsia="Arial" w:hAnsi="Arial"/>
                <w:sz w:val="12"/>
                <w:szCs w:val="12"/>
                <w:b w:val="1"/>
                <w:bCs w:val="1"/>
                <w:color w:val="28C0DA"/>
                <w:w w:val="89"/>
              </w:rPr>
              <w:t>0</w:t>
            </w:r>
          </w:p>
        </w:tc>
        <w:tc>
          <w:tcPr>
            <w:tcW w:w="640" w:type="dxa"/>
            <w:vAlign w:val="bottom"/>
            <w:tcBorders>
              <w:top w:val="single" w:sz="8" w:color="auto"/>
              <w:bottom w:val="single" w:sz="8" w:color="E7E7E8"/>
              <w:right w:val="single" w:sz="8" w:color="auto"/>
            </w:tcBorders>
            <w:shd w:val="clear" w:color="auto" w:fill="E7E7E8"/>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center"/>
              <w:ind w:left="310"/>
              <w:spacing w:after="0"/>
              <w:rPr>
                <w:sz w:val="20"/>
                <w:szCs w:val="20"/>
                <w:color w:val="auto"/>
              </w:rPr>
            </w:pPr>
            <w:r>
              <w:rPr>
                <w:rFonts w:ascii="Arial" w:cs="Arial" w:eastAsia="Arial" w:hAnsi="Arial"/>
                <w:sz w:val="12"/>
                <w:szCs w:val="12"/>
                <w:b w:val="1"/>
                <w:bCs w:val="1"/>
                <w:color w:val="28C0DA"/>
                <w:w w:val="89"/>
              </w:rPr>
              <w:t>0</w:t>
            </w:r>
          </w:p>
        </w:tc>
        <w:tc>
          <w:tcPr>
            <w:tcW w:w="520" w:type="dxa"/>
            <w:vAlign w:val="bottom"/>
            <w:tcBorders>
              <w:top w:val="single" w:sz="8" w:color="auto"/>
              <w:right w:val="single" w:sz="8" w:color="auto"/>
            </w:tcBorders>
          </w:tcPr>
          <w:p>
            <w:pPr>
              <w:spacing w:after="0"/>
              <w:rPr>
                <w:sz w:val="16"/>
                <w:szCs w:val="16"/>
                <w:color w:val="auto"/>
              </w:rPr>
            </w:pPr>
          </w:p>
        </w:tc>
        <w:tc>
          <w:tcPr>
            <w:tcW w:w="260" w:type="dxa"/>
            <w:vAlign w:val="bottom"/>
            <w:tcBorders>
              <w:top w:val="single" w:sz="8" w:color="auto"/>
              <w:bottom w:val="single" w:sz="8" w:color="E7E7E8"/>
              <w:right w:val="single" w:sz="8" w:color="E7E7E8"/>
            </w:tcBorders>
            <w:shd w:val="clear" w:color="auto" w:fill="E7E7E8"/>
          </w:tcPr>
          <w:p>
            <w:pPr>
              <w:spacing w:after="0"/>
              <w:rPr>
                <w:sz w:val="16"/>
                <w:szCs w:val="16"/>
                <w:color w:val="auto"/>
              </w:rPr>
            </w:pPr>
          </w:p>
        </w:tc>
        <w:tc>
          <w:tcPr>
            <w:tcW w:w="840" w:type="dxa"/>
            <w:vAlign w:val="bottom"/>
            <w:tcBorders>
              <w:top w:val="single" w:sz="8" w:color="auto"/>
              <w:bottom w:val="single" w:sz="8" w:color="E7E7E8"/>
              <w:right w:val="single" w:sz="8" w:color="E7E7E8"/>
            </w:tcBorders>
            <w:shd w:val="clear" w:color="auto" w:fill="E7E7E8"/>
          </w:tcPr>
          <w:p>
            <w:pPr>
              <w:jc w:val="center"/>
              <w:ind w:left="334"/>
              <w:spacing w:after="0"/>
              <w:rPr>
                <w:sz w:val="20"/>
                <w:szCs w:val="20"/>
                <w:color w:val="auto"/>
              </w:rPr>
            </w:pPr>
            <w:r>
              <w:rPr>
                <w:rFonts w:ascii="Arial" w:cs="Arial" w:eastAsia="Arial" w:hAnsi="Arial"/>
                <w:sz w:val="12"/>
                <w:szCs w:val="12"/>
                <w:b w:val="1"/>
                <w:bCs w:val="1"/>
                <w:color w:val="28C0DA"/>
              </w:rPr>
              <w:t>0</w:t>
            </w:r>
          </w:p>
        </w:tc>
        <w:tc>
          <w:tcPr>
            <w:tcW w:w="40" w:type="dxa"/>
            <w:vAlign w:val="bottom"/>
            <w:tcBorders>
              <w:top w:val="single" w:sz="8" w:color="auto"/>
              <w:bottom w:val="single" w:sz="8" w:color="E7E7E8"/>
            </w:tcBorders>
            <w:shd w:val="clear" w:color="auto" w:fill="E7E7E8"/>
          </w:tcPr>
          <w:p>
            <w:pPr>
              <w:spacing w:after="0"/>
              <w:rPr>
                <w:sz w:val="16"/>
                <w:szCs w:val="16"/>
                <w:color w:val="auto"/>
              </w:rPr>
            </w:pPr>
          </w:p>
        </w:tc>
        <w:tc>
          <w:tcPr>
            <w:tcW w:w="540" w:type="dxa"/>
            <w:vAlign w:val="bottom"/>
            <w:tcBorders>
              <w:top w:val="single" w:sz="8" w:color="auto"/>
              <w:bottom w:val="single" w:sz="8" w:color="E7E7E8"/>
            </w:tcBorders>
            <w:shd w:val="clear" w:color="auto" w:fill="E7E7E8"/>
          </w:tcPr>
          <w:p>
            <w:pPr>
              <w:spacing w:after="0"/>
              <w:rPr>
                <w:sz w:val="16"/>
                <w:szCs w:val="16"/>
                <w:color w:val="auto"/>
              </w:rPr>
            </w:pPr>
          </w:p>
        </w:tc>
        <w:tc>
          <w:tcPr>
            <w:tcW w:w="120" w:type="dxa"/>
            <w:vAlign w:val="bottom"/>
            <w:tcBorders>
              <w:top w:val="single" w:sz="8" w:color="auto"/>
              <w:bottom w:val="single" w:sz="8" w:color="E7E7E8"/>
              <w:right w:val="single" w:sz="8" w:color="auto"/>
            </w:tcBorders>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88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Arial" w:cs="Arial" w:eastAsia="Arial" w:hAnsi="Arial"/>
                <w:sz w:val="12"/>
                <w:szCs w:val="12"/>
                <w:b w:val="1"/>
                <w:bCs w:val="1"/>
                <w:color w:val="auto"/>
              </w:rPr>
              <w:t>Did Not Disclose Demographic Background</w:t>
            </w:r>
          </w:p>
        </w:tc>
        <w:tc>
          <w:tcPr>
            <w:tcW w:w="1320" w:type="dxa"/>
            <w:vAlign w:val="bottom"/>
            <w:tcBorders>
              <w:top w:val="single" w:sz="8" w:color="auto"/>
              <w:bottom w:val="single" w:sz="8" w:color="CCEEFF"/>
              <w:right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CCEEFF"/>
              <w:right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CCEEFF"/>
              <w:right w:val="single" w:sz="8" w:color="auto"/>
            </w:tcBorders>
            <w:shd w:val="clear" w:color="auto" w:fill="CCEEFF"/>
          </w:tcPr>
          <w:p>
            <w:pPr>
              <w:spacing w:after="0"/>
              <w:rPr>
                <w:sz w:val="16"/>
                <w:szCs w:val="16"/>
                <w:color w:val="auto"/>
              </w:rPr>
            </w:pPr>
          </w:p>
        </w:tc>
        <w:tc>
          <w:tcPr>
            <w:tcW w:w="400" w:type="dxa"/>
            <w:vAlign w:val="bottom"/>
            <w:tcBorders>
              <w:top w:val="single" w:sz="8" w:color="auto"/>
              <w:bottom w:val="single" w:sz="8" w:color="CCEEFF"/>
              <w:right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right w:val="single" w:sz="8" w:color="CCEEFF"/>
            </w:tcBorders>
            <w:shd w:val="clear" w:color="auto" w:fill="CCEEFF"/>
          </w:tcPr>
          <w:p>
            <w:pPr>
              <w:jc w:val="center"/>
              <w:ind w:right="233"/>
              <w:spacing w:after="0"/>
              <w:rPr>
                <w:sz w:val="20"/>
                <w:szCs w:val="20"/>
                <w:color w:val="auto"/>
              </w:rPr>
            </w:pPr>
            <w:r>
              <w:rPr>
                <w:rFonts w:ascii="Arial" w:cs="Arial" w:eastAsia="Arial" w:hAnsi="Arial"/>
                <w:sz w:val="12"/>
                <w:szCs w:val="12"/>
                <w:b w:val="1"/>
                <w:bCs w:val="1"/>
                <w:color w:val="28C0DA"/>
                <w:w w:val="89"/>
              </w:rPr>
              <w:t>0</w:t>
            </w:r>
          </w:p>
        </w:tc>
        <w:tc>
          <w:tcPr>
            <w:tcW w:w="120" w:type="dxa"/>
            <w:vAlign w:val="bottom"/>
            <w:tcBorders>
              <w:top w:val="single" w:sz="8" w:color="auto"/>
              <w:bottom w:val="single" w:sz="8" w:color="CCEEFF"/>
              <w:right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E7E7E8"/>
            </w:tcBorders>
            <w:shd w:val="clear" w:color="auto" w:fill="E7E7E8"/>
          </w:tcPr>
          <w:p>
            <w:pPr>
              <w:spacing w:after="0"/>
              <w:rPr>
                <w:sz w:val="16"/>
                <w:szCs w:val="16"/>
                <w:color w:val="auto"/>
              </w:rPr>
            </w:pPr>
          </w:p>
        </w:tc>
        <w:tc>
          <w:tcPr>
            <w:tcW w:w="80" w:type="dxa"/>
            <w:vAlign w:val="bottom"/>
            <w:tcBorders>
              <w:top w:val="single" w:sz="8" w:color="auto"/>
              <w:bottom w:val="single" w:sz="8" w:color="E7E7E8"/>
              <w:right w:val="single" w:sz="8" w:color="E7E7E8"/>
            </w:tcBorders>
            <w:shd w:val="clear" w:color="auto" w:fill="E7E7E8"/>
          </w:tcPr>
          <w:p>
            <w:pPr>
              <w:jc w:val="center"/>
              <w:spacing w:after="0"/>
              <w:rPr>
                <w:sz w:val="20"/>
                <w:szCs w:val="20"/>
                <w:color w:val="auto"/>
              </w:rPr>
            </w:pPr>
            <w:r>
              <w:rPr>
                <w:rFonts w:ascii="Arial" w:cs="Arial" w:eastAsia="Arial" w:hAnsi="Arial"/>
                <w:sz w:val="12"/>
                <w:szCs w:val="12"/>
                <w:b w:val="1"/>
                <w:bCs w:val="1"/>
                <w:color w:val="28C0DA"/>
                <w:w w:val="89"/>
              </w:rPr>
              <w:t>0</w:t>
            </w:r>
          </w:p>
        </w:tc>
        <w:tc>
          <w:tcPr>
            <w:tcW w:w="640" w:type="dxa"/>
            <w:vAlign w:val="bottom"/>
            <w:tcBorders>
              <w:top w:val="single" w:sz="8" w:color="auto"/>
              <w:bottom w:val="single" w:sz="8" w:color="E7E7E8"/>
              <w:right w:val="single" w:sz="8" w:color="auto"/>
            </w:tcBorders>
            <w:shd w:val="clear" w:color="auto" w:fill="E7E7E8"/>
          </w:tcPr>
          <w:p>
            <w:pPr>
              <w:spacing w:after="0"/>
              <w:rPr>
                <w:sz w:val="16"/>
                <w:szCs w:val="16"/>
                <w:color w:val="auto"/>
              </w:rPr>
            </w:pPr>
          </w:p>
        </w:tc>
        <w:tc>
          <w:tcPr>
            <w:tcW w:w="120" w:type="dxa"/>
            <w:vAlign w:val="bottom"/>
            <w:tcBorders>
              <w:top w:val="single" w:sz="8" w:color="auto"/>
              <w:bottom w:val="single" w:sz="8" w:color="CCEEFF"/>
              <w:right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right w:val="single" w:sz="8" w:color="CCEEFF"/>
            </w:tcBorders>
            <w:shd w:val="clear" w:color="auto" w:fill="CCEEFF"/>
          </w:tcPr>
          <w:p>
            <w:pPr>
              <w:jc w:val="center"/>
              <w:ind w:left="310"/>
              <w:spacing w:after="0"/>
              <w:rPr>
                <w:sz w:val="20"/>
                <w:szCs w:val="20"/>
                <w:color w:val="auto"/>
              </w:rPr>
            </w:pPr>
            <w:r>
              <w:rPr>
                <w:rFonts w:ascii="Arial" w:cs="Arial" w:eastAsia="Arial" w:hAnsi="Arial"/>
                <w:sz w:val="12"/>
                <w:szCs w:val="12"/>
                <w:b w:val="1"/>
                <w:bCs w:val="1"/>
                <w:color w:val="28C0DA"/>
                <w:w w:val="89"/>
              </w:rPr>
              <w:t>0</w:t>
            </w:r>
          </w:p>
        </w:tc>
        <w:tc>
          <w:tcPr>
            <w:tcW w:w="520" w:type="dxa"/>
            <w:vAlign w:val="bottom"/>
            <w:tcBorders>
              <w:top w:val="single" w:sz="8" w:color="auto"/>
              <w:bottom w:val="single" w:sz="8" w:color="CCEEFF"/>
              <w:right w:val="single" w:sz="8" w:color="auto"/>
            </w:tcBorders>
            <w:shd w:val="clear" w:color="auto" w:fill="CCEEFF"/>
          </w:tcPr>
          <w:p>
            <w:pPr>
              <w:spacing w:after="0"/>
              <w:rPr>
                <w:sz w:val="16"/>
                <w:szCs w:val="16"/>
                <w:color w:val="auto"/>
              </w:rPr>
            </w:pPr>
          </w:p>
        </w:tc>
        <w:tc>
          <w:tcPr>
            <w:tcW w:w="260" w:type="dxa"/>
            <w:vAlign w:val="bottom"/>
            <w:tcBorders>
              <w:top w:val="single" w:sz="8" w:color="auto"/>
              <w:bottom w:val="single" w:sz="8" w:color="E7E7E8"/>
              <w:right w:val="single" w:sz="8" w:color="E7E7E8"/>
            </w:tcBorders>
            <w:shd w:val="clear" w:color="auto" w:fill="E7E7E8"/>
          </w:tcPr>
          <w:p>
            <w:pPr>
              <w:spacing w:after="0"/>
              <w:rPr>
                <w:sz w:val="16"/>
                <w:szCs w:val="16"/>
                <w:color w:val="auto"/>
              </w:rPr>
            </w:pPr>
          </w:p>
        </w:tc>
        <w:tc>
          <w:tcPr>
            <w:tcW w:w="840" w:type="dxa"/>
            <w:vAlign w:val="bottom"/>
            <w:tcBorders>
              <w:top w:val="single" w:sz="8" w:color="auto"/>
              <w:bottom w:val="single" w:sz="8" w:color="E7E7E8"/>
              <w:right w:val="single" w:sz="8" w:color="E7E7E8"/>
            </w:tcBorders>
            <w:shd w:val="clear" w:color="auto" w:fill="E7E7E8"/>
          </w:tcPr>
          <w:p>
            <w:pPr>
              <w:jc w:val="center"/>
              <w:ind w:left="334"/>
              <w:spacing w:after="0"/>
              <w:rPr>
                <w:sz w:val="20"/>
                <w:szCs w:val="20"/>
                <w:color w:val="auto"/>
              </w:rPr>
            </w:pPr>
            <w:r>
              <w:rPr>
                <w:rFonts w:ascii="Arial" w:cs="Arial" w:eastAsia="Arial" w:hAnsi="Arial"/>
                <w:sz w:val="12"/>
                <w:szCs w:val="12"/>
                <w:b w:val="1"/>
                <w:bCs w:val="1"/>
                <w:color w:val="28C0DA"/>
              </w:rPr>
              <w:t>0</w:t>
            </w:r>
          </w:p>
        </w:tc>
        <w:tc>
          <w:tcPr>
            <w:tcW w:w="40" w:type="dxa"/>
            <w:vAlign w:val="bottom"/>
            <w:tcBorders>
              <w:top w:val="single" w:sz="8" w:color="auto"/>
              <w:bottom w:val="single" w:sz="8" w:color="E7E7E8"/>
            </w:tcBorders>
            <w:shd w:val="clear" w:color="auto" w:fill="E7E7E8"/>
          </w:tcPr>
          <w:p>
            <w:pPr>
              <w:spacing w:after="0"/>
              <w:rPr>
                <w:sz w:val="16"/>
                <w:szCs w:val="16"/>
                <w:color w:val="auto"/>
              </w:rPr>
            </w:pPr>
          </w:p>
        </w:tc>
        <w:tc>
          <w:tcPr>
            <w:tcW w:w="540" w:type="dxa"/>
            <w:vAlign w:val="bottom"/>
            <w:tcBorders>
              <w:top w:val="single" w:sz="8" w:color="auto"/>
              <w:bottom w:val="single" w:sz="8" w:color="E7E7E8"/>
            </w:tcBorders>
            <w:shd w:val="clear" w:color="auto" w:fill="E7E7E8"/>
          </w:tcPr>
          <w:p>
            <w:pPr>
              <w:spacing w:after="0"/>
              <w:rPr>
                <w:sz w:val="16"/>
                <w:szCs w:val="16"/>
                <w:color w:val="auto"/>
              </w:rPr>
            </w:pPr>
          </w:p>
        </w:tc>
        <w:tc>
          <w:tcPr>
            <w:tcW w:w="120" w:type="dxa"/>
            <w:vAlign w:val="bottom"/>
            <w:tcBorders>
              <w:top w:val="single" w:sz="8" w:color="auto"/>
              <w:bottom w:val="single" w:sz="8" w:color="E7E7E8"/>
              <w:right w:val="single" w:sz="8" w:color="auto"/>
            </w:tcBorders>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540" w:type="dxa"/>
            <w:vAlign w:val="bottom"/>
            <w:tcBorders>
              <w:top w:val="single" w:sz="8" w:color="auto"/>
            </w:tcBorders>
          </w:tcPr>
          <w:p>
            <w:pPr>
              <w:spacing w:after="0" w:line="163" w:lineRule="exact"/>
              <w:rPr>
                <w:sz w:val="20"/>
                <w:szCs w:val="20"/>
                <w:color w:val="auto"/>
              </w:rPr>
            </w:pPr>
            <w:r>
              <w:rPr>
                <w:rFonts w:ascii="Arial" w:cs="Arial" w:eastAsia="Arial" w:hAnsi="Arial"/>
                <w:sz w:val="17"/>
                <w:szCs w:val="17"/>
                <w:color w:val="auto"/>
              </w:rPr>
              <w:t> </w:t>
            </w:r>
          </w:p>
        </w:tc>
        <w:tc>
          <w:tcPr>
            <w:tcW w:w="23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540" w:type="dxa"/>
            <w:vAlign w:val="bottom"/>
          </w:tcPr>
          <w:p>
            <w:pPr>
              <w:spacing w:after="0" w:line="188" w:lineRule="exact"/>
              <w:rPr>
                <w:sz w:val="20"/>
                <w:szCs w:val="20"/>
                <w:color w:val="auto"/>
              </w:rPr>
            </w:pPr>
            <w:r>
              <w:rPr>
                <w:rFonts w:ascii="Arial" w:cs="Arial" w:eastAsia="Arial" w:hAnsi="Arial"/>
                <w:sz w:val="17"/>
                <w:szCs w:val="17"/>
                <w:color w:val="auto"/>
              </w:rPr>
              <w:t> </w:t>
            </w:r>
          </w:p>
        </w:tc>
        <w:tc>
          <w:tcPr>
            <w:tcW w:w="2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0" w:type="dxa"/>
            <w:vAlign w:val="bottom"/>
          </w:tcPr>
          <w:p>
            <w:pPr>
              <w:spacing w:after="0" w:line="188" w:lineRule="exact"/>
              <w:rPr>
                <w:sz w:val="20"/>
                <w:szCs w:val="20"/>
                <w:color w:val="auto"/>
              </w:rPr>
            </w:pPr>
            <w:r>
              <w:rPr>
                <w:rFonts w:ascii="Arial" w:cs="Arial" w:eastAsia="Arial" w:hAnsi="Arial"/>
                <w:sz w:val="17"/>
                <w:szCs w:val="17"/>
                <w:color w:val="auto"/>
              </w:rPr>
              <w:t> </w:t>
            </w:r>
          </w:p>
        </w:tc>
        <w:tc>
          <w:tcPr>
            <w:tcW w:w="2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0" w:type="dxa"/>
            <w:vAlign w:val="bottom"/>
          </w:tcPr>
          <w:p>
            <w:pPr>
              <w:spacing w:after="0" w:line="188" w:lineRule="exact"/>
              <w:rPr>
                <w:sz w:val="20"/>
                <w:szCs w:val="20"/>
                <w:color w:val="auto"/>
              </w:rPr>
            </w:pPr>
            <w:r>
              <w:rPr>
                <w:rFonts w:ascii="Arial" w:cs="Arial" w:eastAsia="Arial" w:hAnsi="Arial"/>
                <w:sz w:val="17"/>
                <w:szCs w:val="17"/>
                <w:color w:val="auto"/>
              </w:rPr>
              <w:t> </w:t>
            </w:r>
          </w:p>
        </w:tc>
        <w:tc>
          <w:tcPr>
            <w:tcW w:w="2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0" w:type="dxa"/>
            <w:vAlign w:val="bottom"/>
          </w:tcPr>
          <w:p>
            <w:pPr>
              <w:spacing w:after="0" w:line="188" w:lineRule="exact"/>
              <w:rPr>
                <w:sz w:val="20"/>
                <w:szCs w:val="20"/>
                <w:color w:val="auto"/>
              </w:rPr>
            </w:pPr>
            <w:r>
              <w:rPr>
                <w:rFonts w:ascii="Arial" w:cs="Arial" w:eastAsia="Arial" w:hAnsi="Arial"/>
                <w:sz w:val="17"/>
                <w:szCs w:val="17"/>
                <w:color w:val="auto"/>
              </w:rPr>
              <w:t> </w:t>
            </w:r>
          </w:p>
        </w:tc>
        <w:tc>
          <w:tcPr>
            <w:tcW w:w="2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0" w:type="dxa"/>
            <w:vAlign w:val="bottom"/>
          </w:tcPr>
          <w:p>
            <w:pPr>
              <w:spacing w:after="0" w:line="188" w:lineRule="exact"/>
              <w:rPr>
                <w:sz w:val="20"/>
                <w:szCs w:val="20"/>
                <w:color w:val="auto"/>
              </w:rPr>
            </w:pPr>
            <w:r>
              <w:rPr>
                <w:rFonts w:ascii="Arial" w:cs="Arial" w:eastAsia="Arial" w:hAnsi="Arial"/>
                <w:sz w:val="17"/>
                <w:szCs w:val="17"/>
                <w:color w:val="auto"/>
              </w:rPr>
              <w:t> </w:t>
            </w:r>
          </w:p>
        </w:tc>
        <w:tc>
          <w:tcPr>
            <w:tcW w:w="2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0" w:type="dxa"/>
            <w:vAlign w:val="bottom"/>
          </w:tcPr>
          <w:p>
            <w:pPr>
              <w:spacing w:after="0" w:line="188" w:lineRule="exact"/>
              <w:rPr>
                <w:sz w:val="20"/>
                <w:szCs w:val="20"/>
                <w:color w:val="auto"/>
              </w:rPr>
            </w:pPr>
            <w:r>
              <w:rPr>
                <w:rFonts w:ascii="Arial" w:cs="Arial" w:eastAsia="Arial" w:hAnsi="Arial"/>
                <w:sz w:val="17"/>
                <w:szCs w:val="17"/>
                <w:color w:val="auto"/>
              </w:rPr>
              <w:t> </w:t>
            </w:r>
          </w:p>
        </w:tc>
        <w:tc>
          <w:tcPr>
            <w:tcW w:w="2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40" w:type="dxa"/>
            <w:vAlign w:val="bottom"/>
          </w:tcPr>
          <w:p>
            <w:pPr>
              <w:spacing w:after="0"/>
              <w:rPr>
                <w:sz w:val="20"/>
                <w:szCs w:val="20"/>
                <w:color w:val="auto"/>
              </w:rPr>
            </w:pPr>
            <w:r>
              <w:rPr>
                <w:rFonts w:ascii="Arial" w:cs="Arial" w:eastAsia="Arial" w:hAnsi="Arial"/>
                <w:sz w:val="17"/>
                <w:szCs w:val="17"/>
                <w:color w:val="auto"/>
              </w:rPr>
              <w:t> </w:t>
            </w:r>
          </w:p>
        </w:tc>
        <w:tc>
          <w:tcPr>
            <w:tcW w:w="2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540" w:type="dxa"/>
            <w:vAlign w:val="bottom"/>
          </w:tcPr>
          <w:p>
            <w:pPr>
              <w:spacing w:after="0"/>
              <w:rPr>
                <w:sz w:val="20"/>
                <w:szCs w:val="20"/>
                <w:color w:val="auto"/>
              </w:rPr>
            </w:pPr>
            <w:r>
              <w:rPr>
                <w:rFonts w:ascii="Times New Roman" w:cs="Times New Roman" w:eastAsia="Times New Roman" w:hAnsi="Times New Roman"/>
                <w:sz w:val="13"/>
                <w:szCs w:val="13"/>
                <w:b w:val="1"/>
                <w:bCs w:val="1"/>
                <w:color w:val="00244F"/>
              </w:rPr>
              <w:t>8</w:t>
            </w:r>
          </w:p>
        </w:tc>
        <w:tc>
          <w:tcPr>
            <w:tcW w:w="23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00244F"/>
              </w:rPr>
              <w:t>T. Rowe Price Group</w:t>
            </w:r>
          </w:p>
        </w:tc>
        <w:tc>
          <w:tcPr>
            <w:tcW w:w="1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00244F"/>
              </w:rPr>
              <w:t> </w:t>
            </w:r>
          </w:p>
        </w:tc>
        <w:tc>
          <w:tcPr>
            <w:tcW w:w="12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00244F"/>
                <w:w w:val="75"/>
              </w:rPr>
              <w:t> </w:t>
            </w:r>
          </w:p>
        </w:tc>
        <w:tc>
          <w:tcPr>
            <w:tcW w:w="0" w:type="dxa"/>
            <w:vAlign w:val="bottom"/>
          </w:tcPr>
          <w:p>
            <w:pPr>
              <w:spacing w:after="0"/>
              <w:rPr>
                <w:sz w:val="1"/>
                <w:szCs w:val="1"/>
                <w:color w:val="auto"/>
              </w:rPr>
            </w:pPr>
          </w:p>
        </w:tc>
      </w:tr>
      <w:tr>
        <w:trPr>
          <w:trHeight w:val="385"/>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 </w:t>
            </w:r>
          </w:p>
        </w:tc>
        <w:tc>
          <w:tcPr>
            <w:tcW w:w="2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40" w:type="dxa"/>
            <w:vAlign w:val="bottom"/>
          </w:tcPr>
          <w:p>
            <w:pPr>
              <w:spacing w:after="0"/>
              <w:rPr>
                <w:sz w:val="20"/>
                <w:szCs w:val="20"/>
                <w:color w:val="auto"/>
              </w:rPr>
            </w:pPr>
            <w:r>
              <w:rPr>
                <w:rFonts w:ascii="Arial" w:cs="Arial" w:eastAsia="Arial" w:hAnsi="Arial"/>
                <w:sz w:val="17"/>
                <w:szCs w:val="17"/>
                <w:color w:val="auto"/>
              </w:rPr>
              <w:t> </w:t>
            </w:r>
          </w:p>
        </w:tc>
        <w:tc>
          <w:tcPr>
            <w:tcW w:w="2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-3103880</wp:posOffset>
            </wp:positionV>
            <wp:extent cx="5999480" cy="134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99480" cy="134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-2834005</wp:posOffset>
            </wp:positionV>
            <wp:extent cx="5999480" cy="134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99480" cy="134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-2564130</wp:posOffset>
            </wp:positionV>
            <wp:extent cx="5999480" cy="134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99480" cy="134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-2294255</wp:posOffset>
            </wp:positionV>
            <wp:extent cx="5999480" cy="134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99480" cy="134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-2024380</wp:posOffset>
            </wp:positionV>
            <wp:extent cx="5999480" cy="134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99480" cy="134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-1754505</wp:posOffset>
            </wp:positionV>
            <wp:extent cx="5999480" cy="134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99480" cy="134620"/>
                    </a:xfrm>
                    <a:prstGeom prst="rect">
                      <a:avLst/>
                    </a:prstGeom>
                    <a:noFill/>
                  </pic:spPr>
                </pic:pic>
              </a:graphicData>
            </a:graphic>
          </wp:anchor>
        </w:drawing>
        <w:drawing>
          <wp:anchor simplePos="0" relativeHeight="251657728" behindDoc="1" locked="0" layoutInCell="0" allowOverlap="1">
            <wp:simplePos x="0" y="0"/>
            <wp:positionH relativeFrom="column">
              <wp:posOffset>3285490</wp:posOffset>
            </wp:positionH>
            <wp:positionV relativeFrom="paragraph">
              <wp:posOffset>-5650865</wp:posOffset>
            </wp:positionV>
            <wp:extent cx="238125" cy="3175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38125" cy="317500"/>
                    </a:xfrm>
                    <a:prstGeom prst="rect">
                      <a:avLst/>
                    </a:prstGeom>
                    <a:noFill/>
                  </pic:spPr>
                </pic:pic>
              </a:graphicData>
            </a:graphic>
          </wp:anchor>
        </w:drawing>
        <w:drawing>
          <wp:anchor simplePos="0" relativeHeight="251657728" behindDoc="1" locked="0" layoutInCell="0" allowOverlap="1">
            <wp:simplePos x="0" y="0"/>
            <wp:positionH relativeFrom="column">
              <wp:posOffset>3801110</wp:posOffset>
            </wp:positionH>
            <wp:positionV relativeFrom="paragraph">
              <wp:posOffset>-5595620</wp:posOffset>
            </wp:positionV>
            <wp:extent cx="261620" cy="261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61620" cy="26162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-5634990</wp:posOffset>
            </wp:positionV>
            <wp:extent cx="277495" cy="3016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77495" cy="301625"/>
                    </a:xfrm>
                    <a:prstGeom prst="rect">
                      <a:avLst/>
                    </a:prstGeom>
                    <a:noFill/>
                  </pic:spPr>
                </pic:pic>
              </a:graphicData>
            </a:graphic>
          </wp:anchor>
        </w:drawing>
        <w:drawing>
          <wp:anchor simplePos="0" relativeHeight="251657728" behindDoc="1" locked="0" layoutInCell="0" allowOverlap="1">
            <wp:simplePos x="0" y="0"/>
            <wp:positionH relativeFrom="column">
              <wp:posOffset>4841240</wp:posOffset>
            </wp:positionH>
            <wp:positionV relativeFrom="paragraph">
              <wp:posOffset>-5579745</wp:posOffset>
            </wp:positionV>
            <wp:extent cx="254000" cy="2457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4000" cy="245745"/>
                    </a:xfrm>
                    <a:prstGeom prst="rect">
                      <a:avLst/>
                    </a:prstGeom>
                    <a:noFill/>
                  </pic:spPr>
                </pic:pic>
              </a:graphicData>
            </a:graphic>
          </wp:anchor>
        </w:drawing>
        <w:drawing>
          <wp:anchor simplePos="0" relativeHeight="251657728" behindDoc="1" locked="0" layoutInCell="0" allowOverlap="1">
            <wp:simplePos x="0" y="0"/>
            <wp:positionH relativeFrom="column">
              <wp:posOffset>5333365</wp:posOffset>
            </wp:positionH>
            <wp:positionV relativeFrom="paragraph">
              <wp:posOffset>-5571490</wp:posOffset>
            </wp:positionV>
            <wp:extent cx="213995" cy="2381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3995" cy="238125"/>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-5611495</wp:posOffset>
            </wp:positionV>
            <wp:extent cx="238125" cy="2774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38125" cy="277495"/>
                    </a:xfrm>
                    <a:prstGeom prst="rect">
                      <a:avLst/>
                    </a:prstGeom>
                    <a:noFill/>
                  </pic:spPr>
                </pic:pic>
              </a:graphicData>
            </a:graphic>
          </wp:anchor>
        </w:drawing>
        <w:drawing>
          <wp:anchor simplePos="0" relativeHeight="251657728" behindDoc="1" locked="0" layoutInCell="0" allowOverlap="1">
            <wp:simplePos x="0" y="0"/>
            <wp:positionH relativeFrom="column">
              <wp:posOffset>6309360</wp:posOffset>
            </wp:positionH>
            <wp:positionV relativeFrom="paragraph">
              <wp:posOffset>-5571490</wp:posOffset>
            </wp:positionV>
            <wp:extent cx="238125" cy="2381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38125" cy="238125"/>
                    </a:xfrm>
                    <a:prstGeom prst="rect">
                      <a:avLst/>
                    </a:prstGeom>
                    <a:noFill/>
                  </pic:spPr>
                </pic:pic>
              </a:graphicData>
            </a:graphic>
          </wp:anchor>
        </w:drawing>
        <w:drawing>
          <wp:anchor simplePos="0" relativeHeight="251657728" behindDoc="1" locked="0" layoutInCell="0" allowOverlap="1">
            <wp:simplePos x="0" y="0"/>
            <wp:positionH relativeFrom="column">
              <wp:posOffset>6761480</wp:posOffset>
            </wp:positionH>
            <wp:positionV relativeFrom="paragraph">
              <wp:posOffset>-5611495</wp:posOffset>
            </wp:positionV>
            <wp:extent cx="261620" cy="2774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61620" cy="277495"/>
                    </a:xfrm>
                    <a:prstGeom prst="rect">
                      <a:avLst/>
                    </a:prstGeom>
                    <a:noFill/>
                  </pic:spPr>
                </pic:pic>
              </a:graphicData>
            </a:graphic>
          </wp:anchor>
        </w:drawing>
      </w:r>
    </w:p>
    <w:p>
      <w:pPr>
        <w:sectPr>
          <w:pgSz w:w="11900" w:h="16838" w:orient="portrait"/>
          <w:cols w:equalWidth="0" w:num="1">
            <w:col w:w="11260"/>
          </w:cols>
          <w:pgMar w:left="320" w:top="223" w:right="31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0000EE"/>
        </w:rPr>
        <w:t>Table of Contents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254F"/>
        </w:rPr>
        <w:t>Nominee Biographies</w:t>
      </w:r>
    </w:p>
    <w:p>
      <w:pPr>
        <w:spacing w:after="0" w:line="220" w:lineRule="exact"/>
        <w:rPr>
          <w:sz w:val="20"/>
          <w:szCs w:val="20"/>
          <w:color w:val="auto"/>
        </w:rPr>
      </w:pPr>
    </w:p>
    <w:p>
      <w:pPr>
        <w:ind w:right="760"/>
        <w:spacing w:after="0" w:line="258" w:lineRule="auto"/>
        <w:rPr>
          <w:sz w:val="20"/>
          <w:szCs w:val="20"/>
          <w:color w:val="auto"/>
        </w:rPr>
      </w:pPr>
      <w:r>
        <w:rPr>
          <w:rFonts w:ascii="Arial" w:cs="Arial" w:eastAsia="Arial" w:hAnsi="Arial"/>
          <w:sz w:val="17"/>
          <w:szCs w:val="17"/>
          <w:color w:val="auto"/>
        </w:rPr>
        <w:t>Each of our director nominees provides significant individual attributes important to the overall makeup and functioning of our Board, which are described in the biographical summaries provided below:</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001345"/>
        </w:rPr>
        <w:t>Glenn R. August,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7142480" cy="25793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2480" cy="2579370"/>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258" w:lineRule="auto"/>
        <w:rPr>
          <w:sz w:val="20"/>
          <w:szCs w:val="20"/>
          <w:color w:val="auto"/>
        </w:rPr>
      </w:pPr>
      <w:r>
        <w:rPr>
          <w:rFonts w:ascii="Arial" w:cs="Arial" w:eastAsia="Arial" w:hAnsi="Arial"/>
          <w:sz w:val="17"/>
          <w:szCs w:val="17"/>
          <w:b w:val="1"/>
          <w:bCs w:val="1"/>
          <w:color w:val="auto"/>
        </w:rPr>
        <w:t xml:space="preserve">Chief Executive Officer of OHA </w:t>
      </w:r>
      <w:r>
        <w:rPr>
          <w:rFonts w:ascii="Arial" w:cs="Arial" w:eastAsia="Arial" w:hAnsi="Arial"/>
          <w:sz w:val="17"/>
          <w:szCs w:val="17"/>
          <w:color w:val="auto"/>
        </w:rPr>
        <w:t>T. Rowe Price Group, Inc.</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2021</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 Memberships:</w:t>
      </w:r>
    </w:p>
    <w:p>
      <w:pPr>
        <w:spacing w:after="0" w:line="179" w:lineRule="exact"/>
        <w:rPr>
          <w:sz w:val="20"/>
          <w:szCs w:val="20"/>
          <w:color w:val="auto"/>
        </w:rPr>
      </w:pPr>
    </w:p>
    <w:p>
      <w:pPr>
        <w:ind w:left="100" w:hanging="100"/>
        <w:spacing w:after="0"/>
        <w:tabs>
          <w:tab w:leader="none" w:pos="100" w:val="left"/>
        </w:tabs>
        <w:numPr>
          <w:ilvl w:val="0"/>
          <w:numId w:val="19"/>
        </w:numPr>
        <w:rPr>
          <w:rFonts w:ascii="Arial" w:cs="Arial" w:eastAsia="Arial" w:hAnsi="Arial"/>
          <w:sz w:val="17"/>
          <w:szCs w:val="17"/>
          <w:color w:val="28C0DA"/>
        </w:rPr>
      </w:pPr>
      <w:r>
        <w:rPr>
          <w:rFonts w:ascii="Arial" w:cs="Arial" w:eastAsia="Arial" w:hAnsi="Arial"/>
          <w:sz w:val="17"/>
          <w:szCs w:val="17"/>
          <w:color w:val="auto"/>
        </w:rPr>
        <w:t>Management Committee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b w:val="1"/>
          <w:bCs w:val="1"/>
          <w:color w:val="001345"/>
        </w:rPr>
        <w:t>Mark S. Bartlett, 73</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Mr. August has been a director of Price Group, a vice president, and an employee since 2021. He is the founder and chief executive officer of Oak Hill Advisors, L.P. (OHA), an alternative investment firm specializing in performing and distressed credit investments, which was acquired by, and operates within, T. Rowe Price.</w:t>
      </w:r>
    </w:p>
    <w:p>
      <w:pPr>
        <w:spacing w:after="0" w:line="1" w:lineRule="exact"/>
        <w:rPr>
          <w:sz w:val="20"/>
          <w:szCs w:val="20"/>
          <w:color w:val="auto"/>
        </w:rPr>
      </w:pPr>
    </w:p>
    <w:p>
      <w:pPr>
        <w:ind w:right="220"/>
        <w:spacing w:after="0" w:line="239" w:lineRule="auto"/>
        <w:rPr>
          <w:sz w:val="20"/>
          <w:szCs w:val="20"/>
          <w:color w:val="auto"/>
        </w:rPr>
      </w:pPr>
      <w:r>
        <w:rPr>
          <w:rFonts w:ascii="Arial" w:cs="Arial" w:eastAsia="Arial" w:hAnsi="Arial"/>
          <w:sz w:val="17"/>
          <w:szCs w:val="17"/>
          <w:color w:val="auto"/>
        </w:rPr>
        <w:t>Mr. August is a member of the Management Committee. Prior to founding OHA, and cofounding its predecessor investment firm in 1987, Mr. August worked at Morgan Stanley in New York and London.</w:t>
      </w:r>
    </w:p>
    <w:p>
      <w:pPr>
        <w:spacing w:after="0" w:line="170" w:lineRule="exact"/>
        <w:rPr>
          <w:sz w:val="20"/>
          <w:szCs w:val="20"/>
          <w:color w:val="auto"/>
        </w:rPr>
      </w:pPr>
    </w:p>
    <w:p>
      <w:pPr>
        <w:ind w:right="420"/>
        <w:spacing w:after="0" w:line="258" w:lineRule="auto"/>
        <w:rPr>
          <w:sz w:val="20"/>
          <w:szCs w:val="20"/>
          <w:color w:val="auto"/>
        </w:rPr>
      </w:pPr>
      <w:r>
        <w:rPr>
          <w:rFonts w:ascii="Arial" w:cs="Arial" w:eastAsia="Arial" w:hAnsi="Arial"/>
          <w:sz w:val="17"/>
          <w:szCs w:val="17"/>
          <w:color w:val="auto"/>
        </w:rPr>
        <w:t>Mr. August earned a B.S. in industrial and labor relations from Cornell University and an M.B.A. from Harvard Business School, where he was a Baker Scholar.</w:t>
      </w:r>
    </w:p>
    <w:p>
      <w:pPr>
        <w:spacing w:after="0" w:line="142"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Mr. August is a member of the board of directors of Lucid Group, Inc., where he serves on the audit, nominating/corporate governance, and pricing committees, as well as a member of the board of directors for MultiPlan, Inc., where he serves on the nominating/corporate governance committee. He is a member of the board of trustees of Horace Mann School, where he co-chairs the investment committee and serves on the executive committee. He is a member of the board of trustees of The Mount Sinai Medical Center, where he serves on the finance, human capital management and IT committees. He is a member of the board of directors of Partnership for New York City and the 92nd Street Y, where he co-chairs the governance committee. Mr. August is also a member of the Council on Foreign Relations and the Akbank International Advisory Board.</w:t>
      </w:r>
    </w:p>
    <w:p>
      <w:pPr>
        <w:spacing w:after="0" w:line="175" w:lineRule="exact"/>
        <w:rPr>
          <w:sz w:val="20"/>
          <w:szCs w:val="20"/>
          <w:color w:val="auto"/>
        </w:rPr>
      </w:pPr>
    </w:p>
    <w:p>
      <w:pPr>
        <w:ind w:right="340"/>
        <w:spacing w:after="0" w:line="258" w:lineRule="auto"/>
        <w:rPr>
          <w:sz w:val="20"/>
          <w:szCs w:val="20"/>
          <w:color w:val="auto"/>
        </w:rPr>
      </w:pPr>
      <w:r>
        <w:rPr>
          <w:rFonts w:ascii="Arial" w:cs="Arial" w:eastAsia="Arial" w:hAnsi="Arial"/>
          <w:sz w:val="17"/>
          <w:szCs w:val="17"/>
          <w:color w:val="auto"/>
        </w:rPr>
        <w:t>Mr. August brings to our Board insight into the alternative investment area of our business based on his role at OHA and his decades-long success in growing the OHA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-1790065</wp:posOffset>
            </wp:positionH>
            <wp:positionV relativeFrom="paragraph">
              <wp:posOffset>307340</wp:posOffset>
            </wp:positionV>
            <wp:extent cx="7142480" cy="255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2480" cy="2555240"/>
                    </a:xfrm>
                    <a:prstGeom prst="rect">
                      <a:avLst/>
                    </a:prstGeom>
                    <a:noFill/>
                  </pic:spPr>
                </pic:pic>
              </a:graphicData>
            </a:graphic>
          </wp:anchor>
        </w:drawing>
      </w:r>
    </w:p>
    <w:p>
      <w:pPr>
        <w:spacing w:after="0" w:line="575" w:lineRule="exact"/>
        <w:rPr>
          <w:sz w:val="20"/>
          <w:szCs w:val="20"/>
          <w:color w:val="auto"/>
        </w:rPr>
      </w:pPr>
    </w:p>
    <w:p>
      <w:pPr>
        <w:sectPr>
          <w:pgSz w:w="11900" w:h="16838" w:orient="portrait"/>
          <w:cols w:equalWidth="0" w:num="2">
            <w:col w:w="2440" w:space="380"/>
            <w:col w:w="8420"/>
          </w:cols>
          <w:pgMar w:left="320" w:top="31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600"/>
        <w:spacing w:after="0" w:line="258" w:lineRule="auto"/>
        <w:rPr>
          <w:sz w:val="20"/>
          <w:szCs w:val="20"/>
          <w:color w:val="auto"/>
        </w:rPr>
      </w:pPr>
      <w:r>
        <w:rPr>
          <w:rFonts w:ascii="Arial" w:cs="Arial" w:eastAsia="Arial" w:hAnsi="Arial"/>
          <w:sz w:val="17"/>
          <w:szCs w:val="17"/>
          <w:b w:val="1"/>
          <w:bCs w:val="1"/>
          <w:color w:val="auto"/>
        </w:rPr>
        <w:t xml:space="preserve">Retired Managing Partner </w:t>
      </w:r>
      <w:r>
        <w:rPr>
          <w:rFonts w:ascii="Arial" w:cs="Arial" w:eastAsia="Arial" w:hAnsi="Arial"/>
          <w:sz w:val="17"/>
          <w:szCs w:val="17"/>
          <w:color w:val="auto"/>
        </w:rPr>
        <w:t>Ernst &amp; Young</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Independent Director since: </w:t>
      </w:r>
      <w:r>
        <w:rPr>
          <w:rFonts w:ascii="Arial" w:cs="Arial" w:eastAsia="Arial" w:hAnsi="Arial"/>
          <w:sz w:val="16"/>
          <w:szCs w:val="16"/>
          <w:color w:val="auto"/>
        </w:rPr>
        <w:t>2013</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 Memberships:</w:t>
      </w:r>
    </w:p>
    <w:p>
      <w:pPr>
        <w:spacing w:after="0" w:line="179" w:lineRule="exact"/>
        <w:rPr>
          <w:sz w:val="20"/>
          <w:szCs w:val="20"/>
          <w:color w:val="auto"/>
        </w:rPr>
      </w:pPr>
    </w:p>
    <w:p>
      <w:pPr>
        <w:ind w:left="100" w:hanging="100"/>
        <w:spacing w:after="0"/>
        <w:tabs>
          <w:tab w:leader="none" w:pos="100" w:val="left"/>
        </w:tabs>
        <w:numPr>
          <w:ilvl w:val="0"/>
          <w:numId w:val="20"/>
        </w:numPr>
        <w:rPr>
          <w:rFonts w:ascii="Arial" w:cs="Arial" w:eastAsia="Arial" w:hAnsi="Arial"/>
          <w:sz w:val="17"/>
          <w:szCs w:val="17"/>
          <w:color w:val="28C0DA"/>
        </w:rPr>
      </w:pPr>
      <w:r>
        <w:rPr>
          <w:rFonts w:ascii="Arial" w:cs="Arial" w:eastAsia="Arial" w:hAnsi="Arial"/>
          <w:sz w:val="17"/>
          <w:szCs w:val="17"/>
          <w:color w:val="auto"/>
        </w:rPr>
        <w:t>Audit (Chair)</w:t>
      </w:r>
    </w:p>
    <w:p>
      <w:pPr>
        <w:spacing w:after="0" w:line="7" w:lineRule="exact"/>
        <w:rPr>
          <w:rFonts w:ascii="Arial" w:cs="Arial" w:eastAsia="Arial" w:hAnsi="Arial"/>
          <w:sz w:val="17"/>
          <w:szCs w:val="17"/>
          <w:color w:val="28C0DA"/>
        </w:rPr>
      </w:pPr>
    </w:p>
    <w:p>
      <w:pPr>
        <w:ind w:left="120" w:right="340" w:hanging="120"/>
        <w:spacing w:after="0" w:line="269" w:lineRule="auto"/>
        <w:tabs>
          <w:tab w:leader="none" w:pos="105" w:val="left"/>
        </w:tabs>
        <w:numPr>
          <w:ilvl w:val="0"/>
          <w:numId w:val="20"/>
        </w:numPr>
        <w:rPr>
          <w:rFonts w:ascii="Arial" w:cs="Arial" w:eastAsia="Arial" w:hAnsi="Arial"/>
          <w:sz w:val="16"/>
          <w:szCs w:val="16"/>
          <w:color w:val="28C0DA"/>
        </w:rPr>
      </w:pPr>
      <w:r>
        <w:rPr>
          <w:rFonts w:ascii="Arial" w:cs="Arial" w:eastAsia="Arial" w:hAnsi="Arial"/>
          <w:sz w:val="16"/>
          <w:szCs w:val="16"/>
          <w:color w:val="auto"/>
        </w:rPr>
        <w:t>Executive Compensation and Management Development</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Mr. Bartlett has been an independent director of Price Group since 2013 and serves as chair of the Audit Committee and as a member on the Executive Compensation and Management Development Committee. He was a partner at Ernst &amp; Young, serving as managing partner of the firm's Baltimore office and senior client service partner for the mid-Atlantic region. Mr. Bartlett began his career at Ernst &amp; Young in 1972, serving until 2012, and has extensive experience in financial services, as well as other industries.</w:t>
      </w:r>
    </w:p>
    <w:p>
      <w:pPr>
        <w:spacing w:after="0" w:line="160"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Mr. Bartlett earned a B.S. in accounting from West Virginia University and attended the Executive Program at the Kellogg School of Business at Northwestern University. He also earned the designation of certified public accountant.</w:t>
      </w:r>
    </w:p>
    <w:p>
      <w:pPr>
        <w:spacing w:after="0" w:line="15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Mr. Bartlett is a member of the board of directors, chair of the audit committee, and a member of the compensation committee of WillScot Mobile Mini Holdings Corp. He is also a member of the board of directors and a member of the audit committees of FTI Consulting, Inc., and Zurn Elkay Water Solutions Corp., and also serves as Zurn Elkay Water Solutions Corp.'s lead independent director.</w:t>
      </w:r>
    </w:p>
    <w:p>
      <w:pPr>
        <w:spacing w:after="0" w:line="159"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Mr. Bartlett offers our Board additional perspective on mergers and acquisitions, significant accounting and financial reporting experience, as well as expertise in the accounting-related rules and regulations of the SEC from his experience as a partner of a multi-national audit firm. He has extensive finance knowledge, with a broad range of experience in financing alternatives, including the sale of securities, debt offerings, and syndications.</w:t>
      </w:r>
    </w:p>
    <w:p>
      <w:pPr>
        <w:spacing w:after="0" w:line="221" w:lineRule="exact"/>
        <w:rPr>
          <w:sz w:val="20"/>
          <w:szCs w:val="20"/>
          <w:color w:val="auto"/>
        </w:rPr>
      </w:pPr>
    </w:p>
    <w:p>
      <w:pPr>
        <w:sectPr>
          <w:pgSz w:w="11900" w:h="16838" w:orient="portrait"/>
          <w:cols w:equalWidth="0" w:num="2">
            <w:col w:w="2620" w:space="200"/>
            <w:col w:w="8420"/>
          </w:cols>
          <w:pgMar w:left="320" w:top="310" w:right="339" w:bottom="1440" w:gutter="0" w:footer="0" w:header="0"/>
          <w:type w:val="continuous"/>
        </w:sectPr>
      </w:pP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40" w:type="dxa"/>
            <w:vAlign w:val="bottom"/>
          </w:tcPr>
          <w:p>
            <w:pPr>
              <w:ind w:left="9500"/>
              <w:spacing w:after="0"/>
              <w:rPr>
                <w:sz w:val="20"/>
                <w:szCs w:val="20"/>
                <w:color w:val="auto"/>
              </w:rPr>
            </w:pPr>
            <w:r>
              <w:rPr>
                <w:rFonts w:ascii="Times New Roman" w:cs="Times New Roman" w:eastAsia="Times New Roman" w:hAnsi="Times New Roman"/>
                <w:sz w:val="13"/>
                <w:szCs w:val="13"/>
                <w:b w:val="1"/>
                <w:bCs w:val="1"/>
                <w:color w:val="auto"/>
              </w:rPr>
              <w:t xml:space="preserve">2024 </w:t>
            </w:r>
            <w:r>
              <w:rPr>
                <w:rFonts w:ascii="Times New Roman" w:cs="Times New Roman" w:eastAsia="Times New Roman" w:hAnsi="Times New Roman"/>
                <w:sz w:val="13"/>
                <w:szCs w:val="13"/>
                <w:color w:val="auto"/>
              </w:rPr>
              <w:t>Proxy Statement</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244F"/>
              </w:rPr>
              <w:t>9</w:t>
            </w:r>
          </w:p>
        </w:tc>
      </w:tr>
      <w:tr>
        <w:trPr>
          <w:trHeight w:val="385"/>
        </w:trPr>
        <w:tc>
          <w:tcPr>
            <w:tcW w:w="10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10"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7"/>
          <w:szCs w:val="17"/>
          <w:u w:val="single" w:color="auto"/>
          <w:color w:val="0000EE"/>
        </w:rPr>
        <w:t>Table of Contents</w:t>
      </w:r>
    </w:p>
    <w:p>
      <w:pPr>
        <w:spacing w:after="0" w:line="383" w:lineRule="exact"/>
        <w:rPr>
          <w:sz w:val="20"/>
          <w:szCs w:val="20"/>
          <w:color w:val="auto"/>
        </w:rPr>
      </w:pPr>
    </w:p>
    <w:p>
      <w:pPr>
        <w:spacing w:after="0"/>
        <w:rPr>
          <w:sz w:val="20"/>
          <w:szCs w:val="20"/>
          <w:color w:val="auto"/>
        </w:rPr>
      </w:pPr>
      <w:r>
        <w:rPr>
          <w:rFonts w:ascii="Arial" w:cs="Arial" w:eastAsia="Arial" w:hAnsi="Arial"/>
          <w:sz w:val="19"/>
          <w:szCs w:val="19"/>
          <w:b w:val="1"/>
          <w:bCs w:val="1"/>
          <w:color w:val="001345"/>
        </w:rPr>
        <w:t>William P. Donnelly,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2480" cy="24841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2480" cy="248412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b w:val="1"/>
          <w:bCs w:val="1"/>
          <w:color w:val="auto"/>
        </w:rPr>
        <w:t xml:space="preserve">Retired Executive Vice President </w:t>
      </w:r>
      <w:r>
        <w:rPr>
          <w:rFonts w:ascii="Arial" w:cs="Arial" w:eastAsia="Arial" w:hAnsi="Arial"/>
          <w:sz w:val="16"/>
          <w:szCs w:val="16"/>
          <w:color w:val="auto"/>
        </w:rPr>
        <w:t>Mettler-Toledo International Inc.</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Independent Director since: </w:t>
      </w:r>
      <w:r>
        <w:rPr>
          <w:rFonts w:ascii="Arial" w:cs="Arial" w:eastAsia="Arial" w:hAnsi="Arial"/>
          <w:sz w:val="16"/>
          <w:szCs w:val="16"/>
          <w:color w:val="auto"/>
        </w:rPr>
        <w:t>2023</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 Memberships:</w:t>
      </w:r>
    </w:p>
    <w:p>
      <w:pPr>
        <w:spacing w:after="0" w:line="179" w:lineRule="exact"/>
        <w:rPr>
          <w:sz w:val="20"/>
          <w:szCs w:val="20"/>
          <w:color w:val="auto"/>
        </w:rPr>
      </w:pPr>
    </w:p>
    <w:p>
      <w:pPr>
        <w:ind w:left="100" w:hanging="100"/>
        <w:spacing w:after="0"/>
        <w:tabs>
          <w:tab w:leader="none" w:pos="100" w:val="left"/>
        </w:tabs>
        <w:numPr>
          <w:ilvl w:val="0"/>
          <w:numId w:val="21"/>
        </w:numPr>
        <w:rPr>
          <w:rFonts w:ascii="Arial" w:cs="Arial" w:eastAsia="Arial" w:hAnsi="Arial"/>
          <w:sz w:val="17"/>
          <w:szCs w:val="17"/>
          <w:color w:val="28C0DA"/>
        </w:rPr>
      </w:pPr>
      <w:r>
        <w:rPr>
          <w:rFonts w:ascii="Arial" w:cs="Arial" w:eastAsia="Arial" w:hAnsi="Arial"/>
          <w:sz w:val="17"/>
          <w:szCs w:val="17"/>
          <w:color w:val="auto"/>
        </w:rPr>
        <w:t>Audit</w:t>
      </w:r>
    </w:p>
    <w:p>
      <w:pPr>
        <w:spacing w:after="0" w:line="7" w:lineRule="exact"/>
        <w:rPr>
          <w:rFonts w:ascii="Arial" w:cs="Arial" w:eastAsia="Arial" w:hAnsi="Arial"/>
          <w:sz w:val="17"/>
          <w:szCs w:val="17"/>
          <w:color w:val="28C0DA"/>
        </w:rPr>
      </w:pPr>
    </w:p>
    <w:p>
      <w:pPr>
        <w:ind w:left="120" w:right="340" w:hanging="120"/>
        <w:spacing w:after="0" w:line="269" w:lineRule="auto"/>
        <w:tabs>
          <w:tab w:leader="none" w:pos="105" w:val="left"/>
        </w:tabs>
        <w:numPr>
          <w:ilvl w:val="0"/>
          <w:numId w:val="21"/>
        </w:numPr>
        <w:rPr>
          <w:rFonts w:ascii="Arial" w:cs="Arial" w:eastAsia="Arial" w:hAnsi="Arial"/>
          <w:sz w:val="16"/>
          <w:szCs w:val="16"/>
          <w:color w:val="28C0DA"/>
        </w:rPr>
      </w:pPr>
      <w:r>
        <w:rPr>
          <w:rFonts w:ascii="Arial" w:cs="Arial" w:eastAsia="Arial" w:hAnsi="Arial"/>
          <w:sz w:val="16"/>
          <w:szCs w:val="16"/>
          <w:color w:val="auto"/>
        </w:rPr>
        <w:t>Executive Compensation and Management Development</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001345"/>
        </w:rPr>
        <w:t>Dina Dublon, 70</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Mr. Donnelly has been an independent director of Price Group since 2023 and serves as a member on the Audit Committee and the Executive Compensation and Management Development Committee. Mr. Donnelly was the executive vice president responsible for finance, investor relations, supply chain and information technology of Mettler-Toledo International Inc. from 2014 until his retirement in 2018. From 1997 to 2002 and from 2004 to 2014, Mr. Donnelly served as Mettler-Toledo's chief financial officer. From 2002 to 2004, he served as division head of Mettler-Toledo's product inspection and certain lab businesses. From 1993 to 1997, Mr. Donnelly served in various senior financial roles, including chief financial officer, of Elsag Bailey Process Automation, NV and prior to that, he was an auditor with PricewaterhouseCoopers LLP from 1983 to 1993.</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Mr. Donnelly earned a B.S. in business administration from John Carroll University.</w:t>
      </w:r>
    </w:p>
    <w:p>
      <w:pPr>
        <w:spacing w:after="0" w:line="179"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Mr. Donnelly serves on the board of directors of Ingersoll Rand, Inc., where he serves as the lead independent director, the chair of the nominating and corporate governance committee and a member of the audit committee, and on the board of directors of Quanterix Corporation.</w:t>
      </w:r>
    </w:p>
    <w:p>
      <w:pPr>
        <w:spacing w:after="0" w:line="154" w:lineRule="exact"/>
        <w:rPr>
          <w:sz w:val="20"/>
          <w:szCs w:val="20"/>
          <w:color w:val="auto"/>
        </w:rPr>
      </w:pPr>
    </w:p>
    <w:p>
      <w:pPr>
        <w:ind w:right="240"/>
        <w:spacing w:after="0" w:line="244" w:lineRule="auto"/>
        <w:rPr>
          <w:sz w:val="20"/>
          <w:szCs w:val="20"/>
          <w:color w:val="auto"/>
        </w:rPr>
      </w:pPr>
      <w:r>
        <w:rPr>
          <w:rFonts w:ascii="Arial" w:cs="Arial" w:eastAsia="Arial" w:hAnsi="Arial"/>
          <w:sz w:val="17"/>
          <w:szCs w:val="17"/>
          <w:color w:val="auto"/>
        </w:rPr>
        <w:t>Mr. Donnelly brings to our Board substantial expertise with respect to corporate finance, operations, information technology and mergers and acquisitions gained throughout his career as executive vice president and chief financial officer of a public company.</w:t>
      </w:r>
    </w:p>
    <w:p>
      <w:pPr>
        <w:spacing w:after="0" w:line="812" w:lineRule="exact"/>
        <w:rPr>
          <w:sz w:val="20"/>
          <w:szCs w:val="20"/>
          <w:color w:val="auto"/>
        </w:rPr>
      </w:pPr>
    </w:p>
    <w:p>
      <w:pPr>
        <w:sectPr>
          <w:pgSz w:w="11900" w:h="16838" w:orient="portrait"/>
          <w:cols w:equalWidth="0" w:num="2">
            <w:col w:w="2620" w:space="200"/>
            <w:col w:w="8420"/>
          </w:cols>
          <w:pgMar w:left="320" w:top="223" w:right="339" w:bottom="1440" w:gutter="0" w:footer="0" w:header="0"/>
          <w:type w:val="continuous"/>
        </w:sectPr>
      </w:pPr>
    </w:p>
    <w:tbl>
      <w:tblPr>
        <w:tblLayout w:type="fixed"/>
        <w:tblInd w:w="0" w:type="dxa"/>
        <w:tblCellMar>
          <w:top w:w="0" w:type="dxa"/>
          <w:left w:w="0" w:type="dxa"/>
          <w:bottom w:w="0" w:type="dxa"/>
          <w:right w:w="0" w:type="dxa"/>
        </w:tblCellMar>
      </w:tblPr>
      <w:tr>
        <w:trPr>
          <w:trHeight w:val="458"/>
        </w:trPr>
        <w:tc>
          <w:tcPr>
            <w:tcW w:w="520" w:type="dxa"/>
            <w:vAlign w:val="bottom"/>
            <w:tcBorders>
              <w:top w:val="single" w:sz="8" w:color="28C0DA"/>
            </w:tcBorders>
          </w:tcPr>
          <w:p>
            <w:pPr>
              <w:spacing w:after="0"/>
              <w:rPr>
                <w:sz w:val="24"/>
                <w:szCs w:val="24"/>
                <w:color w:val="auto"/>
              </w:rPr>
            </w:pPr>
          </w:p>
        </w:tc>
        <w:tc>
          <w:tcPr>
            <w:tcW w:w="2180" w:type="dxa"/>
            <w:vAlign w:val="bottom"/>
            <w:tcBorders>
              <w:top w:val="single" w:sz="8" w:color="28C0DA"/>
              <w:right w:val="single" w:sz="8" w:color="28C0DA"/>
            </w:tcBorders>
          </w:tcPr>
          <w:p>
            <w:pPr>
              <w:spacing w:after="0"/>
              <w:rPr>
                <w:sz w:val="24"/>
                <w:szCs w:val="24"/>
                <w:color w:val="auto"/>
              </w:rPr>
            </w:pPr>
          </w:p>
        </w:tc>
        <w:tc>
          <w:tcPr>
            <w:tcW w:w="8540" w:type="dxa"/>
            <w:vAlign w:val="bottom"/>
            <w:tcBorders>
              <w:top w:val="single" w:sz="8" w:color="28C0DA"/>
            </w:tcBorders>
          </w:tcPr>
          <w:p>
            <w:pPr>
              <w:ind w:left="120"/>
              <w:spacing w:after="0"/>
              <w:rPr>
                <w:sz w:val="20"/>
                <w:szCs w:val="20"/>
                <w:color w:val="auto"/>
              </w:rPr>
            </w:pPr>
            <w:r>
              <w:rPr>
                <w:rFonts w:ascii="Arial" w:cs="Arial" w:eastAsia="Arial" w:hAnsi="Arial"/>
                <w:sz w:val="17"/>
                <w:szCs w:val="17"/>
                <w:color w:val="auto"/>
              </w:rPr>
              <w:t>Ms. Dublon has been an independent director of Price Group since 2019 and serves as a member on the Audit</w:t>
            </w:r>
          </w:p>
        </w:tc>
        <w:tc>
          <w:tcPr>
            <w:tcW w:w="0" w:type="dxa"/>
            <w:vAlign w:val="bottom"/>
          </w:tcPr>
          <w:p>
            <w:pPr>
              <w:spacing w:after="0"/>
              <w:rPr>
                <w:sz w:val="1"/>
                <w:szCs w:val="1"/>
                <w:color w:val="auto"/>
              </w:rPr>
            </w:pPr>
          </w:p>
        </w:tc>
      </w:tr>
      <w:tr>
        <w:trPr>
          <w:trHeight w:val="187"/>
        </w:trPr>
        <w:tc>
          <w:tcPr>
            <w:tcW w:w="520" w:type="dxa"/>
            <w:vAlign w:val="bottom"/>
          </w:tcPr>
          <w:p>
            <w:pPr>
              <w:spacing w:after="0"/>
              <w:rPr>
                <w:sz w:val="16"/>
                <w:szCs w:val="16"/>
                <w:color w:val="auto"/>
              </w:rPr>
            </w:pPr>
          </w:p>
        </w:tc>
        <w:tc>
          <w:tcPr>
            <w:tcW w:w="2180" w:type="dxa"/>
            <w:vAlign w:val="bottom"/>
            <w:tcBorders>
              <w:right w:val="single" w:sz="8" w:color="28C0DA"/>
            </w:tcBorders>
          </w:tcPr>
          <w:p>
            <w:pPr>
              <w:spacing w:after="0"/>
              <w:rPr>
                <w:sz w:val="16"/>
                <w:szCs w:val="16"/>
                <w:color w:val="auto"/>
              </w:rPr>
            </w:pPr>
          </w:p>
        </w:tc>
        <w:tc>
          <w:tcPr>
            <w:tcW w:w="8540" w:type="dxa"/>
            <w:vAlign w:val="bottom"/>
          </w:tcPr>
          <w:p>
            <w:pPr>
              <w:ind w:left="120"/>
              <w:spacing w:after="0" w:line="188" w:lineRule="exact"/>
              <w:rPr>
                <w:sz w:val="20"/>
                <w:szCs w:val="20"/>
                <w:color w:val="auto"/>
              </w:rPr>
            </w:pPr>
            <w:r>
              <w:rPr>
                <w:rFonts w:ascii="Arial" w:cs="Arial" w:eastAsia="Arial" w:hAnsi="Arial"/>
                <w:sz w:val="17"/>
                <w:szCs w:val="17"/>
                <w:color w:val="auto"/>
                <w:w w:val="99"/>
              </w:rPr>
              <w:t>Committee and the Executive Compensation and Management Development Committee. She was the executive</w:t>
            </w:r>
          </w:p>
        </w:tc>
        <w:tc>
          <w:tcPr>
            <w:tcW w:w="0" w:type="dxa"/>
            <w:vAlign w:val="bottom"/>
          </w:tcPr>
          <w:p>
            <w:pPr>
              <w:spacing w:after="0"/>
              <w:rPr>
                <w:sz w:val="1"/>
                <w:szCs w:val="1"/>
                <w:color w:val="auto"/>
              </w:rPr>
            </w:pPr>
          </w:p>
        </w:tc>
      </w:tr>
      <w:tr>
        <w:trPr>
          <w:trHeight w:val="187"/>
        </w:trPr>
        <w:tc>
          <w:tcPr>
            <w:tcW w:w="520" w:type="dxa"/>
            <w:vAlign w:val="bottom"/>
          </w:tcPr>
          <w:p>
            <w:pPr>
              <w:spacing w:after="0"/>
              <w:rPr>
                <w:sz w:val="16"/>
                <w:szCs w:val="16"/>
                <w:color w:val="auto"/>
              </w:rPr>
            </w:pPr>
          </w:p>
        </w:tc>
        <w:tc>
          <w:tcPr>
            <w:tcW w:w="2180" w:type="dxa"/>
            <w:vAlign w:val="bottom"/>
            <w:tcBorders>
              <w:right w:val="single" w:sz="8" w:color="28C0DA"/>
            </w:tcBorders>
          </w:tcPr>
          <w:p>
            <w:pPr>
              <w:spacing w:after="0"/>
              <w:rPr>
                <w:sz w:val="16"/>
                <w:szCs w:val="16"/>
                <w:color w:val="auto"/>
              </w:rPr>
            </w:pPr>
          </w:p>
        </w:tc>
        <w:tc>
          <w:tcPr>
            <w:tcW w:w="8540" w:type="dxa"/>
            <w:vAlign w:val="bottom"/>
          </w:tcPr>
          <w:p>
            <w:pPr>
              <w:ind w:left="120"/>
              <w:spacing w:after="0" w:line="188" w:lineRule="exact"/>
              <w:rPr>
                <w:sz w:val="20"/>
                <w:szCs w:val="20"/>
                <w:color w:val="auto"/>
              </w:rPr>
            </w:pPr>
            <w:r>
              <w:rPr>
                <w:rFonts w:ascii="Arial" w:cs="Arial" w:eastAsia="Arial" w:hAnsi="Arial"/>
                <w:sz w:val="17"/>
                <w:szCs w:val="17"/>
                <w:color w:val="auto"/>
              </w:rPr>
              <w:t>vice president and chief financial officer of JPMorgan Chase &amp; Co., a financial services company, from 1998 to</w:t>
            </w:r>
          </w:p>
        </w:tc>
        <w:tc>
          <w:tcPr>
            <w:tcW w:w="0" w:type="dxa"/>
            <w:vAlign w:val="bottom"/>
          </w:tcPr>
          <w:p>
            <w:pPr>
              <w:spacing w:after="0"/>
              <w:rPr>
                <w:sz w:val="1"/>
                <w:szCs w:val="1"/>
                <w:color w:val="auto"/>
              </w:rPr>
            </w:pPr>
          </w:p>
        </w:tc>
      </w:tr>
      <w:tr>
        <w:trPr>
          <w:trHeight w:val="187"/>
        </w:trPr>
        <w:tc>
          <w:tcPr>
            <w:tcW w:w="520" w:type="dxa"/>
            <w:vAlign w:val="bottom"/>
          </w:tcPr>
          <w:p>
            <w:pPr>
              <w:spacing w:after="0"/>
              <w:rPr>
                <w:sz w:val="16"/>
                <w:szCs w:val="16"/>
                <w:color w:val="auto"/>
              </w:rPr>
            </w:pPr>
          </w:p>
        </w:tc>
        <w:tc>
          <w:tcPr>
            <w:tcW w:w="2180" w:type="dxa"/>
            <w:vAlign w:val="bottom"/>
            <w:tcBorders>
              <w:right w:val="single" w:sz="8" w:color="28C0DA"/>
            </w:tcBorders>
          </w:tcPr>
          <w:p>
            <w:pPr>
              <w:spacing w:after="0"/>
              <w:rPr>
                <w:sz w:val="16"/>
                <w:szCs w:val="16"/>
                <w:color w:val="auto"/>
              </w:rPr>
            </w:pPr>
          </w:p>
        </w:tc>
        <w:tc>
          <w:tcPr>
            <w:tcW w:w="8540" w:type="dxa"/>
            <w:vAlign w:val="bottom"/>
          </w:tcPr>
          <w:p>
            <w:pPr>
              <w:ind w:left="120"/>
              <w:spacing w:after="0" w:line="188" w:lineRule="exact"/>
              <w:rPr>
                <w:sz w:val="20"/>
                <w:szCs w:val="20"/>
                <w:color w:val="auto"/>
              </w:rPr>
            </w:pPr>
            <w:r>
              <w:rPr>
                <w:rFonts w:ascii="Arial" w:cs="Arial" w:eastAsia="Arial" w:hAnsi="Arial"/>
                <w:sz w:val="17"/>
                <w:szCs w:val="17"/>
                <w:color w:val="auto"/>
                <w:w w:val="98"/>
              </w:rPr>
              <w:t>2004. Ms. Dublon previously held numerous positions at JPMorgan Chase &amp; Co. and its predecessor companies,</w:t>
            </w:r>
          </w:p>
        </w:tc>
        <w:tc>
          <w:tcPr>
            <w:tcW w:w="0" w:type="dxa"/>
            <w:vAlign w:val="bottom"/>
          </w:tcPr>
          <w:p>
            <w:pPr>
              <w:spacing w:after="0"/>
              <w:rPr>
                <w:sz w:val="1"/>
                <w:szCs w:val="1"/>
                <w:color w:val="auto"/>
              </w:rPr>
            </w:pPr>
          </w:p>
        </w:tc>
      </w:tr>
      <w:tr>
        <w:trPr>
          <w:trHeight w:val="187"/>
        </w:trPr>
        <w:tc>
          <w:tcPr>
            <w:tcW w:w="520" w:type="dxa"/>
            <w:vAlign w:val="bottom"/>
          </w:tcPr>
          <w:p>
            <w:pPr>
              <w:spacing w:after="0"/>
              <w:rPr>
                <w:sz w:val="16"/>
                <w:szCs w:val="16"/>
                <w:color w:val="auto"/>
              </w:rPr>
            </w:pPr>
          </w:p>
        </w:tc>
        <w:tc>
          <w:tcPr>
            <w:tcW w:w="2180" w:type="dxa"/>
            <w:vAlign w:val="bottom"/>
            <w:tcBorders>
              <w:right w:val="single" w:sz="8" w:color="28C0DA"/>
            </w:tcBorders>
          </w:tcPr>
          <w:p>
            <w:pPr>
              <w:spacing w:after="0"/>
              <w:rPr>
                <w:sz w:val="16"/>
                <w:szCs w:val="16"/>
                <w:color w:val="auto"/>
              </w:rPr>
            </w:pPr>
          </w:p>
        </w:tc>
        <w:tc>
          <w:tcPr>
            <w:tcW w:w="8540" w:type="dxa"/>
            <w:vAlign w:val="bottom"/>
          </w:tcPr>
          <w:p>
            <w:pPr>
              <w:ind w:left="120"/>
              <w:spacing w:after="0" w:line="188" w:lineRule="exact"/>
              <w:rPr>
                <w:sz w:val="20"/>
                <w:szCs w:val="20"/>
                <w:color w:val="auto"/>
              </w:rPr>
            </w:pPr>
            <w:r>
              <w:rPr>
                <w:rFonts w:ascii="Arial" w:cs="Arial" w:eastAsia="Arial" w:hAnsi="Arial"/>
                <w:sz w:val="17"/>
                <w:szCs w:val="17"/>
                <w:color w:val="auto"/>
              </w:rPr>
              <w:t>including corporate treasurer, managing director of the financial institutions' division, and head of asset liability</w:t>
            </w:r>
          </w:p>
        </w:tc>
        <w:tc>
          <w:tcPr>
            <w:tcW w:w="0" w:type="dxa"/>
            <w:vAlign w:val="bottom"/>
          </w:tcPr>
          <w:p>
            <w:pPr>
              <w:spacing w:after="0"/>
              <w:rPr>
                <w:sz w:val="1"/>
                <w:szCs w:val="1"/>
                <w:color w:val="auto"/>
              </w:rPr>
            </w:pPr>
          </w:p>
        </w:tc>
      </w:tr>
      <w:tr>
        <w:trPr>
          <w:trHeight w:val="219"/>
        </w:trPr>
        <w:tc>
          <w:tcPr>
            <w:tcW w:w="520" w:type="dxa"/>
            <w:vAlign w:val="bottom"/>
          </w:tcPr>
          <w:p>
            <w:pPr>
              <w:spacing w:after="0"/>
              <w:rPr>
                <w:sz w:val="19"/>
                <w:szCs w:val="19"/>
                <w:color w:val="auto"/>
              </w:rPr>
            </w:pPr>
          </w:p>
        </w:tc>
        <w:tc>
          <w:tcPr>
            <w:tcW w:w="2180" w:type="dxa"/>
            <w:vAlign w:val="bottom"/>
            <w:tcBorders>
              <w:right w:val="single" w:sz="8" w:color="28C0DA"/>
            </w:tcBorders>
          </w:tcPr>
          <w:p>
            <w:pPr>
              <w:spacing w:after="0"/>
              <w:rPr>
                <w:sz w:val="19"/>
                <w:szCs w:val="19"/>
                <w:color w:val="auto"/>
              </w:rPr>
            </w:pPr>
          </w:p>
        </w:tc>
        <w:tc>
          <w:tcPr>
            <w:tcW w:w="8540" w:type="dxa"/>
            <w:vAlign w:val="bottom"/>
          </w:tcPr>
          <w:p>
            <w:pPr>
              <w:ind w:left="120"/>
              <w:spacing w:after="0"/>
              <w:rPr>
                <w:sz w:val="20"/>
                <w:szCs w:val="20"/>
                <w:color w:val="auto"/>
              </w:rPr>
            </w:pPr>
            <w:r>
              <w:rPr>
                <w:rFonts w:ascii="Arial" w:cs="Arial" w:eastAsia="Arial" w:hAnsi="Arial"/>
                <w:sz w:val="17"/>
                <w:szCs w:val="17"/>
                <w:color w:val="auto"/>
              </w:rPr>
              <w:t>management.</w:t>
            </w:r>
          </w:p>
        </w:tc>
        <w:tc>
          <w:tcPr>
            <w:tcW w:w="0" w:type="dxa"/>
            <w:vAlign w:val="bottom"/>
          </w:tcPr>
          <w:p>
            <w:pPr>
              <w:spacing w:after="0"/>
              <w:rPr>
                <w:sz w:val="1"/>
                <w:szCs w:val="1"/>
                <w:color w:val="auto"/>
              </w:rPr>
            </w:pPr>
          </w:p>
        </w:tc>
      </w:tr>
      <w:tr>
        <w:trPr>
          <w:trHeight w:val="344"/>
        </w:trPr>
        <w:tc>
          <w:tcPr>
            <w:tcW w:w="520" w:type="dxa"/>
            <w:vAlign w:val="bottom"/>
          </w:tcPr>
          <w:p>
            <w:pPr>
              <w:spacing w:after="0"/>
              <w:rPr>
                <w:sz w:val="24"/>
                <w:szCs w:val="24"/>
                <w:color w:val="auto"/>
              </w:rPr>
            </w:pPr>
          </w:p>
        </w:tc>
        <w:tc>
          <w:tcPr>
            <w:tcW w:w="2180" w:type="dxa"/>
            <w:vAlign w:val="bottom"/>
            <w:tcBorders>
              <w:right w:val="single" w:sz="8" w:color="28C0DA"/>
            </w:tcBorders>
          </w:tcPr>
          <w:p>
            <w:pPr>
              <w:spacing w:after="0"/>
              <w:rPr>
                <w:sz w:val="24"/>
                <w:szCs w:val="24"/>
                <w:color w:val="auto"/>
              </w:rPr>
            </w:pPr>
          </w:p>
        </w:tc>
        <w:tc>
          <w:tcPr>
            <w:tcW w:w="8540" w:type="dxa"/>
            <w:vAlign w:val="bottom"/>
          </w:tcPr>
          <w:p>
            <w:pPr>
              <w:ind w:left="120"/>
              <w:spacing w:after="0"/>
              <w:rPr>
                <w:sz w:val="20"/>
                <w:szCs w:val="20"/>
                <w:color w:val="auto"/>
              </w:rPr>
            </w:pPr>
            <w:r>
              <w:rPr>
                <w:rFonts w:ascii="Arial" w:cs="Arial" w:eastAsia="Arial" w:hAnsi="Arial"/>
                <w:sz w:val="17"/>
                <w:szCs w:val="17"/>
                <w:color w:val="auto"/>
                <w:w w:val="98"/>
              </w:rPr>
              <w:t>Ms. Dublon earned a B.A. in economics and mathematics from Hebrew University of Jerusalem and an M.S. from</w:t>
            </w:r>
          </w:p>
        </w:tc>
        <w:tc>
          <w:tcPr>
            <w:tcW w:w="0" w:type="dxa"/>
            <w:vAlign w:val="bottom"/>
          </w:tcPr>
          <w:p>
            <w:pPr>
              <w:spacing w:after="0"/>
              <w:rPr>
                <w:sz w:val="1"/>
                <w:szCs w:val="1"/>
                <w:color w:val="auto"/>
              </w:rPr>
            </w:pPr>
          </w:p>
        </w:tc>
      </w:tr>
      <w:tr>
        <w:trPr>
          <w:trHeight w:val="219"/>
        </w:trPr>
        <w:tc>
          <w:tcPr>
            <w:tcW w:w="2700" w:type="dxa"/>
            <w:vAlign w:val="bottom"/>
            <w:tcBorders>
              <w:right w:val="single" w:sz="8" w:color="28C0DA"/>
            </w:tcBorders>
            <w:gridSpan w:val="2"/>
            <w:vMerge w:val="restart"/>
          </w:tcPr>
          <w:p>
            <w:pPr>
              <w:spacing w:after="0"/>
              <w:rPr>
                <w:sz w:val="20"/>
                <w:szCs w:val="20"/>
                <w:color w:val="auto"/>
              </w:rPr>
            </w:pPr>
            <w:r>
              <w:rPr>
                <w:rFonts w:ascii="Arial" w:cs="Arial" w:eastAsia="Arial" w:hAnsi="Arial"/>
                <w:sz w:val="17"/>
                <w:szCs w:val="17"/>
                <w:b w:val="1"/>
                <w:bCs w:val="1"/>
                <w:color w:val="auto"/>
              </w:rPr>
              <w:t>Retired Executive Vice President</w:t>
            </w:r>
          </w:p>
        </w:tc>
        <w:tc>
          <w:tcPr>
            <w:tcW w:w="8540" w:type="dxa"/>
            <w:vAlign w:val="bottom"/>
          </w:tcPr>
          <w:p>
            <w:pPr>
              <w:ind w:left="120"/>
              <w:spacing w:after="0"/>
              <w:rPr>
                <w:sz w:val="20"/>
                <w:szCs w:val="20"/>
                <w:color w:val="auto"/>
              </w:rPr>
            </w:pPr>
            <w:r>
              <w:rPr>
                <w:rFonts w:ascii="Arial" w:cs="Arial" w:eastAsia="Arial" w:hAnsi="Arial"/>
                <w:sz w:val="17"/>
                <w:szCs w:val="17"/>
                <w:color w:val="auto"/>
              </w:rPr>
              <w:t>Carnegie Mellon University.</w:t>
            </w:r>
          </w:p>
        </w:tc>
        <w:tc>
          <w:tcPr>
            <w:tcW w:w="0" w:type="dxa"/>
            <w:vAlign w:val="bottom"/>
          </w:tcPr>
          <w:p>
            <w:pPr>
              <w:spacing w:after="0"/>
              <w:rPr>
                <w:sz w:val="1"/>
                <w:szCs w:val="1"/>
                <w:color w:val="auto"/>
              </w:rPr>
            </w:pPr>
          </w:p>
        </w:tc>
      </w:tr>
      <w:tr>
        <w:trPr>
          <w:trHeight w:val="156"/>
        </w:trPr>
        <w:tc>
          <w:tcPr>
            <w:tcW w:w="2700" w:type="dxa"/>
            <w:vAlign w:val="bottom"/>
            <w:tcBorders>
              <w:right w:val="single" w:sz="8" w:color="28C0DA"/>
            </w:tcBorders>
            <w:gridSpan w:val="2"/>
            <w:vMerge w:val="continue"/>
          </w:tcPr>
          <w:p>
            <w:pPr>
              <w:spacing w:after="0"/>
              <w:rPr>
                <w:sz w:val="13"/>
                <w:szCs w:val="13"/>
                <w:color w:val="auto"/>
              </w:rPr>
            </w:pPr>
          </w:p>
        </w:tc>
        <w:tc>
          <w:tcPr>
            <w:tcW w:w="8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700" w:type="dxa"/>
            <w:vAlign w:val="bottom"/>
            <w:tcBorders>
              <w:right w:val="single" w:sz="8" w:color="28C0DA"/>
            </w:tcBorders>
            <w:gridSpan w:val="2"/>
          </w:tcPr>
          <w:p>
            <w:pPr>
              <w:spacing w:after="0" w:line="188" w:lineRule="exact"/>
              <w:rPr>
                <w:sz w:val="20"/>
                <w:szCs w:val="20"/>
                <w:color w:val="auto"/>
              </w:rPr>
            </w:pPr>
            <w:r>
              <w:rPr>
                <w:rFonts w:ascii="Arial" w:cs="Arial" w:eastAsia="Arial" w:hAnsi="Arial"/>
                <w:sz w:val="17"/>
                <w:szCs w:val="17"/>
                <w:b w:val="1"/>
                <w:bCs w:val="1"/>
                <w:color w:val="auto"/>
              </w:rPr>
              <w:t>and Chief Financial Officer</w:t>
            </w:r>
          </w:p>
        </w:tc>
        <w:tc>
          <w:tcPr>
            <w:tcW w:w="8540" w:type="dxa"/>
            <w:vAlign w:val="bottom"/>
          </w:tcPr>
          <w:p>
            <w:pPr>
              <w:ind w:left="120"/>
              <w:spacing w:after="0" w:line="188" w:lineRule="exact"/>
              <w:rPr>
                <w:sz w:val="20"/>
                <w:szCs w:val="20"/>
                <w:color w:val="auto"/>
              </w:rPr>
            </w:pPr>
            <w:r>
              <w:rPr>
                <w:rFonts w:ascii="Arial" w:cs="Arial" w:eastAsia="Arial" w:hAnsi="Arial"/>
                <w:sz w:val="17"/>
                <w:szCs w:val="17"/>
                <w:color w:val="auto"/>
              </w:rPr>
              <w:t>Ms. Dublon has been a member of the board of directors of PepsiCo, Inc., since 2005, where she serves as a</w:t>
            </w:r>
          </w:p>
        </w:tc>
        <w:tc>
          <w:tcPr>
            <w:tcW w:w="0" w:type="dxa"/>
            <w:vAlign w:val="bottom"/>
          </w:tcPr>
          <w:p>
            <w:pPr>
              <w:spacing w:after="0"/>
              <w:rPr>
                <w:sz w:val="1"/>
                <w:szCs w:val="1"/>
                <w:color w:val="auto"/>
              </w:rPr>
            </w:pPr>
          </w:p>
        </w:tc>
      </w:tr>
      <w:tr>
        <w:trPr>
          <w:trHeight w:val="187"/>
        </w:trPr>
        <w:tc>
          <w:tcPr>
            <w:tcW w:w="2700" w:type="dxa"/>
            <w:vAlign w:val="bottom"/>
            <w:tcBorders>
              <w:right w:val="single" w:sz="8" w:color="28C0DA"/>
            </w:tcBorders>
            <w:gridSpan w:val="2"/>
          </w:tcPr>
          <w:p>
            <w:pPr>
              <w:spacing w:after="0" w:line="188" w:lineRule="exact"/>
              <w:rPr>
                <w:sz w:val="20"/>
                <w:szCs w:val="20"/>
                <w:color w:val="auto"/>
              </w:rPr>
            </w:pPr>
            <w:r>
              <w:rPr>
                <w:rFonts w:ascii="Arial" w:cs="Arial" w:eastAsia="Arial" w:hAnsi="Arial"/>
                <w:sz w:val="17"/>
                <w:szCs w:val="17"/>
                <w:color w:val="auto"/>
              </w:rPr>
              <w:t>JPMorgan Chase &amp; Co.</w:t>
            </w:r>
          </w:p>
        </w:tc>
        <w:tc>
          <w:tcPr>
            <w:tcW w:w="8540" w:type="dxa"/>
            <w:vAlign w:val="bottom"/>
          </w:tcPr>
          <w:p>
            <w:pPr>
              <w:ind w:left="120"/>
              <w:spacing w:after="0" w:line="188" w:lineRule="exact"/>
              <w:rPr>
                <w:sz w:val="20"/>
                <w:szCs w:val="20"/>
                <w:color w:val="auto"/>
              </w:rPr>
            </w:pPr>
            <w:r>
              <w:rPr>
                <w:rFonts w:ascii="Arial" w:cs="Arial" w:eastAsia="Arial" w:hAnsi="Arial"/>
                <w:sz w:val="17"/>
                <w:szCs w:val="17"/>
                <w:color w:val="auto"/>
              </w:rPr>
              <w:t>member of the sustainability, diversity, and public policy committee and the compensation committee. She</w:t>
            </w:r>
          </w:p>
        </w:tc>
        <w:tc>
          <w:tcPr>
            <w:tcW w:w="0" w:type="dxa"/>
            <w:vAlign w:val="bottom"/>
          </w:tcPr>
          <w:p>
            <w:pPr>
              <w:spacing w:after="0"/>
              <w:rPr>
                <w:sz w:val="1"/>
                <w:szCs w:val="1"/>
                <w:color w:val="auto"/>
              </w:rPr>
            </w:pPr>
          </w:p>
        </w:tc>
      </w:tr>
      <w:tr>
        <w:trPr>
          <w:trHeight w:val="187"/>
        </w:trPr>
        <w:tc>
          <w:tcPr>
            <w:tcW w:w="520" w:type="dxa"/>
            <w:vAlign w:val="bottom"/>
          </w:tcPr>
          <w:p>
            <w:pPr>
              <w:spacing w:after="0"/>
              <w:rPr>
                <w:sz w:val="16"/>
                <w:szCs w:val="16"/>
                <w:color w:val="auto"/>
              </w:rPr>
            </w:pPr>
          </w:p>
        </w:tc>
        <w:tc>
          <w:tcPr>
            <w:tcW w:w="2180" w:type="dxa"/>
            <w:vAlign w:val="bottom"/>
            <w:tcBorders>
              <w:right w:val="single" w:sz="8" w:color="28C0DA"/>
            </w:tcBorders>
          </w:tcPr>
          <w:p>
            <w:pPr>
              <w:spacing w:after="0"/>
              <w:rPr>
                <w:sz w:val="16"/>
                <w:szCs w:val="16"/>
                <w:color w:val="auto"/>
              </w:rPr>
            </w:pPr>
          </w:p>
        </w:tc>
        <w:tc>
          <w:tcPr>
            <w:tcW w:w="8540" w:type="dxa"/>
            <w:vAlign w:val="bottom"/>
          </w:tcPr>
          <w:p>
            <w:pPr>
              <w:ind w:left="120"/>
              <w:spacing w:after="0" w:line="188" w:lineRule="exact"/>
              <w:rPr>
                <w:sz w:val="20"/>
                <w:szCs w:val="20"/>
                <w:color w:val="auto"/>
              </w:rPr>
            </w:pPr>
            <w:r>
              <w:rPr>
                <w:rFonts w:ascii="Arial" w:cs="Arial" w:eastAsia="Arial" w:hAnsi="Arial"/>
                <w:sz w:val="17"/>
                <w:szCs w:val="17"/>
                <w:color w:val="auto"/>
              </w:rPr>
              <w:t>previously served as chair of the audit and the sustainability and public policy committees. She serves as a</w:t>
            </w:r>
          </w:p>
        </w:tc>
        <w:tc>
          <w:tcPr>
            <w:tcW w:w="0" w:type="dxa"/>
            <w:vAlign w:val="bottom"/>
          </w:tcPr>
          <w:p>
            <w:pPr>
              <w:spacing w:after="0"/>
              <w:rPr>
                <w:sz w:val="1"/>
                <w:szCs w:val="1"/>
                <w:color w:val="auto"/>
              </w:rPr>
            </w:pPr>
          </w:p>
        </w:tc>
      </w:tr>
      <w:tr>
        <w:trPr>
          <w:trHeight w:val="187"/>
        </w:trPr>
        <w:tc>
          <w:tcPr>
            <w:tcW w:w="2700" w:type="dxa"/>
            <w:vAlign w:val="bottom"/>
            <w:tcBorders>
              <w:right w:val="single" w:sz="8" w:color="28C0DA"/>
            </w:tcBorders>
            <w:gridSpan w:val="2"/>
          </w:tcPr>
          <w:p>
            <w:pPr>
              <w:spacing w:after="0" w:line="188" w:lineRule="exact"/>
              <w:rPr>
                <w:sz w:val="20"/>
                <w:szCs w:val="20"/>
                <w:color w:val="auto"/>
              </w:rPr>
            </w:pPr>
            <w:r>
              <w:rPr>
                <w:rFonts w:ascii="Arial" w:cs="Arial" w:eastAsia="Arial" w:hAnsi="Arial"/>
                <w:sz w:val="17"/>
                <w:szCs w:val="17"/>
                <w:b w:val="1"/>
                <w:bCs w:val="1"/>
                <w:color w:val="auto"/>
                <w:w w:val="99"/>
              </w:rPr>
              <w:t xml:space="preserve">Independent Director since: </w:t>
            </w:r>
            <w:r>
              <w:rPr>
                <w:rFonts w:ascii="Arial" w:cs="Arial" w:eastAsia="Arial" w:hAnsi="Arial"/>
                <w:sz w:val="17"/>
                <w:szCs w:val="17"/>
                <w:color w:val="auto"/>
                <w:w w:val="99"/>
              </w:rPr>
              <w:t>2019</w:t>
            </w:r>
          </w:p>
        </w:tc>
        <w:tc>
          <w:tcPr>
            <w:tcW w:w="8540" w:type="dxa"/>
            <w:vAlign w:val="bottom"/>
          </w:tcPr>
          <w:p>
            <w:pPr>
              <w:ind w:left="120"/>
              <w:spacing w:after="0" w:line="188" w:lineRule="exact"/>
              <w:rPr>
                <w:sz w:val="20"/>
                <w:szCs w:val="20"/>
                <w:color w:val="auto"/>
              </w:rPr>
            </w:pPr>
            <w:r>
              <w:rPr>
                <w:rFonts w:ascii="Arial" w:cs="Arial" w:eastAsia="Arial" w:hAnsi="Arial"/>
                <w:sz w:val="17"/>
                <w:szCs w:val="17"/>
                <w:color w:val="auto"/>
                <w:w w:val="99"/>
              </w:rPr>
              <w:t>member of the independent audit quality committee of Ernst &amp; Young USA, since 2020, and is chair of the board</w:t>
            </w:r>
          </w:p>
        </w:tc>
        <w:tc>
          <w:tcPr>
            <w:tcW w:w="0" w:type="dxa"/>
            <w:vAlign w:val="bottom"/>
          </w:tcPr>
          <w:p>
            <w:pPr>
              <w:spacing w:after="0"/>
              <w:rPr>
                <w:sz w:val="1"/>
                <w:szCs w:val="1"/>
                <w:color w:val="auto"/>
              </w:rPr>
            </w:pPr>
          </w:p>
        </w:tc>
      </w:tr>
      <w:tr>
        <w:trPr>
          <w:trHeight w:val="187"/>
        </w:trPr>
        <w:tc>
          <w:tcPr>
            <w:tcW w:w="520" w:type="dxa"/>
            <w:vAlign w:val="bottom"/>
          </w:tcPr>
          <w:p>
            <w:pPr>
              <w:spacing w:after="0"/>
              <w:rPr>
                <w:sz w:val="16"/>
                <w:szCs w:val="16"/>
                <w:color w:val="auto"/>
              </w:rPr>
            </w:pPr>
          </w:p>
        </w:tc>
        <w:tc>
          <w:tcPr>
            <w:tcW w:w="2180" w:type="dxa"/>
            <w:vAlign w:val="bottom"/>
            <w:tcBorders>
              <w:right w:val="single" w:sz="8" w:color="28C0DA"/>
            </w:tcBorders>
          </w:tcPr>
          <w:p>
            <w:pPr>
              <w:spacing w:after="0"/>
              <w:rPr>
                <w:sz w:val="16"/>
                <w:szCs w:val="16"/>
                <w:color w:val="auto"/>
              </w:rPr>
            </w:pPr>
          </w:p>
        </w:tc>
        <w:tc>
          <w:tcPr>
            <w:tcW w:w="8540" w:type="dxa"/>
            <w:vAlign w:val="bottom"/>
          </w:tcPr>
          <w:p>
            <w:pPr>
              <w:ind w:left="120"/>
              <w:spacing w:after="0" w:line="188" w:lineRule="exact"/>
              <w:rPr>
                <w:sz w:val="20"/>
                <w:szCs w:val="20"/>
                <w:color w:val="auto"/>
              </w:rPr>
            </w:pPr>
            <w:r>
              <w:rPr>
                <w:rFonts w:ascii="Arial" w:cs="Arial" w:eastAsia="Arial" w:hAnsi="Arial"/>
                <w:sz w:val="17"/>
                <w:szCs w:val="17"/>
                <w:color w:val="auto"/>
              </w:rPr>
              <w:t>of advisors of Columbia University's Mailman School of Public Health. She also serves on the boards of the</w:t>
            </w:r>
          </w:p>
        </w:tc>
        <w:tc>
          <w:tcPr>
            <w:tcW w:w="0" w:type="dxa"/>
            <w:vAlign w:val="bottom"/>
          </w:tcPr>
          <w:p>
            <w:pPr>
              <w:spacing w:after="0"/>
              <w:rPr>
                <w:sz w:val="1"/>
                <w:szCs w:val="1"/>
                <w:color w:val="auto"/>
              </w:rPr>
            </w:pPr>
          </w:p>
        </w:tc>
      </w:tr>
      <w:tr>
        <w:trPr>
          <w:trHeight w:val="187"/>
        </w:trPr>
        <w:tc>
          <w:tcPr>
            <w:tcW w:w="2700" w:type="dxa"/>
            <w:vAlign w:val="bottom"/>
            <w:tcBorders>
              <w:right w:val="single" w:sz="8" w:color="28C0DA"/>
            </w:tcBorders>
            <w:gridSpan w:val="2"/>
          </w:tcPr>
          <w:p>
            <w:pPr>
              <w:spacing w:after="0" w:line="188" w:lineRule="exact"/>
              <w:rPr>
                <w:sz w:val="20"/>
                <w:szCs w:val="20"/>
                <w:color w:val="auto"/>
              </w:rPr>
            </w:pPr>
            <w:r>
              <w:rPr>
                <w:rFonts w:ascii="Arial" w:cs="Arial" w:eastAsia="Arial" w:hAnsi="Arial"/>
                <w:sz w:val="17"/>
                <w:szCs w:val="17"/>
                <w:b w:val="1"/>
                <w:bCs w:val="1"/>
                <w:color w:val="auto"/>
              </w:rPr>
              <w:t>Committee Memberships:</w:t>
            </w:r>
          </w:p>
        </w:tc>
        <w:tc>
          <w:tcPr>
            <w:tcW w:w="8540" w:type="dxa"/>
            <w:vAlign w:val="bottom"/>
          </w:tcPr>
          <w:p>
            <w:pPr>
              <w:ind w:left="120"/>
              <w:spacing w:after="0" w:line="188" w:lineRule="exact"/>
              <w:rPr>
                <w:sz w:val="20"/>
                <w:szCs w:val="20"/>
                <w:color w:val="auto"/>
              </w:rPr>
            </w:pPr>
            <w:r>
              <w:rPr>
                <w:rFonts w:ascii="Arial" w:cs="Arial" w:eastAsia="Arial" w:hAnsi="Arial"/>
                <w:sz w:val="17"/>
                <w:szCs w:val="17"/>
                <w:color w:val="auto"/>
                <w:w w:val="97"/>
              </w:rPr>
              <w:t>Hastings Center and Westchester Land Trust. From 2020 to 2023 she served as a member of board of directors of</w:t>
            </w:r>
          </w:p>
        </w:tc>
        <w:tc>
          <w:tcPr>
            <w:tcW w:w="0" w:type="dxa"/>
            <w:vAlign w:val="bottom"/>
          </w:tcPr>
          <w:p>
            <w:pPr>
              <w:spacing w:after="0"/>
              <w:rPr>
                <w:sz w:val="1"/>
                <w:szCs w:val="1"/>
                <w:color w:val="auto"/>
              </w:rPr>
            </w:pPr>
          </w:p>
        </w:tc>
      </w:tr>
      <w:tr>
        <w:trPr>
          <w:trHeight w:val="187"/>
        </w:trPr>
        <w:tc>
          <w:tcPr>
            <w:tcW w:w="520" w:type="dxa"/>
            <w:vAlign w:val="bottom"/>
          </w:tcPr>
          <w:p>
            <w:pPr>
              <w:spacing w:after="0"/>
              <w:rPr>
                <w:sz w:val="16"/>
                <w:szCs w:val="16"/>
                <w:color w:val="auto"/>
              </w:rPr>
            </w:pPr>
          </w:p>
        </w:tc>
        <w:tc>
          <w:tcPr>
            <w:tcW w:w="2180" w:type="dxa"/>
            <w:vAlign w:val="bottom"/>
            <w:tcBorders>
              <w:right w:val="single" w:sz="8" w:color="28C0DA"/>
            </w:tcBorders>
          </w:tcPr>
          <w:p>
            <w:pPr>
              <w:spacing w:after="0"/>
              <w:rPr>
                <w:sz w:val="16"/>
                <w:szCs w:val="16"/>
                <w:color w:val="auto"/>
              </w:rPr>
            </w:pPr>
          </w:p>
        </w:tc>
        <w:tc>
          <w:tcPr>
            <w:tcW w:w="8540" w:type="dxa"/>
            <w:vAlign w:val="bottom"/>
          </w:tcPr>
          <w:p>
            <w:pPr>
              <w:ind w:left="120"/>
              <w:spacing w:after="0" w:line="188" w:lineRule="exact"/>
              <w:rPr>
                <w:sz w:val="20"/>
                <w:szCs w:val="20"/>
                <w:color w:val="auto"/>
              </w:rPr>
            </w:pPr>
            <w:r>
              <w:rPr>
                <w:rFonts w:ascii="Arial" w:cs="Arial" w:eastAsia="Arial" w:hAnsi="Arial"/>
                <w:sz w:val="17"/>
                <w:szCs w:val="17"/>
                <w:color w:val="auto"/>
              </w:rPr>
              <w:t>Motive Capital Corp. I and II, as chair of the audit committees and as a member of the compensation and</w:t>
            </w:r>
          </w:p>
        </w:tc>
        <w:tc>
          <w:tcPr>
            <w:tcW w:w="0" w:type="dxa"/>
            <w:vAlign w:val="bottom"/>
          </w:tcPr>
          <w:p>
            <w:pPr>
              <w:spacing w:after="0"/>
              <w:rPr>
                <w:sz w:val="1"/>
                <w:szCs w:val="1"/>
                <w:color w:val="auto"/>
              </w:rPr>
            </w:pPr>
          </w:p>
        </w:tc>
      </w:tr>
      <w:tr>
        <w:trPr>
          <w:trHeight w:val="187"/>
        </w:trPr>
        <w:tc>
          <w:tcPr>
            <w:tcW w:w="520" w:type="dxa"/>
            <w:vAlign w:val="bottom"/>
          </w:tcPr>
          <w:p>
            <w:pPr>
              <w:spacing w:after="0" w:line="188" w:lineRule="exact"/>
              <w:rPr>
                <w:sz w:val="20"/>
                <w:szCs w:val="20"/>
                <w:color w:val="auto"/>
              </w:rPr>
            </w:pPr>
            <w:r>
              <w:rPr>
                <w:rFonts w:ascii="Arial" w:cs="Arial" w:eastAsia="Arial" w:hAnsi="Arial"/>
                <w:sz w:val="17"/>
                <w:szCs w:val="17"/>
                <w:color w:val="28C0DA"/>
              </w:rPr>
              <w:t xml:space="preserve">• </w:t>
            </w:r>
            <w:r>
              <w:rPr>
                <w:rFonts w:ascii="Arial" w:cs="Arial" w:eastAsia="Arial" w:hAnsi="Arial"/>
                <w:sz w:val="17"/>
                <w:szCs w:val="17"/>
                <w:color w:val="000000"/>
              </w:rPr>
              <w:t>Audit</w:t>
            </w:r>
          </w:p>
        </w:tc>
        <w:tc>
          <w:tcPr>
            <w:tcW w:w="2180" w:type="dxa"/>
            <w:vAlign w:val="bottom"/>
            <w:tcBorders>
              <w:right w:val="single" w:sz="8" w:color="28C0DA"/>
            </w:tcBorders>
          </w:tcPr>
          <w:p>
            <w:pPr>
              <w:spacing w:after="0"/>
              <w:rPr>
                <w:sz w:val="16"/>
                <w:szCs w:val="16"/>
                <w:color w:val="auto"/>
              </w:rPr>
            </w:pPr>
          </w:p>
        </w:tc>
        <w:tc>
          <w:tcPr>
            <w:tcW w:w="8540" w:type="dxa"/>
            <w:vAlign w:val="bottom"/>
          </w:tcPr>
          <w:p>
            <w:pPr>
              <w:ind w:left="120"/>
              <w:spacing w:after="0" w:line="188" w:lineRule="exact"/>
              <w:rPr>
                <w:sz w:val="20"/>
                <w:szCs w:val="20"/>
                <w:color w:val="auto"/>
              </w:rPr>
            </w:pPr>
            <w:r>
              <w:rPr>
                <w:rFonts w:ascii="Arial" w:cs="Arial" w:eastAsia="Arial" w:hAnsi="Arial"/>
                <w:sz w:val="17"/>
                <w:szCs w:val="17"/>
                <w:color w:val="auto"/>
                <w:w w:val="98"/>
              </w:rPr>
              <w:t>nominations and governance committees. From 2002 to 2017, Ms. Dublon served as a director of Accenture PLC;</w:t>
            </w:r>
          </w:p>
        </w:tc>
        <w:tc>
          <w:tcPr>
            <w:tcW w:w="0" w:type="dxa"/>
            <w:vAlign w:val="bottom"/>
          </w:tcPr>
          <w:p>
            <w:pPr>
              <w:spacing w:after="0"/>
              <w:rPr>
                <w:sz w:val="1"/>
                <w:szCs w:val="1"/>
                <w:color w:val="auto"/>
              </w:rPr>
            </w:pPr>
          </w:p>
        </w:tc>
      </w:tr>
      <w:tr>
        <w:trPr>
          <w:trHeight w:val="187"/>
        </w:trPr>
        <w:tc>
          <w:tcPr>
            <w:tcW w:w="2700" w:type="dxa"/>
            <w:vAlign w:val="bottom"/>
            <w:tcBorders>
              <w:right w:val="single" w:sz="8" w:color="28C0DA"/>
            </w:tcBorders>
            <w:gridSpan w:val="2"/>
          </w:tcPr>
          <w:p>
            <w:pPr>
              <w:spacing w:after="0" w:line="188" w:lineRule="exact"/>
              <w:rPr>
                <w:sz w:val="20"/>
                <w:szCs w:val="20"/>
                <w:color w:val="auto"/>
              </w:rPr>
            </w:pPr>
            <w:r>
              <w:rPr>
                <w:rFonts w:ascii="Arial" w:cs="Arial" w:eastAsia="Arial" w:hAnsi="Arial"/>
                <w:sz w:val="17"/>
                <w:szCs w:val="17"/>
                <w:color w:val="28C0DA"/>
              </w:rPr>
              <w:t xml:space="preserve">• </w:t>
            </w:r>
            <w:r>
              <w:rPr>
                <w:rFonts w:ascii="Arial" w:cs="Arial" w:eastAsia="Arial" w:hAnsi="Arial"/>
                <w:sz w:val="17"/>
                <w:szCs w:val="17"/>
                <w:color w:val="000000"/>
              </w:rPr>
              <w:t>Executive Compensation and</w:t>
            </w:r>
          </w:p>
        </w:tc>
        <w:tc>
          <w:tcPr>
            <w:tcW w:w="8540" w:type="dxa"/>
            <w:vAlign w:val="bottom"/>
          </w:tcPr>
          <w:p>
            <w:pPr>
              <w:ind w:left="120"/>
              <w:spacing w:after="0" w:line="188" w:lineRule="exact"/>
              <w:rPr>
                <w:sz w:val="20"/>
                <w:szCs w:val="20"/>
                <w:color w:val="auto"/>
              </w:rPr>
            </w:pPr>
            <w:r>
              <w:rPr>
                <w:rFonts w:ascii="Arial" w:cs="Arial" w:eastAsia="Arial" w:hAnsi="Arial"/>
                <w:sz w:val="17"/>
                <w:szCs w:val="17"/>
                <w:color w:val="auto"/>
                <w:w w:val="98"/>
              </w:rPr>
              <w:t>from 2013 to 2018, as a director of Deutsche Bank AG; from 2005 to 2014, as a director of Microsoft Corporation;</w:t>
            </w:r>
          </w:p>
        </w:tc>
        <w:tc>
          <w:tcPr>
            <w:tcW w:w="0" w:type="dxa"/>
            <w:vAlign w:val="bottom"/>
          </w:tcPr>
          <w:p>
            <w:pPr>
              <w:spacing w:after="0"/>
              <w:rPr>
                <w:sz w:val="1"/>
                <w:szCs w:val="1"/>
                <w:color w:val="auto"/>
              </w:rPr>
            </w:pPr>
          </w:p>
        </w:tc>
      </w:tr>
      <w:tr>
        <w:trPr>
          <w:trHeight w:val="187"/>
        </w:trPr>
        <w:tc>
          <w:tcPr>
            <w:tcW w:w="2700" w:type="dxa"/>
            <w:vAlign w:val="bottom"/>
            <w:tcBorders>
              <w:right w:val="single" w:sz="8" w:color="28C0DA"/>
            </w:tcBorders>
            <w:gridSpan w:val="2"/>
          </w:tcPr>
          <w:p>
            <w:pPr>
              <w:ind w:left="120"/>
              <w:spacing w:after="0" w:line="188" w:lineRule="exact"/>
              <w:rPr>
                <w:sz w:val="20"/>
                <w:szCs w:val="20"/>
                <w:color w:val="auto"/>
              </w:rPr>
            </w:pPr>
            <w:r>
              <w:rPr>
                <w:rFonts w:ascii="Arial" w:cs="Arial" w:eastAsia="Arial" w:hAnsi="Arial"/>
                <w:sz w:val="17"/>
                <w:szCs w:val="17"/>
                <w:color w:val="auto"/>
              </w:rPr>
              <w:t>Management Development</w:t>
            </w:r>
          </w:p>
        </w:tc>
        <w:tc>
          <w:tcPr>
            <w:tcW w:w="8540" w:type="dxa"/>
            <w:vAlign w:val="bottom"/>
          </w:tcPr>
          <w:p>
            <w:pPr>
              <w:ind w:left="120"/>
              <w:spacing w:after="0" w:line="188" w:lineRule="exact"/>
              <w:rPr>
                <w:sz w:val="20"/>
                <w:szCs w:val="20"/>
                <w:color w:val="auto"/>
              </w:rPr>
            </w:pPr>
            <w:r>
              <w:rPr>
                <w:rFonts w:ascii="Arial" w:cs="Arial" w:eastAsia="Arial" w:hAnsi="Arial"/>
                <w:sz w:val="17"/>
                <w:szCs w:val="17"/>
                <w:color w:val="auto"/>
              </w:rPr>
              <w:t>and from 1999 to 2002, as a director of Hartford Financial Services Group, Inc. She previously served on the</w:t>
            </w:r>
          </w:p>
        </w:tc>
        <w:tc>
          <w:tcPr>
            <w:tcW w:w="0" w:type="dxa"/>
            <w:vAlign w:val="bottom"/>
          </w:tcPr>
          <w:p>
            <w:pPr>
              <w:spacing w:after="0"/>
              <w:rPr>
                <w:sz w:val="1"/>
                <w:szCs w:val="1"/>
                <w:color w:val="auto"/>
              </w:rPr>
            </w:pPr>
          </w:p>
        </w:tc>
      </w:tr>
      <w:tr>
        <w:trPr>
          <w:trHeight w:val="187"/>
        </w:trPr>
        <w:tc>
          <w:tcPr>
            <w:tcW w:w="520" w:type="dxa"/>
            <w:vAlign w:val="bottom"/>
          </w:tcPr>
          <w:p>
            <w:pPr>
              <w:spacing w:after="0"/>
              <w:rPr>
                <w:sz w:val="16"/>
                <w:szCs w:val="16"/>
                <w:color w:val="auto"/>
              </w:rPr>
            </w:pPr>
          </w:p>
        </w:tc>
        <w:tc>
          <w:tcPr>
            <w:tcW w:w="2180" w:type="dxa"/>
            <w:vAlign w:val="bottom"/>
            <w:tcBorders>
              <w:right w:val="single" w:sz="8" w:color="28C0DA"/>
            </w:tcBorders>
          </w:tcPr>
          <w:p>
            <w:pPr>
              <w:spacing w:after="0"/>
              <w:rPr>
                <w:sz w:val="16"/>
                <w:szCs w:val="16"/>
                <w:color w:val="auto"/>
              </w:rPr>
            </w:pPr>
          </w:p>
        </w:tc>
        <w:tc>
          <w:tcPr>
            <w:tcW w:w="8540" w:type="dxa"/>
            <w:vAlign w:val="bottom"/>
          </w:tcPr>
          <w:p>
            <w:pPr>
              <w:ind w:left="120"/>
              <w:spacing w:after="0" w:line="188" w:lineRule="exact"/>
              <w:rPr>
                <w:sz w:val="20"/>
                <w:szCs w:val="20"/>
                <w:color w:val="auto"/>
              </w:rPr>
            </w:pPr>
            <w:r>
              <w:rPr>
                <w:rFonts w:ascii="Arial" w:cs="Arial" w:eastAsia="Arial" w:hAnsi="Arial"/>
                <w:sz w:val="17"/>
                <w:szCs w:val="17"/>
                <w:color w:val="auto"/>
                <w:w w:val="99"/>
              </w:rPr>
              <w:t>faculty of Harvard Business School and on the boards of several nonprofit organizations, including the Women's</w:t>
            </w:r>
          </w:p>
        </w:tc>
        <w:tc>
          <w:tcPr>
            <w:tcW w:w="0" w:type="dxa"/>
            <w:vAlign w:val="bottom"/>
          </w:tcPr>
          <w:p>
            <w:pPr>
              <w:spacing w:after="0"/>
              <w:rPr>
                <w:sz w:val="1"/>
                <w:szCs w:val="1"/>
                <w:color w:val="auto"/>
              </w:rPr>
            </w:pPr>
          </w:p>
        </w:tc>
      </w:tr>
      <w:tr>
        <w:trPr>
          <w:trHeight w:val="219"/>
        </w:trPr>
        <w:tc>
          <w:tcPr>
            <w:tcW w:w="520" w:type="dxa"/>
            <w:vAlign w:val="bottom"/>
          </w:tcPr>
          <w:p>
            <w:pPr>
              <w:spacing w:after="0"/>
              <w:rPr>
                <w:sz w:val="19"/>
                <w:szCs w:val="19"/>
                <w:color w:val="auto"/>
              </w:rPr>
            </w:pPr>
          </w:p>
        </w:tc>
        <w:tc>
          <w:tcPr>
            <w:tcW w:w="2180" w:type="dxa"/>
            <w:vAlign w:val="bottom"/>
            <w:tcBorders>
              <w:right w:val="single" w:sz="8" w:color="28C0DA"/>
            </w:tcBorders>
          </w:tcPr>
          <w:p>
            <w:pPr>
              <w:spacing w:after="0"/>
              <w:rPr>
                <w:sz w:val="19"/>
                <w:szCs w:val="19"/>
                <w:color w:val="auto"/>
              </w:rPr>
            </w:pPr>
          </w:p>
        </w:tc>
        <w:tc>
          <w:tcPr>
            <w:tcW w:w="8540" w:type="dxa"/>
            <w:vAlign w:val="bottom"/>
          </w:tcPr>
          <w:p>
            <w:pPr>
              <w:ind w:left="120"/>
              <w:spacing w:after="0"/>
              <w:rPr>
                <w:sz w:val="20"/>
                <w:szCs w:val="20"/>
                <w:color w:val="auto"/>
              </w:rPr>
            </w:pPr>
            <w:r>
              <w:rPr>
                <w:rFonts w:ascii="Arial" w:cs="Arial" w:eastAsia="Arial" w:hAnsi="Arial"/>
                <w:sz w:val="17"/>
                <w:szCs w:val="17"/>
                <w:color w:val="auto"/>
              </w:rPr>
              <w:t>Refugee Commission and Global Fund for Women.</w:t>
            </w:r>
          </w:p>
        </w:tc>
        <w:tc>
          <w:tcPr>
            <w:tcW w:w="0" w:type="dxa"/>
            <w:vAlign w:val="bottom"/>
          </w:tcPr>
          <w:p>
            <w:pPr>
              <w:spacing w:after="0"/>
              <w:rPr>
                <w:sz w:val="1"/>
                <w:szCs w:val="1"/>
                <w:color w:val="auto"/>
              </w:rPr>
            </w:pPr>
          </w:p>
        </w:tc>
      </w:tr>
      <w:tr>
        <w:trPr>
          <w:trHeight w:val="344"/>
        </w:trPr>
        <w:tc>
          <w:tcPr>
            <w:tcW w:w="520" w:type="dxa"/>
            <w:vAlign w:val="bottom"/>
          </w:tcPr>
          <w:p>
            <w:pPr>
              <w:spacing w:after="0"/>
              <w:rPr>
                <w:sz w:val="24"/>
                <w:szCs w:val="24"/>
                <w:color w:val="auto"/>
              </w:rPr>
            </w:pPr>
          </w:p>
        </w:tc>
        <w:tc>
          <w:tcPr>
            <w:tcW w:w="2180" w:type="dxa"/>
            <w:vAlign w:val="bottom"/>
            <w:tcBorders>
              <w:right w:val="single" w:sz="8" w:color="28C0DA"/>
            </w:tcBorders>
          </w:tcPr>
          <w:p>
            <w:pPr>
              <w:spacing w:after="0"/>
              <w:rPr>
                <w:sz w:val="24"/>
                <w:szCs w:val="24"/>
                <w:color w:val="auto"/>
              </w:rPr>
            </w:pPr>
          </w:p>
        </w:tc>
        <w:tc>
          <w:tcPr>
            <w:tcW w:w="8540" w:type="dxa"/>
            <w:vAlign w:val="bottom"/>
          </w:tcPr>
          <w:p>
            <w:pPr>
              <w:ind w:left="120"/>
              <w:spacing w:after="0"/>
              <w:rPr>
                <w:sz w:val="20"/>
                <w:szCs w:val="20"/>
                <w:color w:val="auto"/>
              </w:rPr>
            </w:pPr>
            <w:r>
              <w:rPr>
                <w:rFonts w:ascii="Arial" w:cs="Arial" w:eastAsia="Arial" w:hAnsi="Arial"/>
                <w:sz w:val="17"/>
                <w:szCs w:val="17"/>
                <w:color w:val="auto"/>
              </w:rPr>
              <w:t>Ms. Dublon brings to our Board significant governance experience from serving on boards of global companies,</w:t>
            </w:r>
          </w:p>
        </w:tc>
        <w:tc>
          <w:tcPr>
            <w:tcW w:w="0" w:type="dxa"/>
            <w:vAlign w:val="bottom"/>
          </w:tcPr>
          <w:p>
            <w:pPr>
              <w:spacing w:after="0"/>
              <w:rPr>
                <w:sz w:val="1"/>
                <w:szCs w:val="1"/>
                <w:color w:val="auto"/>
              </w:rPr>
            </w:pPr>
          </w:p>
        </w:tc>
      </w:tr>
      <w:tr>
        <w:trPr>
          <w:trHeight w:val="187"/>
        </w:trPr>
        <w:tc>
          <w:tcPr>
            <w:tcW w:w="520" w:type="dxa"/>
            <w:vAlign w:val="bottom"/>
          </w:tcPr>
          <w:p>
            <w:pPr>
              <w:spacing w:after="0"/>
              <w:rPr>
                <w:sz w:val="16"/>
                <w:szCs w:val="16"/>
                <w:color w:val="auto"/>
              </w:rPr>
            </w:pPr>
          </w:p>
        </w:tc>
        <w:tc>
          <w:tcPr>
            <w:tcW w:w="2180" w:type="dxa"/>
            <w:vAlign w:val="bottom"/>
            <w:tcBorders>
              <w:right w:val="single" w:sz="8" w:color="28C0DA"/>
            </w:tcBorders>
          </w:tcPr>
          <w:p>
            <w:pPr>
              <w:spacing w:after="0"/>
              <w:rPr>
                <w:sz w:val="16"/>
                <w:szCs w:val="16"/>
                <w:color w:val="auto"/>
              </w:rPr>
            </w:pPr>
          </w:p>
        </w:tc>
        <w:tc>
          <w:tcPr>
            <w:tcW w:w="8540" w:type="dxa"/>
            <w:vAlign w:val="bottom"/>
          </w:tcPr>
          <w:p>
            <w:pPr>
              <w:ind w:left="120"/>
              <w:spacing w:after="0" w:line="188" w:lineRule="exact"/>
              <w:rPr>
                <w:sz w:val="20"/>
                <w:szCs w:val="20"/>
                <w:color w:val="auto"/>
              </w:rPr>
            </w:pPr>
            <w:r>
              <w:rPr>
                <w:rFonts w:ascii="Arial" w:cs="Arial" w:eastAsia="Arial" w:hAnsi="Arial"/>
                <w:sz w:val="17"/>
                <w:szCs w:val="17"/>
                <w:color w:val="auto"/>
                <w:w w:val="97"/>
              </w:rPr>
              <w:t>accounting and financial reporting experience, as well as substantial expertise with respect to the financials sector,</w:t>
            </w:r>
          </w:p>
        </w:tc>
        <w:tc>
          <w:tcPr>
            <w:tcW w:w="0" w:type="dxa"/>
            <w:vAlign w:val="bottom"/>
          </w:tcPr>
          <w:p>
            <w:pPr>
              <w:spacing w:after="0"/>
              <w:rPr>
                <w:sz w:val="1"/>
                <w:szCs w:val="1"/>
                <w:color w:val="auto"/>
              </w:rPr>
            </w:pPr>
          </w:p>
        </w:tc>
      </w:tr>
      <w:tr>
        <w:trPr>
          <w:trHeight w:val="187"/>
        </w:trPr>
        <w:tc>
          <w:tcPr>
            <w:tcW w:w="520" w:type="dxa"/>
            <w:vAlign w:val="bottom"/>
          </w:tcPr>
          <w:p>
            <w:pPr>
              <w:spacing w:after="0"/>
              <w:rPr>
                <w:sz w:val="16"/>
                <w:szCs w:val="16"/>
                <w:color w:val="auto"/>
              </w:rPr>
            </w:pPr>
          </w:p>
        </w:tc>
        <w:tc>
          <w:tcPr>
            <w:tcW w:w="2180" w:type="dxa"/>
            <w:vAlign w:val="bottom"/>
            <w:tcBorders>
              <w:right w:val="single" w:sz="8" w:color="28C0DA"/>
            </w:tcBorders>
          </w:tcPr>
          <w:p>
            <w:pPr>
              <w:spacing w:after="0"/>
              <w:rPr>
                <w:sz w:val="16"/>
                <w:szCs w:val="16"/>
                <w:color w:val="auto"/>
              </w:rPr>
            </w:pPr>
          </w:p>
        </w:tc>
        <w:tc>
          <w:tcPr>
            <w:tcW w:w="8540" w:type="dxa"/>
            <w:vAlign w:val="bottom"/>
          </w:tcPr>
          <w:p>
            <w:pPr>
              <w:ind w:left="120"/>
              <w:spacing w:after="0" w:line="188" w:lineRule="exact"/>
              <w:rPr>
                <w:sz w:val="20"/>
                <w:szCs w:val="20"/>
                <w:color w:val="auto"/>
              </w:rPr>
            </w:pPr>
            <w:r>
              <w:rPr>
                <w:rFonts w:ascii="Arial" w:cs="Arial" w:eastAsia="Arial" w:hAnsi="Arial"/>
                <w:sz w:val="17"/>
                <w:szCs w:val="17"/>
                <w:color w:val="auto"/>
                <w:w w:val="98"/>
              </w:rPr>
              <w:t>mergers and acquisitions, global markets, public policy, and corporate finance gained throughout her career in the</w:t>
            </w:r>
          </w:p>
        </w:tc>
        <w:tc>
          <w:tcPr>
            <w:tcW w:w="0" w:type="dxa"/>
            <w:vAlign w:val="bottom"/>
          </w:tcPr>
          <w:p>
            <w:pPr>
              <w:spacing w:after="0"/>
              <w:rPr>
                <w:sz w:val="1"/>
                <w:szCs w:val="1"/>
                <w:color w:val="auto"/>
              </w:rPr>
            </w:pPr>
          </w:p>
        </w:tc>
      </w:tr>
      <w:tr>
        <w:trPr>
          <w:trHeight w:val="187"/>
        </w:trPr>
        <w:tc>
          <w:tcPr>
            <w:tcW w:w="520" w:type="dxa"/>
            <w:vAlign w:val="bottom"/>
          </w:tcPr>
          <w:p>
            <w:pPr>
              <w:spacing w:after="0"/>
              <w:rPr>
                <w:sz w:val="16"/>
                <w:szCs w:val="16"/>
                <w:color w:val="auto"/>
              </w:rPr>
            </w:pPr>
          </w:p>
        </w:tc>
        <w:tc>
          <w:tcPr>
            <w:tcW w:w="2180" w:type="dxa"/>
            <w:vAlign w:val="bottom"/>
            <w:tcBorders>
              <w:right w:val="single" w:sz="8" w:color="28C0DA"/>
            </w:tcBorders>
          </w:tcPr>
          <w:p>
            <w:pPr>
              <w:spacing w:after="0"/>
              <w:rPr>
                <w:sz w:val="16"/>
                <w:szCs w:val="16"/>
                <w:color w:val="auto"/>
              </w:rPr>
            </w:pPr>
          </w:p>
        </w:tc>
        <w:tc>
          <w:tcPr>
            <w:tcW w:w="8540" w:type="dxa"/>
            <w:vAlign w:val="bottom"/>
          </w:tcPr>
          <w:p>
            <w:pPr>
              <w:ind w:left="120"/>
              <w:spacing w:after="0" w:line="188" w:lineRule="exact"/>
              <w:rPr>
                <w:sz w:val="20"/>
                <w:szCs w:val="20"/>
                <w:color w:val="auto"/>
              </w:rPr>
            </w:pPr>
            <w:r>
              <w:rPr>
                <w:rFonts w:ascii="Arial" w:cs="Arial" w:eastAsia="Arial" w:hAnsi="Arial"/>
                <w:sz w:val="17"/>
                <w:szCs w:val="17"/>
                <w:color w:val="auto"/>
              </w:rPr>
              <w:t>financial services industry, particularly her role as executive vice president and chief financial officer of a major</w:t>
            </w:r>
          </w:p>
        </w:tc>
        <w:tc>
          <w:tcPr>
            <w:tcW w:w="0" w:type="dxa"/>
            <w:vAlign w:val="bottom"/>
          </w:tcPr>
          <w:p>
            <w:pPr>
              <w:spacing w:after="0"/>
              <w:rPr>
                <w:sz w:val="1"/>
                <w:szCs w:val="1"/>
                <w:color w:val="auto"/>
              </w:rPr>
            </w:pPr>
          </w:p>
        </w:tc>
      </w:tr>
      <w:tr>
        <w:trPr>
          <w:trHeight w:val="204"/>
        </w:trPr>
        <w:tc>
          <w:tcPr>
            <w:tcW w:w="520" w:type="dxa"/>
            <w:vAlign w:val="bottom"/>
          </w:tcPr>
          <w:p>
            <w:pPr>
              <w:spacing w:after="0"/>
              <w:rPr>
                <w:sz w:val="17"/>
                <w:szCs w:val="17"/>
                <w:color w:val="auto"/>
              </w:rPr>
            </w:pPr>
          </w:p>
        </w:tc>
        <w:tc>
          <w:tcPr>
            <w:tcW w:w="2180" w:type="dxa"/>
            <w:vAlign w:val="bottom"/>
            <w:tcBorders>
              <w:right w:val="single" w:sz="8" w:color="28C0DA"/>
            </w:tcBorders>
          </w:tcPr>
          <w:p>
            <w:pPr>
              <w:spacing w:after="0"/>
              <w:rPr>
                <w:sz w:val="17"/>
                <w:szCs w:val="17"/>
                <w:color w:val="auto"/>
              </w:rPr>
            </w:pPr>
          </w:p>
        </w:tc>
        <w:tc>
          <w:tcPr>
            <w:tcW w:w="8540" w:type="dxa"/>
            <w:vAlign w:val="bottom"/>
          </w:tcPr>
          <w:p>
            <w:pPr>
              <w:ind w:left="120"/>
              <w:spacing w:after="0"/>
              <w:rPr>
                <w:sz w:val="20"/>
                <w:szCs w:val="20"/>
                <w:color w:val="auto"/>
              </w:rPr>
            </w:pPr>
            <w:r>
              <w:rPr>
                <w:rFonts w:ascii="Arial" w:cs="Arial" w:eastAsia="Arial" w:hAnsi="Arial"/>
                <w:sz w:val="17"/>
                <w:szCs w:val="17"/>
                <w:color w:val="auto"/>
              </w:rPr>
              <w:t>financial institution.</w:t>
            </w:r>
          </w:p>
        </w:tc>
        <w:tc>
          <w:tcPr>
            <w:tcW w:w="0" w:type="dxa"/>
            <w:vAlign w:val="bottom"/>
          </w:tcPr>
          <w:p>
            <w:pPr>
              <w:spacing w:after="0"/>
              <w:rPr>
                <w:sz w:val="1"/>
                <w:szCs w:val="1"/>
                <w:color w:val="auto"/>
              </w:rPr>
            </w:pPr>
          </w:p>
        </w:tc>
      </w:tr>
      <w:tr>
        <w:trPr>
          <w:trHeight w:val="352"/>
        </w:trPr>
        <w:tc>
          <w:tcPr>
            <w:tcW w:w="520" w:type="dxa"/>
            <w:vAlign w:val="bottom"/>
          </w:tcPr>
          <w:p>
            <w:pPr>
              <w:spacing w:after="0"/>
              <w:rPr>
                <w:sz w:val="20"/>
                <w:szCs w:val="20"/>
                <w:color w:val="auto"/>
              </w:rPr>
            </w:pPr>
            <w:r>
              <w:rPr>
                <w:rFonts w:ascii="Times New Roman" w:cs="Times New Roman" w:eastAsia="Times New Roman" w:hAnsi="Times New Roman"/>
                <w:sz w:val="13"/>
                <w:szCs w:val="13"/>
                <w:b w:val="1"/>
                <w:bCs w:val="1"/>
                <w:color w:val="00244F"/>
              </w:rPr>
              <w:t>10</w:t>
            </w:r>
          </w:p>
        </w:tc>
        <w:tc>
          <w:tcPr>
            <w:tcW w:w="21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00244F"/>
              </w:rPr>
              <w:t>T. Rowe Price Group</w:t>
            </w:r>
          </w:p>
        </w:tc>
        <w:tc>
          <w:tcPr>
            <w:tcW w:w="8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-3927475</wp:posOffset>
            </wp:positionV>
            <wp:extent cx="1095375" cy="11347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95375" cy="11347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7"/>
          <w:szCs w:val="17"/>
          <w:u w:val="single" w:color="auto"/>
          <w:color w:val="0000EE"/>
        </w:rPr>
        <w:t>Table of Contents</w:t>
      </w:r>
    </w:p>
    <w:p>
      <w:pPr>
        <w:spacing w:after="0" w:line="383" w:lineRule="exact"/>
        <w:rPr>
          <w:sz w:val="20"/>
          <w:szCs w:val="20"/>
          <w:color w:val="auto"/>
        </w:rPr>
      </w:pPr>
    </w:p>
    <w:p>
      <w:pPr>
        <w:spacing w:after="0"/>
        <w:rPr>
          <w:sz w:val="20"/>
          <w:szCs w:val="20"/>
          <w:color w:val="auto"/>
        </w:rPr>
      </w:pPr>
      <w:r>
        <w:rPr>
          <w:rFonts w:ascii="Arial" w:cs="Arial" w:eastAsia="Arial" w:hAnsi="Arial"/>
          <w:sz w:val="19"/>
          <w:szCs w:val="19"/>
          <w:b w:val="1"/>
          <w:bCs w:val="1"/>
          <w:color w:val="001345"/>
        </w:rPr>
        <w:t>Robert F. MacLellan,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2480" cy="29203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2480" cy="292036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Non-Executive Chairman</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Northleaf Capital Partners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Independent Director since: </w:t>
      </w:r>
      <w:r>
        <w:rPr>
          <w:rFonts w:ascii="Arial" w:cs="Arial" w:eastAsia="Arial" w:hAnsi="Arial"/>
          <w:sz w:val="16"/>
          <w:szCs w:val="16"/>
          <w:color w:val="auto"/>
        </w:rPr>
        <w:t>2010</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 Memberships:</w:t>
      </w:r>
    </w:p>
    <w:p>
      <w:pPr>
        <w:spacing w:after="0" w:line="179" w:lineRule="exact"/>
        <w:rPr>
          <w:sz w:val="20"/>
          <w:szCs w:val="20"/>
          <w:color w:val="auto"/>
        </w:rPr>
      </w:pPr>
    </w:p>
    <w:p>
      <w:pPr>
        <w:ind w:left="100" w:hanging="100"/>
        <w:spacing w:after="0"/>
        <w:tabs>
          <w:tab w:leader="none" w:pos="100" w:val="left"/>
        </w:tabs>
        <w:numPr>
          <w:ilvl w:val="0"/>
          <w:numId w:val="22"/>
        </w:numPr>
        <w:rPr>
          <w:rFonts w:ascii="Arial" w:cs="Arial" w:eastAsia="Arial" w:hAnsi="Arial"/>
          <w:sz w:val="17"/>
          <w:szCs w:val="17"/>
          <w:color w:val="28C0DA"/>
        </w:rPr>
      </w:pPr>
      <w:r>
        <w:rPr>
          <w:rFonts w:ascii="Arial" w:cs="Arial" w:eastAsia="Arial" w:hAnsi="Arial"/>
          <w:sz w:val="17"/>
          <w:szCs w:val="17"/>
          <w:color w:val="auto"/>
        </w:rPr>
        <w:t>Audit</w:t>
      </w:r>
    </w:p>
    <w:p>
      <w:pPr>
        <w:spacing w:after="0" w:line="7" w:lineRule="exact"/>
        <w:rPr>
          <w:rFonts w:ascii="Arial" w:cs="Arial" w:eastAsia="Arial" w:hAnsi="Arial"/>
          <w:sz w:val="17"/>
          <w:szCs w:val="17"/>
          <w:color w:val="28C0DA"/>
        </w:rPr>
      </w:pPr>
    </w:p>
    <w:p>
      <w:pPr>
        <w:ind w:left="100" w:hanging="100"/>
        <w:spacing w:after="0" w:line="230" w:lineRule="auto"/>
        <w:tabs>
          <w:tab w:leader="none" w:pos="100" w:val="left"/>
        </w:tabs>
        <w:numPr>
          <w:ilvl w:val="0"/>
          <w:numId w:val="22"/>
        </w:numPr>
        <w:rPr>
          <w:rFonts w:ascii="Arial" w:cs="Arial" w:eastAsia="Arial" w:hAnsi="Arial"/>
          <w:sz w:val="17"/>
          <w:szCs w:val="17"/>
          <w:color w:val="28C0DA"/>
        </w:rPr>
      </w:pPr>
      <w:r>
        <w:rPr>
          <w:rFonts w:ascii="Arial" w:cs="Arial" w:eastAsia="Arial" w:hAnsi="Arial"/>
          <w:sz w:val="17"/>
          <w:szCs w:val="17"/>
          <w:color w:val="auto"/>
        </w:rPr>
        <w:t>Executive</w:t>
      </w:r>
    </w:p>
    <w:p>
      <w:pPr>
        <w:ind w:left="120" w:right="340" w:hanging="120"/>
        <w:spacing w:after="0" w:line="236" w:lineRule="auto"/>
        <w:tabs>
          <w:tab w:leader="none" w:pos="105" w:val="left"/>
        </w:tabs>
        <w:numPr>
          <w:ilvl w:val="0"/>
          <w:numId w:val="22"/>
        </w:numPr>
        <w:rPr>
          <w:rFonts w:ascii="Arial" w:cs="Arial" w:eastAsia="Arial" w:hAnsi="Arial"/>
          <w:sz w:val="17"/>
          <w:szCs w:val="17"/>
          <w:color w:val="28C0DA"/>
        </w:rPr>
      </w:pPr>
      <w:r>
        <w:rPr>
          <w:rFonts w:ascii="Arial" w:cs="Arial" w:eastAsia="Arial" w:hAnsi="Arial"/>
          <w:sz w:val="17"/>
          <w:szCs w:val="17"/>
          <w:color w:val="auto"/>
        </w:rPr>
        <w:t>Executive Compensation and Management Development (Chair)</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Mr. MacLellan has been an independent director of Price Group since 2010 and serves as chair of the Executive Compensation and Management Development Committee and as a member on the Audit Committee and Executive Committee. He is the non-executive chairman of Northleaf Capital Partners, an independent global private markets fund manager and advisor. Mr. MacLellan served as chief investment officer of TD Bank Financial Group (TDBFG) from 2003 to 2009, where he was responsible for overseeing the management of investments for its Employee Pension Fund, The Toronto-Dominion Bank, TD Mutual Funds, and TD Capital Group. Earlier in his career, he was managing director of Lancaster Financial Holdings, a merchant banking group acquired by TDBFG in March 1995. Prior to that, Mr. MacLellan was vice president and director at McLeod Young Weir Limited (Scotia McLeod) and a member of the corporate finance department responsible for many corporate underwritings and financial advisory assignments.</w:t>
      </w:r>
    </w:p>
    <w:p>
      <w:pPr>
        <w:spacing w:after="0" w:line="156" w:lineRule="exact"/>
        <w:rPr>
          <w:sz w:val="20"/>
          <w:szCs w:val="20"/>
          <w:color w:val="auto"/>
        </w:rPr>
      </w:pPr>
    </w:p>
    <w:p>
      <w:pPr>
        <w:ind w:right="200"/>
        <w:spacing w:after="0" w:line="258" w:lineRule="auto"/>
        <w:rPr>
          <w:sz w:val="20"/>
          <w:szCs w:val="20"/>
          <w:color w:val="auto"/>
        </w:rPr>
      </w:pPr>
      <w:r>
        <w:rPr>
          <w:rFonts w:ascii="Arial" w:cs="Arial" w:eastAsia="Arial" w:hAnsi="Arial"/>
          <w:sz w:val="17"/>
          <w:szCs w:val="17"/>
          <w:color w:val="auto"/>
        </w:rPr>
        <w:t>Mr. MacLellan earned a B.Com. from Carleton University and an M.B.A. from Harvard Business School. He also earned the designation of certified public accountant.</w:t>
      </w:r>
    </w:p>
    <w:p>
      <w:pPr>
        <w:spacing w:after="0" w:line="142"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Mr. MacLellan is the non-executive chair of the board of directors and a member of the technology committee of Magna International, Inc., a public company based in Aurora, Ontario. From 2012 to 2018, he was the chair of the board of Yellow Media, Inc., a public company based in Montreal.</w:t>
      </w:r>
    </w:p>
    <w:p>
      <w:pPr>
        <w:spacing w:after="0" w:line="154"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Mr. MacLellan brings substantial experience and perspective to the Board with respect to the financial services industry, particularly his expertise with respect to investment-related matters, including those relating to the mutual fund industry and the institutional management of investment funds, based on his tenure as chief investment officer of a major financial institution. He also brings an international perspective to the Board as well as significant accounting and financial reporting experience.</w:t>
      </w:r>
    </w:p>
    <w:p>
      <w:pPr>
        <w:spacing w:after="0" w:line="163" w:lineRule="exact"/>
        <w:rPr>
          <w:sz w:val="20"/>
          <w:szCs w:val="20"/>
          <w:color w:val="auto"/>
        </w:rPr>
      </w:pPr>
    </w:p>
    <w:p>
      <w:pPr>
        <w:sectPr>
          <w:pgSz w:w="11900" w:h="16838" w:orient="portrait"/>
          <w:cols w:equalWidth="0" w:num="2">
            <w:col w:w="2620" w:space="200"/>
            <w:col w:w="8420"/>
          </w:cols>
          <w:pgMar w:left="320" w:top="223" w:right="339" w:bottom="1440" w:gutter="0" w:footer="0" w:header="0"/>
          <w:type w:val="continuous"/>
        </w:sectPr>
      </w:pPr>
    </w:p>
    <w:p>
      <w:pPr>
        <w:spacing w:after="0"/>
        <w:rPr>
          <w:sz w:val="20"/>
          <w:szCs w:val="20"/>
          <w:color w:val="auto"/>
        </w:rPr>
      </w:pPr>
      <w:r>
        <w:rPr>
          <w:rFonts w:ascii="Arial" w:cs="Arial" w:eastAsia="Arial" w:hAnsi="Arial"/>
          <w:sz w:val="20"/>
          <w:szCs w:val="20"/>
          <w:b w:val="1"/>
          <w:bCs w:val="1"/>
          <w:color w:val="001345"/>
        </w:rPr>
        <w:t>Eileen P. Rominger,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7142480" cy="26269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2480" cy="262699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2820"/>
        <w:spacing w:after="0" w:line="232" w:lineRule="auto"/>
        <w:rPr>
          <w:sz w:val="20"/>
          <w:szCs w:val="20"/>
          <w:color w:val="auto"/>
        </w:rPr>
      </w:pPr>
      <w:r>
        <w:rPr>
          <w:rFonts w:ascii="Arial" w:cs="Arial" w:eastAsia="Arial" w:hAnsi="Arial"/>
          <w:sz w:val="17"/>
          <w:szCs w:val="17"/>
          <w:color w:val="auto"/>
        </w:rPr>
        <w:t>Ms. Rominger has been an independent director of Price Group since 2021 and serves as a member on the Executive Compensation and Management Development Committee and the Nominating and Corporate Governance Committee. She was a senior advisor to CamberView Partners, LLC, a provider of investor-led advice for management and boards of public companies on shareholder engagement and corporate governance, from 2013 to 2018. Ms. Rominger also was the director of the Division of Investment Management at the Securities and Exchange Commission (SEC) from 2011 to 2012 and was the global chief investment officer from 2008 to 2011 and a partner from 2004 to 2011 at Goldman Sachs Asset Management. She began her career in 1981 at Oppenheimer Capital, where she worked for 18 years as a securities analyst and then as an equity portfolio manager, serving as a managing director and a member of the executive committee.</w:t>
      </w:r>
    </w:p>
    <w:p>
      <w:pPr>
        <w:spacing w:after="0" w:line="233" w:lineRule="auto"/>
        <w:rPr>
          <w:sz w:val="20"/>
          <w:szCs w:val="20"/>
          <w:color w:val="auto"/>
        </w:rPr>
      </w:pPr>
      <w:r>
        <w:rPr>
          <w:rFonts w:ascii="Arial" w:cs="Arial" w:eastAsia="Arial" w:hAnsi="Arial"/>
          <w:sz w:val="17"/>
          <w:szCs w:val="17"/>
          <w:b w:val="1"/>
          <w:bCs w:val="1"/>
          <w:color w:val="auto"/>
        </w:rPr>
        <w:t>Former Senior Advisor</w:t>
      </w:r>
    </w:p>
    <w:p>
      <w:pPr>
        <w:ind w:left="2820" w:right="280" w:hanging="2811"/>
        <w:spacing w:after="0" w:line="230" w:lineRule="auto"/>
        <w:tabs>
          <w:tab w:leader="none" w:pos="2800" w:val="left"/>
        </w:tabs>
        <w:rPr>
          <w:sz w:val="20"/>
          <w:szCs w:val="20"/>
          <w:color w:val="auto"/>
        </w:rPr>
      </w:pPr>
      <w:r>
        <w:rPr>
          <w:rFonts w:ascii="Arial" w:cs="Arial" w:eastAsia="Arial" w:hAnsi="Arial"/>
          <w:sz w:val="17"/>
          <w:szCs w:val="17"/>
          <w:color w:val="auto"/>
        </w:rPr>
        <w:t>CamberView Partners, LLC</w:t>
      </w:r>
      <w:r>
        <w:rPr>
          <w:sz w:val="20"/>
          <w:szCs w:val="20"/>
          <w:color w:val="auto"/>
        </w:rPr>
        <w:tab/>
      </w:r>
      <w:r>
        <w:rPr>
          <w:rFonts w:ascii="Arial" w:cs="Arial" w:eastAsia="Arial" w:hAnsi="Arial"/>
          <w:sz w:val="17"/>
          <w:szCs w:val="17"/>
          <w:color w:val="auto"/>
        </w:rPr>
        <w:t>Ms. Rominger earned a B.A. in English from Fairfield University and an M.B.A. in finance from the University of Pennsylvania, The Wharton School.</w:t>
      </w:r>
    </w:p>
    <w:p>
      <w:pPr>
        <w:spacing w:after="0" w:line="230" w:lineRule="auto"/>
        <w:rPr>
          <w:sz w:val="20"/>
          <w:szCs w:val="20"/>
          <w:color w:val="auto"/>
        </w:rPr>
      </w:pPr>
      <w:r>
        <w:rPr>
          <w:rFonts w:ascii="Arial" w:cs="Arial" w:eastAsia="Arial" w:hAnsi="Arial"/>
          <w:sz w:val="17"/>
          <w:szCs w:val="17"/>
          <w:b w:val="1"/>
          <w:bCs w:val="1"/>
          <w:color w:val="auto"/>
        </w:rPr>
        <w:t xml:space="preserve">Independent Director since: </w:t>
      </w:r>
      <w:r>
        <w:rPr>
          <w:rFonts w:ascii="Arial" w:cs="Arial" w:eastAsia="Arial" w:hAnsi="Arial"/>
          <w:sz w:val="17"/>
          <w:szCs w:val="17"/>
          <w:color w:val="auto"/>
        </w:rPr>
        <w:t>2021</w:t>
      </w:r>
    </w:p>
    <w:p>
      <w:pPr>
        <w:ind w:left="2820"/>
        <w:spacing w:after="0" w:line="230" w:lineRule="auto"/>
        <w:rPr>
          <w:sz w:val="20"/>
          <w:szCs w:val="20"/>
          <w:color w:val="auto"/>
        </w:rPr>
      </w:pPr>
      <w:r>
        <w:rPr>
          <w:rFonts w:ascii="Arial" w:cs="Arial" w:eastAsia="Arial" w:hAnsi="Arial"/>
          <w:sz w:val="17"/>
          <w:szCs w:val="17"/>
          <w:color w:val="auto"/>
        </w:rPr>
        <w:t>Ms. Rominger served as a member of the board of directors of Swiss Re from 2018 to 2020 and served as a</w:t>
      </w:r>
    </w:p>
    <w:p>
      <w:pPr>
        <w:spacing w:after="0" w:line="1" w:lineRule="exact"/>
        <w:rPr>
          <w:sz w:val="20"/>
          <w:szCs w:val="20"/>
          <w:color w:val="auto"/>
        </w:rPr>
      </w:pPr>
    </w:p>
    <w:p>
      <w:pPr>
        <w:ind w:left="2820" w:right="160" w:hanging="2811"/>
        <w:spacing w:after="0" w:line="230" w:lineRule="auto"/>
        <w:tabs>
          <w:tab w:leader="none" w:pos="2800" w:val="left"/>
        </w:tabs>
        <w:rPr>
          <w:sz w:val="20"/>
          <w:szCs w:val="20"/>
          <w:color w:val="auto"/>
        </w:rPr>
      </w:pPr>
      <w:r>
        <w:rPr>
          <w:rFonts w:ascii="Arial" w:cs="Arial" w:eastAsia="Arial" w:hAnsi="Arial"/>
          <w:sz w:val="17"/>
          <w:szCs w:val="17"/>
          <w:b w:val="1"/>
          <w:bCs w:val="1"/>
          <w:color w:val="auto"/>
        </w:rPr>
        <w:t>Committee Memberships:</w:t>
      </w:r>
      <w:r>
        <w:rPr>
          <w:sz w:val="20"/>
          <w:szCs w:val="20"/>
          <w:color w:val="auto"/>
        </w:rPr>
        <w:tab/>
      </w:r>
      <w:r>
        <w:rPr>
          <w:rFonts w:ascii="Arial" w:cs="Arial" w:eastAsia="Arial" w:hAnsi="Arial"/>
          <w:sz w:val="17"/>
          <w:szCs w:val="17"/>
          <w:color w:val="auto"/>
        </w:rPr>
        <w:t>director on several of its subsidiaries until 2022. She previously served on the board of directors of Permal Asset Management, Inc., a private company, from 2012 to 2013.</w:t>
      </w:r>
    </w:p>
    <w:p>
      <w:pPr>
        <w:ind w:left="100" w:hanging="100"/>
        <w:spacing w:after="0" w:line="230" w:lineRule="auto"/>
        <w:tabs>
          <w:tab w:leader="none" w:pos="100" w:val="left"/>
        </w:tabs>
        <w:numPr>
          <w:ilvl w:val="0"/>
          <w:numId w:val="23"/>
        </w:numPr>
        <w:rPr>
          <w:rFonts w:ascii="Arial" w:cs="Arial" w:eastAsia="Arial" w:hAnsi="Arial"/>
          <w:sz w:val="17"/>
          <w:szCs w:val="17"/>
          <w:color w:val="28C0DA"/>
        </w:rPr>
      </w:pPr>
      <w:r>
        <w:rPr>
          <w:rFonts w:ascii="Arial" w:cs="Arial" w:eastAsia="Arial" w:hAnsi="Arial"/>
          <w:sz w:val="17"/>
          <w:szCs w:val="17"/>
          <w:color w:val="auto"/>
        </w:rPr>
        <w:t>Executive Compensation and</w:t>
      </w:r>
    </w:p>
    <w:tbl>
      <w:tblPr>
        <w:tblLayout w:type="fixed"/>
        <w:tblInd w:w="0" w:type="dxa"/>
        <w:tblCellMar>
          <w:top w:w="0" w:type="dxa"/>
          <w:left w:w="0" w:type="dxa"/>
          <w:bottom w:w="0" w:type="dxa"/>
          <w:right w:w="0" w:type="dxa"/>
        </w:tblCellMar>
      </w:tblPr>
      <w:tr>
        <w:trPr>
          <w:trHeight w:val="172"/>
        </w:trPr>
        <w:tc>
          <w:tcPr>
            <w:tcW w:w="2460" w:type="dxa"/>
            <w:vAlign w:val="bottom"/>
          </w:tcPr>
          <w:p>
            <w:pPr>
              <w:ind w:left="120"/>
              <w:spacing w:after="0" w:line="172" w:lineRule="exact"/>
              <w:rPr>
                <w:sz w:val="20"/>
                <w:szCs w:val="20"/>
                <w:color w:val="auto"/>
              </w:rPr>
            </w:pPr>
            <w:r>
              <w:rPr>
                <w:rFonts w:ascii="Arial" w:cs="Arial" w:eastAsia="Arial" w:hAnsi="Arial"/>
                <w:sz w:val="17"/>
                <w:szCs w:val="17"/>
                <w:color w:val="auto"/>
              </w:rPr>
              <w:t>Management Development</w:t>
            </w:r>
          </w:p>
        </w:tc>
        <w:tc>
          <w:tcPr>
            <w:tcW w:w="8780" w:type="dxa"/>
            <w:vAlign w:val="bottom"/>
            <w:gridSpan w:val="2"/>
          </w:tcPr>
          <w:p>
            <w:pPr>
              <w:ind w:left="360"/>
              <w:spacing w:after="0" w:line="172" w:lineRule="exact"/>
              <w:rPr>
                <w:sz w:val="20"/>
                <w:szCs w:val="20"/>
                <w:color w:val="auto"/>
              </w:rPr>
            </w:pPr>
            <w:r>
              <w:rPr>
                <w:rFonts w:ascii="Arial" w:cs="Arial" w:eastAsia="Arial" w:hAnsi="Arial"/>
                <w:sz w:val="17"/>
                <w:szCs w:val="17"/>
                <w:color w:val="auto"/>
                <w:w w:val="98"/>
              </w:rPr>
              <w:t>Ms. Rominger brings a broad range of valuable leadership and investment management experience to our Board.</w:t>
            </w:r>
          </w:p>
        </w:tc>
      </w:tr>
      <w:tr>
        <w:trPr>
          <w:trHeight w:val="187"/>
        </w:trPr>
        <w:tc>
          <w:tcPr>
            <w:tcW w:w="2460" w:type="dxa"/>
            <w:vAlign w:val="bottom"/>
          </w:tcPr>
          <w:p>
            <w:pPr>
              <w:spacing w:after="0" w:line="188" w:lineRule="exact"/>
              <w:rPr>
                <w:sz w:val="20"/>
                <w:szCs w:val="20"/>
                <w:color w:val="auto"/>
              </w:rPr>
            </w:pPr>
            <w:r>
              <w:rPr>
                <w:rFonts w:ascii="Arial" w:cs="Arial" w:eastAsia="Arial" w:hAnsi="Arial"/>
                <w:sz w:val="17"/>
                <w:szCs w:val="17"/>
                <w:color w:val="28C0DA"/>
              </w:rPr>
              <w:t xml:space="preserve">• </w:t>
            </w:r>
            <w:r>
              <w:rPr>
                <w:rFonts w:ascii="Arial" w:cs="Arial" w:eastAsia="Arial" w:hAnsi="Arial"/>
                <w:sz w:val="17"/>
                <w:szCs w:val="17"/>
                <w:color w:val="000000"/>
              </w:rPr>
              <w:t>Nominating and Corporate</w:t>
            </w:r>
          </w:p>
        </w:tc>
        <w:tc>
          <w:tcPr>
            <w:tcW w:w="8780" w:type="dxa"/>
            <w:vAlign w:val="bottom"/>
            <w:gridSpan w:val="2"/>
          </w:tcPr>
          <w:p>
            <w:pPr>
              <w:ind w:left="360"/>
              <w:spacing w:after="0" w:line="188" w:lineRule="exact"/>
              <w:rPr>
                <w:sz w:val="20"/>
                <w:szCs w:val="20"/>
                <w:color w:val="auto"/>
              </w:rPr>
            </w:pPr>
            <w:r>
              <w:rPr>
                <w:rFonts w:ascii="Arial" w:cs="Arial" w:eastAsia="Arial" w:hAnsi="Arial"/>
                <w:sz w:val="17"/>
                <w:szCs w:val="17"/>
                <w:color w:val="auto"/>
                <w:w w:val="97"/>
              </w:rPr>
              <w:t>She also has extensive experience with complex issues relevant to the Company's business, including budget and</w:t>
            </w:r>
          </w:p>
        </w:tc>
      </w:tr>
      <w:tr>
        <w:trPr>
          <w:trHeight w:val="219"/>
        </w:trPr>
        <w:tc>
          <w:tcPr>
            <w:tcW w:w="2460" w:type="dxa"/>
            <w:vAlign w:val="bottom"/>
          </w:tcPr>
          <w:p>
            <w:pPr>
              <w:ind w:left="120"/>
              <w:spacing w:after="0"/>
              <w:rPr>
                <w:sz w:val="20"/>
                <w:szCs w:val="20"/>
                <w:color w:val="auto"/>
              </w:rPr>
            </w:pPr>
            <w:r>
              <w:rPr>
                <w:rFonts w:ascii="Arial" w:cs="Arial" w:eastAsia="Arial" w:hAnsi="Arial"/>
                <w:sz w:val="17"/>
                <w:szCs w:val="17"/>
                <w:color w:val="auto"/>
              </w:rPr>
              <w:t>Governance</w:t>
            </w:r>
          </w:p>
        </w:tc>
        <w:tc>
          <w:tcPr>
            <w:tcW w:w="8440" w:type="dxa"/>
            <w:vAlign w:val="bottom"/>
          </w:tcPr>
          <w:p>
            <w:pPr>
              <w:ind w:left="360"/>
              <w:spacing w:after="0"/>
              <w:rPr>
                <w:sz w:val="20"/>
                <w:szCs w:val="20"/>
                <w:color w:val="auto"/>
              </w:rPr>
            </w:pPr>
            <w:r>
              <w:rPr>
                <w:rFonts w:ascii="Arial" w:cs="Arial" w:eastAsia="Arial" w:hAnsi="Arial"/>
                <w:sz w:val="17"/>
                <w:szCs w:val="17"/>
                <w:color w:val="auto"/>
              </w:rPr>
              <w:t>fiscal responsibility, economic, regulatory policy, and women's issues.</w:t>
            </w:r>
          </w:p>
        </w:tc>
        <w:tc>
          <w:tcPr>
            <w:tcW w:w="340" w:type="dxa"/>
            <w:vAlign w:val="bottom"/>
          </w:tcPr>
          <w:p>
            <w:pPr>
              <w:spacing w:after="0"/>
              <w:rPr>
                <w:sz w:val="19"/>
                <w:szCs w:val="19"/>
                <w:color w:val="auto"/>
              </w:rPr>
            </w:pPr>
          </w:p>
        </w:tc>
      </w:tr>
      <w:tr>
        <w:trPr>
          <w:trHeight w:val="438"/>
        </w:trPr>
        <w:tc>
          <w:tcPr>
            <w:tcW w:w="2460" w:type="dxa"/>
            <w:vAlign w:val="bottom"/>
          </w:tcPr>
          <w:p>
            <w:pPr>
              <w:spacing w:after="0"/>
              <w:rPr>
                <w:sz w:val="24"/>
                <w:szCs w:val="24"/>
                <w:color w:val="auto"/>
              </w:rPr>
            </w:pPr>
          </w:p>
        </w:tc>
        <w:tc>
          <w:tcPr>
            <w:tcW w:w="8440" w:type="dxa"/>
            <w:vAlign w:val="bottom"/>
          </w:tcPr>
          <w:p>
            <w:pPr>
              <w:ind w:left="7040"/>
              <w:spacing w:after="0"/>
              <w:rPr>
                <w:sz w:val="20"/>
                <w:szCs w:val="20"/>
                <w:color w:val="auto"/>
              </w:rPr>
            </w:pPr>
            <w:r>
              <w:rPr>
                <w:rFonts w:ascii="Times New Roman" w:cs="Times New Roman" w:eastAsia="Times New Roman" w:hAnsi="Times New Roman"/>
                <w:sz w:val="13"/>
                <w:szCs w:val="13"/>
                <w:b w:val="1"/>
                <w:bCs w:val="1"/>
                <w:color w:val="auto"/>
              </w:rPr>
              <w:t xml:space="preserve">2024 </w:t>
            </w:r>
            <w:r>
              <w:rPr>
                <w:rFonts w:ascii="Times New Roman" w:cs="Times New Roman" w:eastAsia="Times New Roman" w:hAnsi="Times New Roman"/>
                <w:sz w:val="13"/>
                <w:szCs w:val="13"/>
                <w:color w:val="auto"/>
              </w:rPr>
              <w:t>Proxy Statement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244F"/>
              </w:rPr>
              <w:t>11</w:t>
            </w:r>
          </w:p>
        </w:tc>
      </w:tr>
      <w:tr>
        <w:trPr>
          <w:trHeight w:val="385"/>
        </w:trPr>
        <w:tc>
          <w:tcPr>
            <w:tcW w:w="246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3"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7"/>
          <w:szCs w:val="17"/>
          <w:u w:val="single" w:color="auto"/>
          <w:color w:val="0000EE"/>
        </w:rPr>
        <w:t>Table of Contents</w:t>
      </w: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001345"/>
        </w:rPr>
        <w:t>Robert W. Sharps,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1198245" cy="1150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98245" cy="1150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39" w:lineRule="auto"/>
        <w:rPr>
          <w:sz w:val="20"/>
          <w:szCs w:val="20"/>
          <w:color w:val="auto"/>
        </w:rPr>
      </w:pPr>
      <w:r>
        <w:rPr>
          <w:rFonts w:ascii="Arial" w:cs="Arial" w:eastAsia="Arial" w:hAnsi="Arial"/>
          <w:sz w:val="17"/>
          <w:szCs w:val="17"/>
          <w:b w:val="1"/>
          <w:bCs w:val="1"/>
          <w:color w:val="auto"/>
        </w:rPr>
        <w:t>Chief Executive Officer and President</w:t>
      </w:r>
    </w:p>
    <w:p>
      <w:pPr>
        <w:spacing w:after="0" w:line="2" w:lineRule="exact"/>
        <w:rPr>
          <w:sz w:val="20"/>
          <w:szCs w:val="20"/>
          <w:color w:val="auto"/>
        </w:rPr>
      </w:pPr>
    </w:p>
    <w:p>
      <w:pPr>
        <w:ind w:right="120"/>
        <w:spacing w:after="0" w:line="482" w:lineRule="auto"/>
        <w:rPr>
          <w:sz w:val="20"/>
          <w:szCs w:val="20"/>
          <w:color w:val="auto"/>
        </w:rPr>
      </w:pPr>
      <w:r>
        <w:rPr>
          <w:rFonts w:ascii="Arial" w:cs="Arial" w:eastAsia="Arial" w:hAnsi="Arial"/>
          <w:sz w:val="16"/>
          <w:szCs w:val="16"/>
          <w:color w:val="auto"/>
        </w:rPr>
        <w:t xml:space="preserve">T. Rowe Price Group, Inc. </w:t>
      </w: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2021</w:t>
      </w:r>
      <w:r>
        <w:rPr>
          <w:rFonts w:ascii="Arial" w:cs="Arial" w:eastAsia="Arial" w:hAnsi="Arial"/>
          <w:sz w:val="16"/>
          <w:szCs w:val="16"/>
          <w:b w:val="1"/>
          <w:bCs w:val="1"/>
          <w:color w:val="auto"/>
        </w:rPr>
        <w:t xml:space="preserve"> Committee Memberships:</w:t>
      </w:r>
    </w:p>
    <w:p>
      <w:pPr>
        <w:ind w:left="100" w:hanging="100"/>
        <w:spacing w:after="0"/>
        <w:tabs>
          <w:tab w:leader="none" w:pos="100" w:val="left"/>
        </w:tabs>
        <w:numPr>
          <w:ilvl w:val="0"/>
          <w:numId w:val="24"/>
        </w:numPr>
        <w:rPr>
          <w:rFonts w:ascii="Arial" w:cs="Arial" w:eastAsia="Arial" w:hAnsi="Arial"/>
          <w:sz w:val="17"/>
          <w:szCs w:val="17"/>
          <w:color w:val="28C0DA"/>
        </w:rPr>
      </w:pPr>
      <w:r>
        <w:rPr>
          <w:rFonts w:ascii="Arial" w:cs="Arial" w:eastAsia="Arial" w:hAnsi="Arial"/>
          <w:sz w:val="17"/>
          <w:szCs w:val="17"/>
          <w:color w:val="auto"/>
        </w:rPr>
        <w:t>Executive (Chair)</w:t>
      </w:r>
    </w:p>
    <w:p>
      <w:pPr>
        <w:spacing w:after="0" w:line="7" w:lineRule="exact"/>
        <w:rPr>
          <w:rFonts w:ascii="Arial" w:cs="Arial" w:eastAsia="Arial" w:hAnsi="Arial"/>
          <w:sz w:val="17"/>
          <w:szCs w:val="17"/>
          <w:color w:val="28C0DA"/>
        </w:rPr>
      </w:pPr>
    </w:p>
    <w:p>
      <w:pPr>
        <w:ind w:left="100" w:hanging="100"/>
        <w:spacing w:after="0"/>
        <w:tabs>
          <w:tab w:leader="none" w:pos="100" w:val="left"/>
        </w:tabs>
        <w:numPr>
          <w:ilvl w:val="0"/>
          <w:numId w:val="24"/>
        </w:numPr>
        <w:rPr>
          <w:rFonts w:ascii="Arial" w:cs="Arial" w:eastAsia="Arial" w:hAnsi="Arial"/>
          <w:sz w:val="17"/>
          <w:szCs w:val="17"/>
          <w:color w:val="28C0DA"/>
        </w:rPr>
      </w:pPr>
      <w:r>
        <w:rPr>
          <w:rFonts w:ascii="Arial" w:cs="Arial" w:eastAsia="Arial" w:hAnsi="Arial"/>
          <w:sz w:val="17"/>
          <w:szCs w:val="17"/>
          <w:color w:val="auto"/>
        </w:rPr>
        <w:t>Management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b w:val="1"/>
          <w:bCs w:val="1"/>
          <w:color w:val="001345"/>
        </w:rPr>
        <w:t>Cynthia F. Smith, 55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Mr. Sharps has been a director of Price Group since 2021. He is the chief executive officer (CEO) and president of Price Group and is the chair of the Company's Executive, Management, and Management Compensation and Development Committees. Mr. Sharps has been with Price Group since 1997, beginning as an analyst specializing in financial services stocks, including banks, asset managers, and securities brokers, in the U.S. Equity Division. He was the lead portfolio manager of the Institutional Large-Cap Growth Equity Strategy from 2001 to 2016. In 2016, Mr. Sharps stepped down from portfolio management to assume an investment leadership position as co-head of Global Equity, at which time he joined the Management Committee. He was head of Investments and group chief investment officer from 2017 to 2021. In February 2021, Mr. Sharps became President of Price Group and then CEO in January 2022. Prior to Price Group, he completed an internship as an equity research analyst at Wellington Management. Mr. Sharps also was employed by KPMG Peat Marwick as a senior management consultant, where he focused on corporate transactions, before leaving to pursue his M.B.A. in 1995.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-1553845</wp:posOffset>
            </wp:positionV>
            <wp:extent cx="7620" cy="31426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20" cy="3142615"/>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Mr. Sharps earned a B.S., summa cum laude, in accounting from Towson University and an M.B.A. in finance from</w:t>
      </w:r>
    </w:p>
    <w:p>
      <w:pPr>
        <w:spacing w:after="0" w:line="20" w:lineRule="exact"/>
        <w:rPr>
          <w:sz w:val="20"/>
          <w:szCs w:val="20"/>
          <w:color w:val="auto"/>
        </w:rPr>
      </w:pPr>
    </w:p>
    <w:p>
      <w:pPr>
        <w:ind w:left="40" w:right="500" w:hanging="45"/>
        <w:spacing w:after="0" w:line="202" w:lineRule="auto"/>
        <w:rPr>
          <w:sz w:val="20"/>
          <w:szCs w:val="20"/>
          <w:color w:val="auto"/>
        </w:rPr>
      </w:pPr>
      <w:r>
        <w:rPr>
          <w:rFonts w:ascii="Arial" w:cs="Arial" w:eastAsia="Arial" w:hAnsi="Arial"/>
          <w:sz w:val="17"/>
          <w:szCs w:val="17"/>
          <w:color w:val="auto"/>
        </w:rPr>
        <w:t>the University of Pennsylvania, The Wharton School. He also has earned the Chartered Financial Analyst</w:t>
      </w:r>
      <w:r>
        <w:rPr>
          <w:rFonts w:ascii="Arial" w:cs="Arial" w:eastAsia="Arial" w:hAnsi="Arial"/>
          <w:sz w:val="27"/>
          <w:szCs w:val="27"/>
          <w:color w:val="auto"/>
          <w:vertAlign w:val="superscript"/>
        </w:rPr>
        <w:t>®</w:t>
      </w:r>
      <w:r>
        <w:rPr>
          <w:rFonts w:ascii="Arial" w:cs="Arial" w:eastAsia="Arial" w:hAnsi="Arial"/>
          <w:sz w:val="17"/>
          <w:szCs w:val="17"/>
          <w:color w:val="auto"/>
        </w:rPr>
        <w:t>​ designation.</w:t>
      </w:r>
    </w:p>
    <w:p>
      <w:pPr>
        <w:spacing w:after="0" w:line="158"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Mr. Sharps currently serves on the board of directors of the Baltimore Curriculum Project. He previously served on the St. Paul's School board of trustees and was chair of the investment committee from July 2015 to June 2020. He also spent six years on Towson University's College of Business and Economics alumni advisory board.</w:t>
      </w:r>
    </w:p>
    <w:p>
      <w:pPr>
        <w:spacing w:after="0" w:line="136"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Mr. Sharps brings to our Board insight into the critical investment component of our business based on the leadership roles he has held in the Equity Division of Price Group and his over 25-year career with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CFA</w:t>
      </w:r>
      <w:r>
        <w:rPr>
          <w:rFonts w:ascii="Arial" w:cs="Arial" w:eastAsia="Arial" w:hAnsi="Arial"/>
          <w:sz w:val="27"/>
          <w:szCs w:val="27"/>
          <w:color w:val="auto"/>
          <w:vertAlign w:val="superscript"/>
        </w:rPr>
        <w:t>®</w:t>
      </w:r>
      <w:r>
        <w:rPr>
          <w:rFonts w:ascii="Arial" w:cs="Arial" w:eastAsia="Arial" w:hAnsi="Arial"/>
          <w:sz w:val="17"/>
          <w:szCs w:val="17"/>
          <w:color w:val="auto"/>
        </w:rPr>
        <w:t>​and Chartered Financial Analyst</w:t>
      </w:r>
      <w:r>
        <w:rPr>
          <w:rFonts w:ascii="Arial" w:cs="Arial" w:eastAsia="Arial" w:hAnsi="Arial"/>
          <w:sz w:val="27"/>
          <w:szCs w:val="27"/>
          <w:color w:val="auto"/>
          <w:vertAlign w:val="superscript"/>
        </w:rPr>
        <w:t>®</w:t>
      </w:r>
      <w:r>
        <w:rPr>
          <w:rFonts w:ascii="Arial" w:cs="Arial" w:eastAsia="Arial" w:hAnsi="Arial"/>
          <w:sz w:val="17"/>
          <w:szCs w:val="17"/>
          <w:color w:val="auto"/>
        </w:rPr>
        <w:t>​are registered trademarks owned by CFA Institute.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-1790065</wp:posOffset>
            </wp:positionH>
            <wp:positionV relativeFrom="paragraph">
              <wp:posOffset>280670</wp:posOffset>
            </wp:positionV>
            <wp:extent cx="7142480" cy="2801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2480" cy="2801620"/>
                    </a:xfrm>
                    <a:prstGeom prst="rect">
                      <a:avLst/>
                    </a:prstGeom>
                    <a:noFill/>
                  </pic:spPr>
                </pic:pic>
              </a:graphicData>
            </a:graphic>
          </wp:anchor>
        </w:drawing>
      </w:r>
    </w:p>
    <w:p>
      <w:pPr>
        <w:spacing w:after="0" w:line="533" w:lineRule="exact"/>
        <w:rPr>
          <w:sz w:val="20"/>
          <w:szCs w:val="20"/>
          <w:color w:val="auto"/>
        </w:rPr>
      </w:pPr>
    </w:p>
    <w:p>
      <w:pPr>
        <w:sectPr>
          <w:pgSz w:w="11900" w:h="16838" w:orient="portrait"/>
          <w:cols w:equalWidth="0" w:num="2">
            <w:col w:w="2160" w:space="660"/>
            <w:col w:w="8400"/>
          </w:cols>
          <w:pgMar w:left="320" w:top="22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Senior Vice President, Regional</w:t>
      </w:r>
    </w:p>
    <w:p>
      <w:pPr>
        <w:spacing w:after="0"/>
        <w:rPr>
          <w:sz w:val="20"/>
          <w:szCs w:val="20"/>
          <w:color w:val="auto"/>
        </w:rPr>
      </w:pPr>
      <w:r>
        <w:rPr>
          <w:rFonts w:ascii="Arial" w:cs="Arial" w:eastAsia="Arial" w:hAnsi="Arial"/>
          <w:sz w:val="17"/>
          <w:szCs w:val="17"/>
          <w:b w:val="1"/>
          <w:bCs w:val="1"/>
          <w:color w:val="auto"/>
        </w:rPr>
        <w:t>Business and Distribution</w:t>
      </w:r>
    </w:p>
    <w:p>
      <w:pPr>
        <w:spacing w:after="0" w:line="230" w:lineRule="auto"/>
        <w:rPr>
          <w:sz w:val="20"/>
          <w:szCs w:val="20"/>
          <w:color w:val="auto"/>
        </w:rPr>
      </w:pPr>
      <w:r>
        <w:rPr>
          <w:rFonts w:ascii="Arial" w:cs="Arial" w:eastAsia="Arial" w:hAnsi="Arial"/>
          <w:sz w:val="17"/>
          <w:szCs w:val="17"/>
          <w:b w:val="1"/>
          <w:bCs w:val="1"/>
          <w:color w:val="auto"/>
        </w:rPr>
        <w:t>Development</w:t>
      </w:r>
    </w:p>
    <w:p>
      <w:pPr>
        <w:spacing w:after="0"/>
        <w:rPr>
          <w:sz w:val="20"/>
          <w:szCs w:val="20"/>
          <w:color w:val="auto"/>
        </w:rPr>
      </w:pPr>
      <w:r>
        <w:rPr>
          <w:rFonts w:ascii="Arial" w:cs="Arial" w:eastAsia="Arial" w:hAnsi="Arial"/>
          <w:sz w:val="17"/>
          <w:szCs w:val="17"/>
          <w:color w:val="auto"/>
        </w:rPr>
        <w:t>MetLife, Inc.</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Independent Director since: </w:t>
      </w:r>
      <w:r>
        <w:rPr>
          <w:rFonts w:ascii="Arial" w:cs="Arial" w:eastAsia="Arial" w:hAnsi="Arial"/>
          <w:sz w:val="16"/>
          <w:szCs w:val="16"/>
          <w:color w:val="auto"/>
        </w:rPr>
        <w:t>2023</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 Memberships:</w:t>
      </w:r>
    </w:p>
    <w:p>
      <w:pPr>
        <w:spacing w:after="0" w:line="179" w:lineRule="exact"/>
        <w:rPr>
          <w:sz w:val="20"/>
          <w:szCs w:val="20"/>
          <w:color w:val="auto"/>
        </w:rPr>
      </w:pPr>
    </w:p>
    <w:p>
      <w:pPr>
        <w:ind w:left="100" w:hanging="100"/>
        <w:spacing w:after="0"/>
        <w:tabs>
          <w:tab w:leader="none" w:pos="100" w:val="left"/>
        </w:tabs>
        <w:numPr>
          <w:ilvl w:val="0"/>
          <w:numId w:val="25"/>
        </w:numPr>
        <w:rPr>
          <w:rFonts w:ascii="Arial" w:cs="Arial" w:eastAsia="Arial" w:hAnsi="Arial"/>
          <w:sz w:val="17"/>
          <w:szCs w:val="17"/>
          <w:color w:val="28C0DA"/>
        </w:rPr>
      </w:pPr>
      <w:r>
        <w:rPr>
          <w:rFonts w:ascii="Arial" w:cs="Arial" w:eastAsia="Arial" w:hAnsi="Arial"/>
          <w:sz w:val="17"/>
          <w:szCs w:val="17"/>
          <w:color w:val="auto"/>
        </w:rPr>
        <w:t>Audit</w:t>
      </w:r>
    </w:p>
    <w:p>
      <w:pPr>
        <w:spacing w:after="0" w:line="7" w:lineRule="exact"/>
        <w:rPr>
          <w:rFonts w:ascii="Arial" w:cs="Arial" w:eastAsia="Arial" w:hAnsi="Arial"/>
          <w:sz w:val="17"/>
          <w:szCs w:val="17"/>
          <w:color w:val="28C0DA"/>
        </w:rPr>
      </w:pPr>
    </w:p>
    <w:p>
      <w:pPr>
        <w:ind w:left="120" w:right="340" w:hanging="120"/>
        <w:spacing w:after="0" w:line="269" w:lineRule="auto"/>
        <w:tabs>
          <w:tab w:leader="none" w:pos="105" w:val="left"/>
        </w:tabs>
        <w:numPr>
          <w:ilvl w:val="0"/>
          <w:numId w:val="25"/>
        </w:numPr>
        <w:rPr>
          <w:rFonts w:ascii="Arial" w:cs="Arial" w:eastAsia="Arial" w:hAnsi="Arial"/>
          <w:sz w:val="16"/>
          <w:szCs w:val="16"/>
          <w:color w:val="28C0DA"/>
        </w:rPr>
      </w:pPr>
      <w:r>
        <w:rPr>
          <w:rFonts w:ascii="Arial" w:cs="Arial" w:eastAsia="Arial" w:hAnsi="Arial"/>
          <w:sz w:val="16"/>
          <w:szCs w:val="16"/>
          <w:color w:val="auto"/>
        </w:rPr>
        <w:t>Executive Compensation and Management Development</w:t>
      </w:r>
    </w:p>
    <w:p>
      <w:pPr>
        <w:spacing w:after="0" w:line="36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3"/>
          <w:szCs w:val="13"/>
          <w:b w:val="1"/>
          <w:bCs w:val="1"/>
          <w:color w:val="00244F"/>
        </w:rPr>
        <w:t>12</w:t>
      </w:r>
      <w:r>
        <w:rPr>
          <w:sz w:val="20"/>
          <w:szCs w:val="20"/>
          <w:color w:val="auto"/>
        </w:rPr>
        <w:tab/>
      </w:r>
      <w:r>
        <w:rPr>
          <w:rFonts w:ascii="Times New Roman" w:cs="Times New Roman" w:eastAsia="Times New Roman" w:hAnsi="Times New Roman"/>
          <w:sz w:val="13"/>
          <w:szCs w:val="13"/>
          <w:b w:val="1"/>
          <w:bCs w:val="1"/>
          <w:color w:val="00244F"/>
        </w:rPr>
        <w:t>T. Rowe Price Group</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Ms. Smith has been an independent director of Price Group since 2023 and serves as a member on the Audit Committee and the Executive Compensation and Management Development Committee. Ms. Smith is the senior vice president for regional business and distribution development of MetLife, Inc. (MetLife), one of the world's leading financial services companies, providing insurance, annuities, employee benefits, and asset management, since 2016, and has been with MetLife since 1993. Previously, Ms. Smith served as vice president of: the customer unit (Midwest) in MetLife's group benefits national accounts organization; the group, voluntary &amp; worksite sales regional market (Southeast region); MetLife's executive benefits sales organization; group insurance underwriting; strategic planning for the institutional business organization; and institutional business service, operations, and underwriting. Additionally, she held a variety of roles in MetLife's finance organization, including chief financial officer of sales and service and the institutional financial planning officer.</w:t>
      </w:r>
    </w:p>
    <w:p>
      <w:pPr>
        <w:spacing w:after="0" w:line="156"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Ms. Smith earned a B.A. in accounting from Aurora University and an M.B.A. with a concentration in information technology from Benedictine University. She is a certified management accountant and a graduate of the executive management program at Smith College.</w:t>
      </w:r>
    </w:p>
    <w:p>
      <w:pPr>
        <w:spacing w:after="0" w:line="154" w:lineRule="exact"/>
        <w:rPr>
          <w:sz w:val="20"/>
          <w:szCs w:val="20"/>
          <w:color w:val="auto"/>
        </w:rPr>
      </w:pPr>
    </w:p>
    <w:p>
      <w:pPr>
        <w:ind w:right="260"/>
        <w:spacing w:after="0" w:line="258" w:lineRule="auto"/>
        <w:rPr>
          <w:sz w:val="20"/>
          <w:szCs w:val="20"/>
          <w:color w:val="auto"/>
        </w:rPr>
      </w:pPr>
      <w:r>
        <w:rPr>
          <w:rFonts w:ascii="Arial" w:cs="Arial" w:eastAsia="Arial" w:hAnsi="Arial"/>
          <w:sz w:val="17"/>
          <w:szCs w:val="17"/>
          <w:color w:val="auto"/>
        </w:rPr>
        <w:t>Ms. Smith is a member of the boards of directors for Versant Health, a wholly owned subsidiary of MetLife, and MetLife Legal Plans, Inc., which is also owned by MetLife.</w:t>
      </w:r>
    </w:p>
    <w:p>
      <w:pPr>
        <w:spacing w:after="0" w:line="142"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Ms. Smith brings to our Board a broad range of valuable financial management and investment management experience, along with a deep understanding of how investment products are distributed to clients. She also has extensive experience with complex issues relevant to the Company's business, including budget and fiscal responsibility, client experience and women's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-1790065</wp:posOffset>
            </wp:positionH>
            <wp:positionV relativeFrom="paragraph">
              <wp:posOffset>460375</wp:posOffset>
            </wp:positionV>
            <wp:extent cx="714248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2">
            <w:col w:w="2620" w:space="200"/>
            <w:col w:w="8400"/>
          </w:cols>
          <w:pgMar w:left="320" w:top="223" w:right="35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7"/>
          <w:szCs w:val="17"/>
          <w:u w:val="single" w:color="auto"/>
          <w:color w:val="0000EE"/>
        </w:rPr>
        <w:t>Table of Contents</w:t>
      </w:r>
    </w:p>
    <w:p>
      <w:pPr>
        <w:spacing w:after="0" w:line="383" w:lineRule="exact"/>
        <w:rPr>
          <w:sz w:val="20"/>
          <w:szCs w:val="20"/>
          <w:color w:val="auto"/>
        </w:rPr>
      </w:pPr>
    </w:p>
    <w:p>
      <w:pPr>
        <w:spacing w:after="0"/>
        <w:rPr>
          <w:sz w:val="20"/>
          <w:szCs w:val="20"/>
          <w:color w:val="auto"/>
        </w:rPr>
      </w:pPr>
      <w:r>
        <w:rPr>
          <w:rFonts w:ascii="Arial" w:cs="Arial" w:eastAsia="Arial" w:hAnsi="Arial"/>
          <w:sz w:val="19"/>
          <w:szCs w:val="19"/>
          <w:b w:val="1"/>
          <w:bCs w:val="1"/>
          <w:color w:val="001345"/>
        </w:rPr>
        <w:t>Robert J. Stevens,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2480" cy="29203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2480" cy="292036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44" w:lineRule="auto"/>
        <w:rPr>
          <w:sz w:val="20"/>
          <w:szCs w:val="20"/>
          <w:color w:val="auto"/>
        </w:rPr>
      </w:pPr>
      <w:r>
        <w:rPr>
          <w:rFonts w:ascii="Arial" w:cs="Arial" w:eastAsia="Arial" w:hAnsi="Arial"/>
          <w:sz w:val="17"/>
          <w:szCs w:val="17"/>
          <w:b w:val="1"/>
          <w:bCs w:val="1"/>
          <w:color w:val="auto"/>
        </w:rPr>
        <w:t xml:space="preserve">Retired Chairman, President, and Chief Executive Officer </w:t>
      </w:r>
      <w:r>
        <w:rPr>
          <w:rFonts w:ascii="Arial" w:cs="Arial" w:eastAsia="Arial" w:hAnsi="Arial"/>
          <w:sz w:val="17"/>
          <w:szCs w:val="17"/>
          <w:color w:val="auto"/>
        </w:rPr>
        <w:t>Lockheed Martin Corporation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Independent Director since: </w:t>
      </w:r>
      <w:r>
        <w:rPr>
          <w:rFonts w:ascii="Arial" w:cs="Arial" w:eastAsia="Arial" w:hAnsi="Arial"/>
          <w:sz w:val="16"/>
          <w:szCs w:val="16"/>
          <w:color w:val="auto"/>
        </w:rPr>
        <w:t>2019</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 Memberships:</w:t>
      </w:r>
    </w:p>
    <w:p>
      <w:pPr>
        <w:spacing w:after="0" w:line="179" w:lineRule="exact"/>
        <w:rPr>
          <w:sz w:val="20"/>
          <w:szCs w:val="20"/>
          <w:color w:val="auto"/>
        </w:rPr>
      </w:pPr>
    </w:p>
    <w:p>
      <w:pPr>
        <w:ind w:left="120" w:right="340" w:hanging="120"/>
        <w:spacing w:after="0" w:line="254" w:lineRule="auto"/>
        <w:tabs>
          <w:tab w:leader="none" w:pos="105" w:val="left"/>
        </w:tabs>
        <w:numPr>
          <w:ilvl w:val="0"/>
          <w:numId w:val="26"/>
        </w:numPr>
        <w:rPr>
          <w:rFonts w:ascii="Arial" w:cs="Arial" w:eastAsia="Arial" w:hAnsi="Arial"/>
          <w:sz w:val="16"/>
          <w:szCs w:val="16"/>
          <w:color w:val="28C0DA"/>
        </w:rPr>
      </w:pPr>
      <w:r>
        <w:rPr>
          <w:rFonts w:ascii="Arial" w:cs="Arial" w:eastAsia="Arial" w:hAnsi="Arial"/>
          <w:sz w:val="16"/>
          <w:szCs w:val="16"/>
          <w:color w:val="auto"/>
        </w:rPr>
        <w:t>Executive Compensation and Management Development</w:t>
      </w:r>
    </w:p>
    <w:p>
      <w:pPr>
        <w:spacing w:after="0" w:line="1" w:lineRule="exact"/>
        <w:rPr>
          <w:rFonts w:ascii="Arial" w:cs="Arial" w:eastAsia="Arial" w:hAnsi="Arial"/>
          <w:sz w:val="16"/>
          <w:szCs w:val="16"/>
          <w:color w:val="28C0DA"/>
        </w:rPr>
      </w:pPr>
    </w:p>
    <w:p>
      <w:pPr>
        <w:ind w:left="120" w:right="560" w:hanging="120"/>
        <w:spacing w:after="0" w:line="239" w:lineRule="auto"/>
        <w:tabs>
          <w:tab w:leader="none" w:pos="105" w:val="left"/>
        </w:tabs>
        <w:numPr>
          <w:ilvl w:val="0"/>
          <w:numId w:val="26"/>
        </w:numPr>
        <w:rPr>
          <w:rFonts w:ascii="Arial" w:cs="Arial" w:eastAsia="Arial" w:hAnsi="Arial"/>
          <w:sz w:val="17"/>
          <w:szCs w:val="17"/>
          <w:color w:val="28C0DA"/>
        </w:rPr>
      </w:pPr>
      <w:r>
        <w:rPr>
          <w:rFonts w:ascii="Arial" w:cs="Arial" w:eastAsia="Arial" w:hAnsi="Arial"/>
          <w:sz w:val="17"/>
          <w:szCs w:val="17"/>
          <w:color w:val="auto"/>
        </w:rPr>
        <w:t>Nominating and Corporate Governance</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Mr. Stevens has been an independent director of Price Group since 2019 and serves as a member on the Executive Compensation and Management Development Committee and the Nominating and Corporate Governance Committee. He was the chairman, president, and chief executive officer of Lockheed Martin Corporation, an American aerospace, defense, arms, security, and advanced technologies company, from 2005 to 2012, and served as executive chairman in 2013. He also served as Lockheed Martin's chief executive officer from August 2004 through 2012. Previously, Mr. Stevens held a variety of increasingly responsible executive positions with Lockheed Martin, including president and chief operating officer, chief financial officer, and head of strategic planning.</w:t>
      </w:r>
    </w:p>
    <w:p>
      <w:pPr>
        <w:spacing w:after="0" w:line="163" w:lineRule="exact"/>
        <w:rPr>
          <w:sz w:val="20"/>
          <w:szCs w:val="20"/>
          <w:color w:val="auto"/>
        </w:rPr>
      </w:pPr>
    </w:p>
    <w:p>
      <w:pPr>
        <w:ind w:right="420"/>
        <w:spacing w:after="0" w:line="244" w:lineRule="auto"/>
        <w:rPr>
          <w:sz w:val="20"/>
          <w:szCs w:val="20"/>
          <w:color w:val="auto"/>
        </w:rPr>
      </w:pPr>
      <w:r>
        <w:rPr>
          <w:rFonts w:ascii="Arial" w:cs="Arial" w:eastAsia="Arial" w:hAnsi="Arial"/>
          <w:sz w:val="17"/>
          <w:szCs w:val="17"/>
          <w:color w:val="auto"/>
        </w:rPr>
        <w:t>Mr. Stevens earned a B.A. in psychology from Slippery Rock University of Pennsylvania, an M.S. in industrial engineering and management from the New York University Tandon School of Engineering, and an M.S. in business from Columbia University.</w:t>
      </w:r>
    </w:p>
    <w:p>
      <w:pPr>
        <w:spacing w:after="0" w:line="154"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Mr. Stevens serves on the advisory board of the Marine Corps Scholarship Foundation and is a member of the Council on Foreign Relations. From 2002 to 2018, he was the lead independent director of Monsanto Corporation, where he also served as the chair of the nominating and corporate governance committee and a member of the audit committee. Mr. Stevens served as a director of United States Steel Corporation from 2015 to 2018, where he was on the corporate governance and public policy committee and the compensation and organization committee.</w:t>
      </w:r>
    </w:p>
    <w:p>
      <w:pPr>
        <w:spacing w:after="0" w:line="147" w:lineRule="exact"/>
        <w:rPr>
          <w:sz w:val="20"/>
          <w:szCs w:val="20"/>
          <w:color w:val="auto"/>
        </w:rPr>
      </w:pPr>
    </w:p>
    <w:p>
      <w:pPr>
        <w:ind w:right="760"/>
        <w:spacing w:after="0" w:line="239" w:lineRule="auto"/>
        <w:rPr>
          <w:sz w:val="20"/>
          <w:szCs w:val="20"/>
          <w:color w:val="auto"/>
        </w:rPr>
      </w:pPr>
      <w:r>
        <w:rPr>
          <w:rFonts w:ascii="Arial" w:cs="Arial" w:eastAsia="Arial" w:hAnsi="Arial"/>
          <w:sz w:val="17"/>
          <w:szCs w:val="17"/>
          <w:color w:val="auto"/>
        </w:rPr>
        <w:t>Mr. Stevens brings to our Board significant executive management experience. He also adds additional perspective to our Board regarding financial matters, mergers and acquisitions, strategic leadership, and international operational experience based on his tenure as chief executive officer of a publicly traded, multinational corporation.</w:t>
      </w:r>
    </w:p>
    <w:p>
      <w:pPr>
        <w:spacing w:after="0" w:line="162" w:lineRule="exact"/>
        <w:rPr>
          <w:sz w:val="20"/>
          <w:szCs w:val="20"/>
          <w:color w:val="auto"/>
        </w:rPr>
      </w:pPr>
    </w:p>
    <w:p>
      <w:pPr>
        <w:sectPr>
          <w:pgSz w:w="11900" w:h="16838" w:orient="portrait"/>
          <w:cols w:equalWidth="0" w:num="2">
            <w:col w:w="2620" w:space="200"/>
            <w:col w:w="8420"/>
          </w:cols>
          <w:pgMar w:left="320" w:top="223" w:right="339" w:bottom="1440" w:gutter="0" w:footer="0" w:header="0"/>
          <w:type w:val="continuous"/>
        </w:sectPr>
      </w:pPr>
    </w:p>
    <w:p>
      <w:pPr>
        <w:spacing w:after="0"/>
        <w:rPr>
          <w:sz w:val="20"/>
          <w:szCs w:val="20"/>
          <w:color w:val="auto"/>
        </w:rPr>
      </w:pPr>
      <w:r>
        <w:rPr>
          <w:rFonts w:ascii="Arial" w:cs="Arial" w:eastAsia="Arial" w:hAnsi="Arial"/>
          <w:sz w:val="19"/>
          <w:szCs w:val="19"/>
          <w:b w:val="1"/>
          <w:bCs w:val="1"/>
          <w:color w:val="001345"/>
        </w:rPr>
        <w:t>Sandra S. Wijnberg,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2480" cy="32778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2480" cy="327787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620"/>
        <w:spacing w:after="0" w:line="267" w:lineRule="auto"/>
        <w:rPr>
          <w:sz w:val="20"/>
          <w:szCs w:val="20"/>
          <w:color w:val="auto"/>
        </w:rPr>
      </w:pPr>
      <w:r>
        <w:rPr>
          <w:rFonts w:ascii="Arial" w:cs="Arial" w:eastAsia="Arial" w:hAnsi="Arial"/>
          <w:sz w:val="16"/>
          <w:szCs w:val="16"/>
          <w:b w:val="1"/>
          <w:bCs w:val="1"/>
          <w:color w:val="auto"/>
        </w:rPr>
        <w:t xml:space="preserve">Former Partner and Chief Administrative Officer </w:t>
      </w:r>
      <w:r>
        <w:rPr>
          <w:rFonts w:ascii="Arial" w:cs="Arial" w:eastAsia="Arial" w:hAnsi="Arial"/>
          <w:sz w:val="16"/>
          <w:szCs w:val="16"/>
          <w:color w:val="auto"/>
        </w:rPr>
        <w:t>Aquiline Holdings LLC</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Independent Director since: </w:t>
      </w:r>
      <w:r>
        <w:rPr>
          <w:rFonts w:ascii="Arial" w:cs="Arial" w:eastAsia="Arial" w:hAnsi="Arial"/>
          <w:sz w:val="16"/>
          <w:szCs w:val="16"/>
          <w:color w:val="auto"/>
        </w:rPr>
        <w:t>2016</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 Memberships:</w:t>
      </w:r>
    </w:p>
    <w:p>
      <w:pPr>
        <w:spacing w:after="0" w:line="179" w:lineRule="exact"/>
        <w:rPr>
          <w:sz w:val="20"/>
          <w:szCs w:val="20"/>
          <w:color w:val="auto"/>
        </w:rPr>
      </w:pPr>
    </w:p>
    <w:p>
      <w:pPr>
        <w:ind w:left="100" w:hanging="100"/>
        <w:spacing w:after="0"/>
        <w:tabs>
          <w:tab w:leader="none" w:pos="100" w:val="left"/>
        </w:tabs>
        <w:numPr>
          <w:ilvl w:val="0"/>
          <w:numId w:val="27"/>
        </w:numPr>
        <w:rPr>
          <w:rFonts w:ascii="Arial" w:cs="Arial" w:eastAsia="Arial" w:hAnsi="Arial"/>
          <w:sz w:val="17"/>
          <w:szCs w:val="17"/>
          <w:color w:val="28C0DA"/>
        </w:rPr>
      </w:pPr>
      <w:r>
        <w:rPr>
          <w:rFonts w:ascii="Arial" w:cs="Arial" w:eastAsia="Arial" w:hAnsi="Arial"/>
          <w:sz w:val="17"/>
          <w:szCs w:val="17"/>
          <w:color w:val="auto"/>
        </w:rPr>
        <w:t>Audit</w:t>
      </w:r>
    </w:p>
    <w:p>
      <w:pPr>
        <w:spacing w:after="0" w:line="7" w:lineRule="exact"/>
        <w:rPr>
          <w:rFonts w:ascii="Arial" w:cs="Arial" w:eastAsia="Arial" w:hAnsi="Arial"/>
          <w:sz w:val="17"/>
          <w:szCs w:val="17"/>
          <w:color w:val="28C0DA"/>
        </w:rPr>
      </w:pPr>
    </w:p>
    <w:p>
      <w:pPr>
        <w:ind w:left="120" w:right="340" w:hanging="120"/>
        <w:spacing w:after="0" w:line="269" w:lineRule="auto"/>
        <w:tabs>
          <w:tab w:leader="none" w:pos="105" w:val="left"/>
        </w:tabs>
        <w:numPr>
          <w:ilvl w:val="0"/>
          <w:numId w:val="27"/>
        </w:numPr>
        <w:rPr>
          <w:rFonts w:ascii="Arial" w:cs="Arial" w:eastAsia="Arial" w:hAnsi="Arial"/>
          <w:sz w:val="16"/>
          <w:szCs w:val="16"/>
          <w:color w:val="28C0DA"/>
        </w:rPr>
      </w:pPr>
      <w:r>
        <w:rPr>
          <w:rFonts w:ascii="Arial" w:cs="Arial" w:eastAsia="Arial" w:hAnsi="Arial"/>
          <w:sz w:val="16"/>
          <w:szCs w:val="16"/>
          <w:color w:val="auto"/>
        </w:rPr>
        <w:t>Executive Compensation and Management Development</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Ms. Wijnberg has been an independent director of Price Group since 2016 and serves as a member on the Audit Committee and the Executive Compensation and Management Development Committee. She was an executive advisor to Aquiline Holdings LLC, a registered investment advisory firm from 2015 to early 2019, where she previously served as a partner and chief administrative officer from 2007 to 2014. Previously, Ms. Wijnberg served as the senior vice president and chief financial officer of Marsh &amp; McLennan Companies, Inc., and was treasurer and interim chief financial officer of YUM! Brands, Inc. Prior to that, she held financial positions with PepsiCo, Inc., and worked in investment banking at Morgan Stanley. In addition, from 2014 through 2015, Ms. Wijnberg was deputy head of mission for the Office of the Quartet, a development project under the auspices of the United Nations.</w:t>
      </w:r>
    </w:p>
    <w:p>
      <w:pPr>
        <w:spacing w:after="0" w:line="159"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Ms. Wijnberg earned a B.A. in English literature from the University of California, Los Angeles, and an M.B.A. from the University of Southern California's Marshall School of Business, for which she is a member of the board of leaders.</w:t>
      </w:r>
    </w:p>
    <w:p>
      <w:pPr>
        <w:spacing w:after="0" w:line="154"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Ms. Wijnberg is a member of the board of directors, chair of the audit committee, and a member of the nominating and corporate governance committee of Automatic Data Processing, Inc. She is a member of the board of directors, chair of the audit committee, and a member of the finance committee of Cognizant Technology Solutions Corp. She is a member of the board of directors, the lead director, the chair of the audit committee, and a member of the nominating and corporate governance committee of Hippo Holdings, Inc. From 2003 to 2016, Ms. Wijnberg served on the board of directors of Tyco International, PLC, and from 2007 to 2009, she served on the board of directors of TE Connectivity, Ltd. She is also a director of Seeds of Peace and is a trustee of the John Simon Guggenheim Memorial Foundation.</w:t>
      </w:r>
    </w:p>
    <w:p>
      <w:pPr>
        <w:spacing w:after="0" w:line="163"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Ms. Wijnberg brings to our Board a global perspective along with substantial financials sector, corporate finance, and management experience based on her roles at Aquiline Capital Partners, Marsh &amp; MacLennan, and YUM! Brands, Inc.</w:t>
      </w:r>
    </w:p>
    <w:p>
      <w:pPr>
        <w:spacing w:after="0" w:line="161" w:lineRule="exact"/>
        <w:rPr>
          <w:sz w:val="20"/>
          <w:szCs w:val="20"/>
          <w:color w:val="auto"/>
        </w:rPr>
      </w:pPr>
    </w:p>
    <w:tbl>
      <w:tblPr>
        <w:tblLayout w:type="fixed"/>
        <w:tblInd w:w="6680" w:type="dxa"/>
        <w:tblCellMar>
          <w:top w:w="0" w:type="dxa"/>
          <w:left w:w="0" w:type="dxa"/>
          <w:bottom w:w="0" w:type="dxa"/>
          <w:right w:w="0" w:type="dxa"/>
        </w:tblCellMar>
      </w:tblPr>
      <w:tr>
        <w:trPr>
          <w:trHeight w:val="175"/>
        </w:trPr>
        <w:tc>
          <w:tcPr>
            <w:tcW w:w="14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 xml:space="preserve">2024 </w:t>
            </w:r>
            <w:r>
              <w:rPr>
                <w:rFonts w:ascii="Times New Roman" w:cs="Times New Roman" w:eastAsia="Times New Roman" w:hAnsi="Times New Roman"/>
                <w:sz w:val="13"/>
                <w:szCs w:val="13"/>
                <w:color w:val="auto"/>
              </w:rPr>
              <w:t>Proxy Statement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244F"/>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-1790065</wp:posOffset>
            </wp:positionH>
            <wp:positionV relativeFrom="paragraph">
              <wp:posOffset>244475</wp:posOffset>
            </wp:positionV>
            <wp:extent cx="714248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2">
            <w:col w:w="2620" w:space="200"/>
            <w:col w:w="8420"/>
          </w:cols>
          <w:pgMar w:left="320" w:top="223"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7"/>
          <w:szCs w:val="17"/>
          <w:u w:val="single" w:color="auto"/>
          <w:color w:val="0000EE"/>
        </w:rPr>
        <w:t>Table of Contents</w:t>
      </w: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001345"/>
        </w:rPr>
        <w:t>Alan D. Wilson,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7142480" cy="28968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2480" cy="2896870"/>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00"/>
        <w:spacing w:after="0" w:line="289" w:lineRule="auto"/>
        <w:rPr>
          <w:sz w:val="20"/>
          <w:szCs w:val="20"/>
          <w:color w:val="auto"/>
        </w:rPr>
      </w:pPr>
      <w:r>
        <w:rPr>
          <w:rFonts w:ascii="Arial" w:cs="Arial" w:eastAsia="Arial" w:hAnsi="Arial"/>
          <w:sz w:val="16"/>
          <w:szCs w:val="16"/>
          <w:b w:val="1"/>
          <w:bCs w:val="1"/>
          <w:color w:val="auto"/>
        </w:rPr>
        <w:t xml:space="preserve">Retired Executive Chairman </w:t>
      </w:r>
      <w:r>
        <w:rPr>
          <w:rFonts w:ascii="Arial" w:cs="Arial" w:eastAsia="Arial" w:hAnsi="Arial"/>
          <w:sz w:val="16"/>
          <w:szCs w:val="16"/>
          <w:color w:val="auto"/>
        </w:rPr>
        <w:t>McCormick &amp; Company, Inc.</w:t>
      </w:r>
    </w:p>
    <w:p>
      <w:pPr>
        <w:spacing w:after="0" w:line="119" w:lineRule="exact"/>
        <w:rPr>
          <w:sz w:val="20"/>
          <w:szCs w:val="20"/>
          <w:color w:val="auto"/>
        </w:rPr>
      </w:pPr>
    </w:p>
    <w:p>
      <w:pPr>
        <w:spacing w:after="0" w:line="460" w:lineRule="auto"/>
        <w:rPr>
          <w:sz w:val="20"/>
          <w:szCs w:val="20"/>
          <w:color w:val="auto"/>
        </w:rPr>
      </w:pPr>
      <w:r>
        <w:rPr>
          <w:rFonts w:ascii="Arial" w:cs="Arial" w:eastAsia="Arial" w:hAnsi="Arial"/>
          <w:sz w:val="17"/>
          <w:szCs w:val="17"/>
          <w:b w:val="1"/>
          <w:bCs w:val="1"/>
          <w:color w:val="auto"/>
        </w:rPr>
        <w:t xml:space="preserve">Lead Independent Director Independent Director since: </w:t>
      </w:r>
      <w:r>
        <w:rPr>
          <w:rFonts w:ascii="Arial" w:cs="Arial" w:eastAsia="Arial" w:hAnsi="Arial"/>
          <w:sz w:val="17"/>
          <w:szCs w:val="17"/>
          <w:color w:val="auto"/>
        </w:rPr>
        <w:t>2015</w:t>
      </w:r>
      <w:r>
        <w:rPr>
          <w:rFonts w:ascii="Arial" w:cs="Arial" w:eastAsia="Arial" w:hAnsi="Arial"/>
          <w:sz w:val="17"/>
          <w:szCs w:val="17"/>
          <w:b w:val="1"/>
          <w:bCs w:val="1"/>
          <w:color w:val="auto"/>
        </w:rPr>
        <w:t xml:space="preserve"> Committee Memberships:</w:t>
      </w:r>
    </w:p>
    <w:p>
      <w:pPr>
        <w:spacing w:after="0" w:line="1" w:lineRule="exact"/>
        <w:rPr>
          <w:sz w:val="20"/>
          <w:szCs w:val="20"/>
          <w:color w:val="auto"/>
        </w:rPr>
      </w:pPr>
    </w:p>
    <w:p>
      <w:pPr>
        <w:ind w:left="100" w:hanging="100"/>
        <w:spacing w:after="0"/>
        <w:tabs>
          <w:tab w:leader="none" w:pos="100" w:val="left"/>
        </w:tabs>
        <w:numPr>
          <w:ilvl w:val="0"/>
          <w:numId w:val="28"/>
        </w:numPr>
        <w:rPr>
          <w:rFonts w:ascii="Arial" w:cs="Arial" w:eastAsia="Arial" w:hAnsi="Arial"/>
          <w:sz w:val="17"/>
          <w:szCs w:val="17"/>
          <w:color w:val="28C0DA"/>
        </w:rPr>
      </w:pPr>
      <w:r>
        <w:rPr>
          <w:rFonts w:ascii="Arial" w:cs="Arial" w:eastAsia="Arial" w:hAnsi="Arial"/>
          <w:sz w:val="17"/>
          <w:szCs w:val="17"/>
          <w:color w:val="auto"/>
        </w:rPr>
        <w:t>Executive</w:t>
      </w:r>
    </w:p>
    <w:p>
      <w:pPr>
        <w:spacing w:after="0" w:line="7" w:lineRule="exact"/>
        <w:rPr>
          <w:rFonts w:ascii="Arial" w:cs="Arial" w:eastAsia="Arial" w:hAnsi="Arial"/>
          <w:sz w:val="17"/>
          <w:szCs w:val="17"/>
          <w:color w:val="28C0DA"/>
        </w:rPr>
      </w:pPr>
    </w:p>
    <w:p>
      <w:pPr>
        <w:ind w:left="120" w:right="340" w:hanging="120"/>
        <w:spacing w:after="0" w:line="244" w:lineRule="auto"/>
        <w:tabs>
          <w:tab w:leader="none" w:pos="105" w:val="left"/>
        </w:tabs>
        <w:numPr>
          <w:ilvl w:val="0"/>
          <w:numId w:val="28"/>
        </w:numPr>
        <w:rPr>
          <w:rFonts w:ascii="Arial" w:cs="Arial" w:eastAsia="Arial" w:hAnsi="Arial"/>
          <w:sz w:val="16"/>
          <w:szCs w:val="16"/>
          <w:color w:val="28C0DA"/>
        </w:rPr>
      </w:pPr>
      <w:r>
        <w:rPr>
          <w:rFonts w:ascii="Arial" w:cs="Arial" w:eastAsia="Arial" w:hAnsi="Arial"/>
          <w:sz w:val="16"/>
          <w:szCs w:val="16"/>
          <w:color w:val="auto"/>
        </w:rPr>
        <w:t>Executive Compensation and Management Development</w:t>
      </w:r>
    </w:p>
    <w:p>
      <w:pPr>
        <w:ind w:left="120" w:right="560" w:hanging="120"/>
        <w:spacing w:after="0" w:line="239" w:lineRule="auto"/>
        <w:tabs>
          <w:tab w:leader="none" w:pos="105" w:val="left"/>
        </w:tabs>
        <w:numPr>
          <w:ilvl w:val="0"/>
          <w:numId w:val="28"/>
        </w:numPr>
        <w:rPr>
          <w:rFonts w:ascii="Arial" w:cs="Arial" w:eastAsia="Arial" w:hAnsi="Arial"/>
          <w:sz w:val="17"/>
          <w:szCs w:val="17"/>
          <w:color w:val="28C0DA"/>
        </w:rPr>
      </w:pPr>
      <w:r>
        <w:rPr>
          <w:rFonts w:ascii="Arial" w:cs="Arial" w:eastAsia="Arial" w:hAnsi="Arial"/>
          <w:sz w:val="17"/>
          <w:szCs w:val="17"/>
          <w:color w:val="auto"/>
        </w:rPr>
        <w:t>Nominating and Corporate Governance</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Mr. Wilson has been an independent director of Price Group since 2015 and serves as a member on the Executive Committee, the Executive Compensation and Management Development Committee, and the Nominating and Corporate Governance Committee and is also the lead independent director of the Board. He was executive chair of McCormick &amp; Company, Inc., a global leader in flavor, seasonings, and spices, and held many executive management roles, including chairman, president, and chief executive officer from 2008 to 2016.</w:t>
      </w:r>
    </w:p>
    <w:p>
      <w:pPr>
        <w:spacing w:after="0" w:line="147"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Mr. Wilson earned a B.S. in communications from the University of Tennessee. He attended school on an R.O.T.C. scholarship and, following college, served as a U.S. Army captain, with tours in the United States, United Kingdom, and Germany.</w:t>
      </w:r>
    </w:p>
    <w:p>
      <w:pPr>
        <w:spacing w:after="0" w:line="154" w:lineRule="exact"/>
        <w:rPr>
          <w:sz w:val="20"/>
          <w:szCs w:val="20"/>
          <w:color w:val="auto"/>
        </w:rPr>
      </w:pPr>
    </w:p>
    <w:p>
      <w:pPr>
        <w:ind w:right="220"/>
        <w:spacing w:after="0" w:line="237" w:lineRule="auto"/>
        <w:rPr>
          <w:sz w:val="20"/>
          <w:szCs w:val="20"/>
          <w:color w:val="auto"/>
        </w:rPr>
      </w:pPr>
      <w:r>
        <w:rPr>
          <w:rFonts w:ascii="Arial" w:cs="Arial" w:eastAsia="Arial" w:hAnsi="Arial"/>
          <w:sz w:val="17"/>
          <w:szCs w:val="17"/>
          <w:color w:val="auto"/>
        </w:rPr>
        <w:t>Mr. Wilson is the non-executive chair and a member of the board of directors of Westrock Company and is the chair of the executive committee and a member of the finance and nominating and corporate governance committees. He serves as a member of the board of visitors of the University of Maryland, Baltimore County, as vice chair for the University of Tennessee's foundation, and as a member of the University of Tennessee's Business School advisory board.</w:t>
      </w:r>
    </w:p>
    <w:p>
      <w:pPr>
        <w:spacing w:after="0" w:line="160" w:lineRule="exact"/>
        <w:rPr>
          <w:sz w:val="20"/>
          <w:szCs w:val="20"/>
          <w:color w:val="auto"/>
        </w:rPr>
      </w:pPr>
    </w:p>
    <w:p>
      <w:pPr>
        <w:ind w:right="240"/>
        <w:spacing w:after="0" w:line="244" w:lineRule="auto"/>
        <w:rPr>
          <w:sz w:val="20"/>
          <w:szCs w:val="20"/>
          <w:color w:val="auto"/>
        </w:rPr>
      </w:pPr>
      <w:r>
        <w:rPr>
          <w:rFonts w:ascii="Arial" w:cs="Arial" w:eastAsia="Arial" w:hAnsi="Arial"/>
          <w:sz w:val="17"/>
          <w:szCs w:val="17"/>
          <w:color w:val="auto"/>
        </w:rPr>
        <w:t>Mr. Wilson brings to our Board significant executive management experience, having led a publicly traded, multinational company. He also adds additional perspective regarding matters relating to general management, strategic leadership, and financial matters.</w:t>
      </w:r>
    </w:p>
    <w:p>
      <w:pPr>
        <w:spacing w:after="0" w:line="908" w:lineRule="exact"/>
        <w:rPr>
          <w:sz w:val="20"/>
          <w:szCs w:val="20"/>
          <w:color w:val="auto"/>
        </w:rPr>
      </w:pPr>
    </w:p>
    <w:p>
      <w:pPr>
        <w:sectPr>
          <w:pgSz w:w="11900" w:h="16838" w:orient="portrait"/>
          <w:cols w:equalWidth="0" w:num="2">
            <w:col w:w="2620" w:space="200"/>
            <w:col w:w="8400"/>
          </w:cols>
          <w:pgMar w:left="320" w:top="223" w:right="359" w:bottom="1440" w:gutter="0" w:footer="0" w:header="0"/>
          <w:type w:val="continuous"/>
        </w:sect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254F"/>
        </w:rPr>
        <w:t>Director Engagement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54F"/>
        </w:rPr>
        <w:t>Meetings</w:t>
      </w:r>
    </w:p>
    <w:p>
      <w:pPr>
        <w:spacing w:after="0" w:line="207"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During 2023, the Board held six meetings and approved one matter via unanimous written consent. Each director attended at least 75% of the combined total number of meetings of the Board and Board committees of which he or she was a member. Consistent with the Company's Corporate Governance Guidelines, the independent directors met in executive session at each of the Board's regular meetings in 2023. Our Corporate Governance Guidelines provide that all directors are expected to attend the annual meeting of stockholders. All nominees for director submitted to the stockholders for approval at last year's annual meeting on May 9, 2023 (2023 Annual Meeting), attended that meeting, and we anticipate that all director nominees will attend the 2024 Annual Meeting of Stockholders (Annual Meeting).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54F"/>
        </w:rPr>
        <w:t>Beyond the Boardroom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Orientation and Continuing Education and Development</w:t>
      </w:r>
    </w:p>
    <w:p>
      <w:pPr>
        <w:spacing w:after="0" w:line="208"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During 2023, we had two new directors join the Board. When a new independent director joins the Board, we provide an orientation program for the purpose of providing the new director with an understanding of the operations and the financial condition of the Company, as well as the Board's expectations for its directors. Each director is expected to maintain the necessary knowledge and information to perform his or her responsibilities as a director. To assist the directors in understanding the Company and its industry and maintaining the level of expertise required to serve as a director, the Company will from time to time, offer Company-sponsored continuing education programs or presentations, in addition to briefings during Board meetings related to the industry, the competitive environment, and the Company's goals and strategies. In addition, at most meetings the Board receives special education sessions on one or more topics related to key industry trends, topical business issues, and corporate governance.</w:t>
      </w:r>
    </w:p>
    <w:p>
      <w:pPr>
        <w:spacing w:after="0" w:line="155"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3"/>
          <w:szCs w:val="13"/>
          <w:b w:val="1"/>
          <w:bCs w:val="1"/>
          <w:color w:val="00244F"/>
        </w:rPr>
        <w:t>14</w:t>
      </w:r>
      <w:r>
        <w:rPr>
          <w:sz w:val="20"/>
          <w:szCs w:val="20"/>
          <w:color w:val="auto"/>
        </w:rPr>
        <w:tab/>
      </w:r>
      <w:r>
        <w:rPr>
          <w:rFonts w:ascii="Times New Roman" w:cs="Times New Roman" w:eastAsia="Times New Roman" w:hAnsi="Times New Roman"/>
          <w:sz w:val="13"/>
          <w:szCs w:val="13"/>
          <w:b w:val="1"/>
          <w:bCs w:val="1"/>
          <w:color w:val="00244F"/>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4248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7"/>
          <w:szCs w:val="17"/>
          <w:u w:val="single" w:color="auto"/>
          <w:color w:val="0000EE"/>
        </w:rPr>
        <w:t>Table of Contents</w:t>
      </w:r>
    </w:p>
    <w:p>
      <w:pPr>
        <w:spacing w:after="0" w:line="197" w:lineRule="exact"/>
        <w:rPr>
          <w:sz w:val="20"/>
          <w:szCs w:val="20"/>
          <w:color w:val="auto"/>
        </w:rPr>
      </w:pPr>
    </w:p>
    <w:p>
      <w:pPr>
        <w:ind w:right="80"/>
        <w:spacing w:after="0" w:line="261" w:lineRule="auto"/>
        <w:rPr>
          <w:sz w:val="20"/>
          <w:szCs w:val="20"/>
          <w:color w:val="auto"/>
        </w:rPr>
      </w:pPr>
      <w:r>
        <w:rPr>
          <w:rFonts w:ascii="Arial" w:cs="Arial" w:eastAsia="Arial" w:hAnsi="Arial"/>
          <w:sz w:val="15"/>
          <w:szCs w:val="15"/>
          <w:color w:val="auto"/>
        </w:rPr>
        <w:t>The Board is a member of the National Association of Corporate Directors, which provides resources that help directors strengthen board leadership. Each director is encouraged to participate at least once every three years in continuing education programs for public company directors sponsored by nationally recognized educational organizations not affiliated with the Company. The cost of all such continuing education is paid for by the Company.</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244F"/>
        </w:rPr>
        <w:t>Committees of the Board</w:t>
      </w:r>
    </w:p>
    <w:p>
      <w:pPr>
        <w:spacing w:after="0" w:line="212" w:lineRule="exact"/>
        <w:rPr>
          <w:sz w:val="20"/>
          <w:szCs w:val="20"/>
          <w:color w:val="auto"/>
        </w:rPr>
      </w:pPr>
    </w:p>
    <w:p>
      <w:pPr>
        <w:jc w:val="both"/>
        <w:ind w:right="20"/>
        <w:spacing w:after="0" w:line="315" w:lineRule="auto"/>
        <w:rPr>
          <w:sz w:val="20"/>
          <w:szCs w:val="20"/>
          <w:color w:val="auto"/>
        </w:rPr>
      </w:pPr>
      <w:r>
        <w:rPr>
          <w:rFonts w:ascii="Arial" w:cs="Arial" w:eastAsia="Arial" w:hAnsi="Arial"/>
          <w:sz w:val="14"/>
          <w:szCs w:val="14"/>
          <w:color w:val="auto"/>
        </w:rPr>
        <w:t>Our Board has an Audit Committee, an Executive Committee, an Executive Compensation and Management Development Committee (Compensation Committee), and a Nominating and Corporate Governance Committee. The Board has also authorized a Management Committee that is made up entirely of senior officers of the Company.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44F"/>
        </w:rPr>
        <w:t>Committee Charters</w:t>
      </w:r>
    </w:p>
    <w:p>
      <w:pPr>
        <w:spacing w:after="0" w:line="199" w:lineRule="exact"/>
        <w:rPr>
          <w:sz w:val="20"/>
          <w:szCs w:val="20"/>
          <w:color w:val="auto"/>
        </w:rPr>
      </w:pPr>
    </w:p>
    <w:p>
      <w:pPr>
        <w:ind w:right="100"/>
        <w:spacing w:after="0" w:line="261" w:lineRule="auto"/>
        <w:rPr>
          <w:sz w:val="20"/>
          <w:szCs w:val="20"/>
          <w:color w:val="auto"/>
        </w:rPr>
      </w:pPr>
      <w:r>
        <w:rPr>
          <w:rFonts w:ascii="Arial" w:cs="Arial" w:eastAsia="Arial" w:hAnsi="Arial"/>
          <w:sz w:val="15"/>
          <w:szCs w:val="15"/>
          <w:color w:val="auto"/>
        </w:rPr>
        <w:t>The Board has adopted a separate written charter for the Audit Committee, the Compensation Committee, and the Nominating and Corporate Governance Committee. Current copies of each charter, our Corporate Governance Guidelines, and our Code of Ethics for Principal Executive and Senior Financial Officers (Code) can be found on our website, troweprice.com, by selecting "Investor Relations" and then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90170</wp:posOffset>
            </wp:positionV>
            <wp:extent cx="7167880" cy="13747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7880" cy="1374775"/>
                    </a:xfrm>
                    <a:prstGeom prst="rect">
                      <a:avLst/>
                    </a:prstGeom>
                    <a:noFill/>
                  </pic:spPr>
                </pic:pic>
              </a:graphicData>
            </a:graphic>
          </wp:anchor>
        </w:drawing>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3"/>
          <w:szCs w:val="23"/>
          <w:b w:val="1"/>
          <w:bCs w:val="1"/>
          <w:color w:val="auto"/>
        </w:rPr>
        <w:t>Audit Committee</w:t>
      </w:r>
    </w:p>
    <w:p>
      <w:pPr>
        <w:spacing w:after="0" w:line="149" w:lineRule="exact"/>
        <w:rPr>
          <w:sz w:val="20"/>
          <w:szCs w:val="20"/>
          <w:color w:val="auto"/>
        </w:rPr>
      </w:pPr>
    </w:p>
    <w:p>
      <w:pPr>
        <w:ind w:left="120" w:right="5820"/>
        <w:spacing w:after="0" w:line="261" w:lineRule="auto"/>
        <w:rPr>
          <w:sz w:val="20"/>
          <w:szCs w:val="20"/>
          <w:color w:val="auto"/>
        </w:rPr>
      </w:pPr>
      <w:r>
        <w:rPr>
          <w:rFonts w:ascii="Arial" w:cs="Arial" w:eastAsia="Arial" w:hAnsi="Arial"/>
          <w:sz w:val="15"/>
          <w:szCs w:val="15"/>
          <w:color w:val="auto"/>
        </w:rPr>
        <w:t xml:space="preserve">Meetings in 2023: </w:t>
      </w:r>
      <w:r>
        <w:rPr>
          <w:rFonts w:ascii="Arial" w:cs="Arial" w:eastAsia="Arial" w:hAnsi="Arial"/>
          <w:sz w:val="15"/>
          <w:szCs w:val="15"/>
          <w:b w:val="1"/>
          <w:bCs w:val="1"/>
          <w:color w:val="auto"/>
        </w:rPr>
        <w:t>7</w:t>
      </w:r>
      <w:r>
        <w:rPr>
          <w:rFonts w:ascii="Arial" w:cs="Arial" w:eastAsia="Arial" w:hAnsi="Arial"/>
          <w:sz w:val="15"/>
          <w:szCs w:val="15"/>
          <w:color w:val="auto"/>
        </w:rPr>
        <w:t xml:space="preserve"> </w:t>
      </w:r>
      <w:r>
        <w:rPr>
          <w:rFonts w:ascii="Arial" w:cs="Arial" w:eastAsia="Arial" w:hAnsi="Arial"/>
          <w:sz w:val="15"/>
          <w:szCs w:val="15"/>
          <w:b w:val="1"/>
          <w:bCs w:val="1"/>
          <w:color w:val="00244F"/>
        </w:rPr>
        <w:t>Chair Members</w:t>
      </w:r>
      <w:r>
        <w:rPr>
          <w:rFonts w:ascii="Arial" w:cs="Arial" w:eastAsia="Arial" w:hAnsi="Arial"/>
          <w:sz w:val="15"/>
          <w:szCs w:val="15"/>
          <w:color w:val="auto"/>
        </w:rPr>
        <w:t xml:space="preserve"> The report of the committee appears on </w:t>
      </w:r>
      <w:r>
        <w:rPr>
          <w:rFonts w:ascii="Arial" w:cs="Arial" w:eastAsia="Arial" w:hAnsi="Arial"/>
          <w:sz w:val="15"/>
          <w:szCs w:val="15"/>
          <w:b w:val="1"/>
          <w:bCs w:val="1"/>
          <w:color w:val="auto"/>
        </w:rPr>
        <w:t>page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77.</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660"/>
        <w:spacing w:after="0"/>
        <w:tabs>
          <w:tab w:leader="none" w:pos="4920" w:val="left"/>
          <w:tab w:leader="none" w:pos="6300" w:val="left"/>
          <w:tab w:leader="none" w:pos="7520" w:val="left"/>
          <w:tab w:leader="none" w:pos="9040" w:val="left"/>
          <w:tab w:leader="none" w:pos="10300" w:val="left"/>
        </w:tabs>
        <w:rPr>
          <w:sz w:val="20"/>
          <w:szCs w:val="20"/>
          <w:color w:val="auto"/>
        </w:rPr>
      </w:pPr>
      <w:r>
        <w:rPr>
          <w:rFonts w:ascii="Arial" w:cs="Arial" w:eastAsia="Arial" w:hAnsi="Arial"/>
          <w:sz w:val="15"/>
          <w:szCs w:val="15"/>
          <w:color w:val="auto"/>
        </w:rPr>
        <w:t>Bartlett</w:t>
      </w:r>
      <w:r>
        <w:rPr>
          <w:sz w:val="20"/>
          <w:szCs w:val="20"/>
          <w:color w:val="auto"/>
        </w:rPr>
        <w:tab/>
      </w:r>
      <w:r>
        <w:rPr>
          <w:rFonts w:ascii="Arial" w:cs="Arial" w:eastAsia="Arial" w:hAnsi="Arial"/>
          <w:sz w:val="15"/>
          <w:szCs w:val="15"/>
          <w:color w:val="auto"/>
        </w:rPr>
        <w:t>Donnelly</w:t>
      </w:r>
      <w:r>
        <w:rPr>
          <w:sz w:val="20"/>
          <w:szCs w:val="20"/>
          <w:color w:val="auto"/>
        </w:rPr>
        <w:tab/>
      </w:r>
      <w:r>
        <w:rPr>
          <w:rFonts w:ascii="Arial" w:cs="Arial" w:eastAsia="Arial" w:hAnsi="Arial"/>
          <w:sz w:val="15"/>
          <w:szCs w:val="15"/>
          <w:color w:val="auto"/>
        </w:rPr>
        <w:t>Dublon</w:t>
      </w:r>
      <w:r>
        <w:rPr>
          <w:sz w:val="20"/>
          <w:szCs w:val="20"/>
          <w:color w:val="auto"/>
        </w:rPr>
        <w:tab/>
      </w:r>
      <w:r>
        <w:rPr>
          <w:rFonts w:ascii="Arial" w:cs="Arial" w:eastAsia="Arial" w:hAnsi="Arial"/>
          <w:sz w:val="15"/>
          <w:szCs w:val="15"/>
          <w:color w:val="auto"/>
        </w:rPr>
        <w:t>MacLellan</w:t>
      </w:r>
      <w:r>
        <w:rPr>
          <w:sz w:val="20"/>
          <w:szCs w:val="20"/>
          <w:color w:val="auto"/>
        </w:rPr>
        <w:tab/>
      </w:r>
      <w:r>
        <w:rPr>
          <w:rFonts w:ascii="Arial" w:cs="Arial" w:eastAsia="Arial" w:hAnsi="Arial"/>
          <w:sz w:val="15"/>
          <w:szCs w:val="15"/>
          <w:color w:val="auto"/>
        </w:rPr>
        <w:t>Smith</w:t>
      </w:r>
      <w:r>
        <w:rPr>
          <w:sz w:val="20"/>
          <w:szCs w:val="20"/>
          <w:color w:val="auto"/>
        </w:rPr>
        <w:tab/>
      </w:r>
      <w:r>
        <w:rPr>
          <w:rFonts w:ascii="Arial" w:cs="Arial" w:eastAsia="Arial" w:hAnsi="Arial"/>
          <w:sz w:val="15"/>
          <w:szCs w:val="15"/>
          <w:color w:val="auto"/>
        </w:rPr>
        <w:t>Wijnberg</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44F"/>
        </w:rPr>
        <w:t>Qualifications and Financial Expert Determination</w:t>
      </w:r>
    </w:p>
    <w:p>
      <w:pPr>
        <w:spacing w:after="0" w:line="212" w:lineRule="exact"/>
        <w:rPr>
          <w:sz w:val="20"/>
          <w:szCs w:val="20"/>
          <w:color w:val="auto"/>
        </w:rPr>
      </w:pPr>
    </w:p>
    <w:p>
      <w:pPr>
        <w:spacing w:after="0" w:line="246" w:lineRule="auto"/>
        <w:rPr>
          <w:sz w:val="20"/>
          <w:szCs w:val="20"/>
          <w:color w:val="auto"/>
        </w:rPr>
      </w:pPr>
      <w:r>
        <w:rPr>
          <w:rFonts w:ascii="Arial" w:cs="Arial" w:eastAsia="Arial" w:hAnsi="Arial"/>
          <w:sz w:val="15"/>
          <w:szCs w:val="15"/>
          <w:color w:val="auto"/>
        </w:rPr>
        <w:t>The Board has determined that each of the Audit Committee members meet the independence and financial literacy criteria of the NASDAQ Global Select Market and the SEC. The Board also has concluded that the chair and all members of the Audit Committee meet the criteria of an audit committee financial expert as established by the SEC. Mr. Bartlett is a certified public accountant, was an audit partner at Ernst &amp; Young for 28 years until he left the firm in 2012, and serves as the chair of the audit committee of WillScot Mobile Mini Holdings Corp. and as a member of the audit committees of FTI Consulting, Inc. and Zurn Elkay Water Solutions Corp. Mr. Donnelly was the executive vice president responsible for finance, investor relations, supply chain and information technology for Mettler-Toledo International, Inc. from 2014 to 2018 and previously served as its chief financial officer. He is a member of the audit committee of Ingersoll Rand, Inc. Ms. Dublon was the executive vice president and chief financial officer of JPMorgan Chase &amp; Co., from 1998 to 2004. She served as member and chair of the audit committee of PepsiCo, Inc. and the chair of the audit committee of Motive Capital Corp. II. Mr. MacLellan is a chartered accountant, and served as chair of the audit committee of Magna International, Inc., and was a member of the audit committees of Ace Aviation Holdings, Inc., Maple Leaf Sports, and Entertainment, Ltd. Ms. Smith has previously held a variety of roles in MetLife's finance organization, including chief financial officer of sales and service and the institutional financial planning officer, she earned a B.A. in accounting and is a certified management accountant. Ms. Wijnberg was the chief financial officer of Marsh &amp; McLennan Companies, Inc., from 2000 to 2006 and interim chief financial officer of YUM! Brands in 1999. She is currently the chair of the audit committees of Automatic Data Processing, Inc., Cognizant Technology Solutions Corp., and Hippo Holdings, Inc. and she previously served as member and chair of the audit committees of Tyco International and TE Connectivity, respectively.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44F"/>
        </w:rPr>
        <w:t>Responsibilities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The primary purpose of the Audit Committee is to assist the Board in fulfilling its oversight responsibilities with respect to:</w:t>
      </w:r>
    </w:p>
    <w:p>
      <w:pPr>
        <w:ind w:left="360" w:hanging="185"/>
        <w:spacing w:after="0" w:line="215" w:lineRule="auto"/>
        <w:tabs>
          <w:tab w:leader="none" w:pos="360" w:val="left"/>
        </w:tabs>
        <w:numPr>
          <w:ilvl w:val="0"/>
          <w:numId w:val="29"/>
        </w:numPr>
        <w:rPr>
          <w:rFonts w:ascii="Arial" w:cs="Arial" w:eastAsia="Arial" w:hAnsi="Arial"/>
          <w:sz w:val="40"/>
          <w:szCs w:val="40"/>
          <w:color w:val="52BBC1"/>
          <w:vertAlign w:val="subscript"/>
        </w:rPr>
      </w:pPr>
      <w:r>
        <w:rPr>
          <w:rFonts w:ascii="Arial" w:cs="Arial" w:eastAsia="Arial" w:hAnsi="Arial"/>
          <w:sz w:val="15"/>
          <w:szCs w:val="15"/>
          <w:color w:val="auto"/>
        </w:rPr>
        <w:t>The integrity of our financial statements and other financial information provided to our stockholders;</w:t>
      </w:r>
    </w:p>
    <w:p>
      <w:pPr>
        <w:spacing w:after="0" w:line="77" w:lineRule="exact"/>
        <w:rPr>
          <w:rFonts w:ascii="Arial" w:cs="Arial" w:eastAsia="Arial" w:hAnsi="Arial"/>
          <w:sz w:val="40"/>
          <w:szCs w:val="40"/>
          <w:color w:val="52BBC1"/>
          <w:vertAlign w:val="subscript"/>
        </w:rPr>
      </w:pPr>
    </w:p>
    <w:p>
      <w:pPr>
        <w:ind w:left="360" w:right="460" w:hanging="185"/>
        <w:spacing w:after="0" w:line="235" w:lineRule="auto"/>
        <w:tabs>
          <w:tab w:leader="none" w:pos="360" w:val="left"/>
        </w:tabs>
        <w:numPr>
          <w:ilvl w:val="0"/>
          <w:numId w:val="29"/>
        </w:numPr>
        <w:rPr>
          <w:rFonts w:ascii="Arial" w:cs="Arial" w:eastAsia="Arial" w:hAnsi="Arial"/>
          <w:sz w:val="33"/>
          <w:szCs w:val="33"/>
          <w:color w:val="52BBC1"/>
          <w:vertAlign w:val="subscript"/>
        </w:rPr>
      </w:pPr>
      <w:r>
        <w:rPr>
          <w:rFonts w:ascii="Arial" w:cs="Arial" w:eastAsia="Arial" w:hAnsi="Arial"/>
          <w:sz w:val="13"/>
          <w:szCs w:val="13"/>
          <w:color w:val="auto"/>
        </w:rPr>
        <w:t>The retention of our independent registered public accounting firm, including oversight of the terms of its engagement and its performance, qualifications, and independence;</w:t>
      </w:r>
    </w:p>
    <w:p>
      <w:pPr>
        <w:spacing w:after="0" w:line="1" w:lineRule="exact"/>
        <w:rPr>
          <w:rFonts w:ascii="Arial" w:cs="Arial" w:eastAsia="Arial" w:hAnsi="Arial"/>
          <w:sz w:val="33"/>
          <w:szCs w:val="33"/>
          <w:color w:val="52BBC1"/>
          <w:vertAlign w:val="subscript"/>
        </w:rPr>
      </w:pPr>
    </w:p>
    <w:p>
      <w:pPr>
        <w:ind w:left="360" w:hanging="185"/>
        <w:spacing w:after="0" w:line="180" w:lineRule="auto"/>
        <w:tabs>
          <w:tab w:leader="none" w:pos="360" w:val="left"/>
        </w:tabs>
        <w:numPr>
          <w:ilvl w:val="0"/>
          <w:numId w:val="29"/>
        </w:numPr>
        <w:rPr>
          <w:rFonts w:ascii="Arial" w:cs="Arial" w:eastAsia="Arial" w:hAnsi="Arial"/>
          <w:sz w:val="26"/>
          <w:szCs w:val="26"/>
          <w:color w:val="52BBC1"/>
          <w:vertAlign w:val="subscript"/>
        </w:rPr>
      </w:pPr>
      <w:r>
        <w:rPr>
          <w:rFonts w:ascii="Arial" w:cs="Arial" w:eastAsia="Arial" w:hAnsi="Arial"/>
          <w:sz w:val="12"/>
          <w:szCs w:val="12"/>
          <w:color w:val="auto"/>
        </w:rPr>
        <w:t>The performance of our internal audit function, internal controls, and disclosure controls; and</w:t>
      </w:r>
    </w:p>
    <w:p>
      <w:pPr>
        <w:spacing w:after="0" w:line="54" w:lineRule="exact"/>
        <w:rPr>
          <w:rFonts w:ascii="Arial" w:cs="Arial" w:eastAsia="Arial" w:hAnsi="Arial"/>
          <w:sz w:val="26"/>
          <w:szCs w:val="26"/>
          <w:color w:val="52BBC1"/>
          <w:vertAlign w:val="subscript"/>
        </w:rPr>
      </w:pPr>
    </w:p>
    <w:p>
      <w:pPr>
        <w:ind w:left="360" w:hanging="185"/>
        <w:spacing w:after="0" w:line="184" w:lineRule="auto"/>
        <w:tabs>
          <w:tab w:leader="none" w:pos="360" w:val="left"/>
        </w:tabs>
        <w:numPr>
          <w:ilvl w:val="0"/>
          <w:numId w:val="29"/>
        </w:numPr>
        <w:rPr>
          <w:rFonts w:ascii="Arial" w:cs="Arial" w:eastAsia="Arial" w:hAnsi="Arial"/>
          <w:sz w:val="25"/>
          <w:szCs w:val="25"/>
          <w:color w:val="52BBC1"/>
          <w:vertAlign w:val="subscript"/>
        </w:rPr>
      </w:pPr>
      <w:r>
        <w:rPr>
          <w:rFonts w:ascii="Arial" w:cs="Arial" w:eastAsia="Arial" w:hAnsi="Arial"/>
          <w:sz w:val="12"/>
          <w:szCs w:val="12"/>
          <w:color w:val="auto"/>
        </w:rPr>
        <w:t>The Company's risk management framework.</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00" w:type="dxa"/>
            <w:vAlign w:val="bottom"/>
          </w:tcPr>
          <w:p>
            <w:pPr>
              <w:ind w:left="9500"/>
              <w:spacing w:after="0"/>
              <w:rPr>
                <w:sz w:val="20"/>
                <w:szCs w:val="20"/>
                <w:color w:val="auto"/>
              </w:rPr>
            </w:pPr>
            <w:r>
              <w:rPr>
                <w:rFonts w:ascii="Times New Roman" w:cs="Times New Roman" w:eastAsia="Times New Roman" w:hAnsi="Times New Roman"/>
                <w:sz w:val="13"/>
                <w:szCs w:val="13"/>
                <w:b w:val="1"/>
                <w:bCs w:val="1"/>
                <w:color w:val="auto"/>
              </w:rPr>
              <w:t xml:space="preserve">2024 </w:t>
            </w:r>
            <w:r>
              <w:rPr>
                <w:rFonts w:ascii="Times New Roman" w:cs="Times New Roman" w:eastAsia="Times New Roman" w:hAnsi="Times New Roman"/>
                <w:sz w:val="13"/>
                <w:szCs w:val="13"/>
                <w:color w:val="auto"/>
              </w:rPr>
              <w:t>Proxy Statement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244F"/>
              </w:rPr>
              <w:t>15</w:t>
            </w:r>
          </w:p>
        </w:tc>
      </w:tr>
      <w:tr>
        <w:trPr>
          <w:trHeight w:val="385"/>
        </w:trPr>
        <w:tc>
          <w:tcPr>
            <w:tcW w:w="10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3"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The Audit Committee:</w:t>
      </w:r>
    </w:p>
    <w:p>
      <w:pPr>
        <w:spacing w:after="0" w:line="84" w:lineRule="exact"/>
        <w:rPr>
          <w:sz w:val="20"/>
          <w:szCs w:val="20"/>
          <w:color w:val="auto"/>
        </w:rPr>
      </w:pPr>
    </w:p>
    <w:p>
      <w:pPr>
        <w:ind w:left="360" w:right="80" w:hanging="185"/>
        <w:spacing w:after="0" w:line="235" w:lineRule="auto"/>
        <w:tabs>
          <w:tab w:leader="none" w:pos="360" w:val="left"/>
        </w:tabs>
        <w:numPr>
          <w:ilvl w:val="0"/>
          <w:numId w:val="30"/>
        </w:numPr>
        <w:rPr>
          <w:rFonts w:ascii="Arial" w:cs="Arial" w:eastAsia="Arial" w:hAnsi="Arial"/>
          <w:sz w:val="33"/>
          <w:szCs w:val="33"/>
          <w:color w:val="52BBC1"/>
          <w:vertAlign w:val="subscript"/>
        </w:rPr>
      </w:pPr>
      <w:r>
        <w:rPr>
          <w:rFonts w:ascii="Arial" w:cs="Arial" w:eastAsia="Arial" w:hAnsi="Arial"/>
          <w:sz w:val="13"/>
          <w:szCs w:val="13"/>
          <w:color w:val="auto"/>
        </w:rPr>
        <w:t>Provides an avenue for communication among our internal auditors, financial management, chief risk officer, independent registered public accounting firm, and the Board; and</w:t>
      </w:r>
    </w:p>
    <w:p>
      <w:pPr>
        <w:spacing w:after="0" w:line="28" w:lineRule="exact"/>
        <w:rPr>
          <w:rFonts w:ascii="Arial" w:cs="Arial" w:eastAsia="Arial" w:hAnsi="Arial"/>
          <w:sz w:val="33"/>
          <w:szCs w:val="33"/>
          <w:color w:val="52BBC1"/>
          <w:vertAlign w:val="subscript"/>
        </w:rPr>
      </w:pPr>
    </w:p>
    <w:p>
      <w:pPr>
        <w:ind w:left="360" w:right="580" w:hanging="185"/>
        <w:spacing w:after="0" w:line="180" w:lineRule="auto"/>
        <w:tabs>
          <w:tab w:leader="none" w:pos="360" w:val="left"/>
        </w:tabs>
        <w:numPr>
          <w:ilvl w:val="0"/>
          <w:numId w:val="30"/>
        </w:numPr>
        <w:rPr>
          <w:rFonts w:ascii="Arial" w:cs="Arial" w:eastAsia="Arial" w:hAnsi="Arial"/>
          <w:sz w:val="30"/>
          <w:szCs w:val="30"/>
          <w:color w:val="52BBC1"/>
          <w:vertAlign w:val="subscript"/>
        </w:rPr>
      </w:pPr>
      <w:r>
        <w:rPr>
          <w:rFonts w:ascii="Arial" w:cs="Arial" w:eastAsia="Arial" w:hAnsi="Arial"/>
          <w:sz w:val="13"/>
          <w:szCs w:val="13"/>
          <w:color w:val="auto"/>
        </w:rPr>
        <w:t>Is responsible for maintaining procedures involving the receipt, retention, and treatment of complaints or concerns regarding accounting, internal accounting controls, and auditing matters, including confidential, anonymous employee submissions.</w:t>
      </w:r>
    </w:p>
    <w:p>
      <w:pPr>
        <w:spacing w:after="0" w:line="192" w:lineRule="exact"/>
        <w:rPr>
          <w:sz w:val="20"/>
          <w:szCs w:val="20"/>
          <w:color w:val="auto"/>
        </w:rPr>
      </w:pPr>
    </w:p>
    <w:p>
      <w:pPr>
        <w:ind w:right="200"/>
        <w:spacing w:after="0" w:line="261" w:lineRule="auto"/>
        <w:rPr>
          <w:sz w:val="20"/>
          <w:szCs w:val="20"/>
          <w:color w:val="auto"/>
        </w:rPr>
      </w:pPr>
      <w:r>
        <w:rPr>
          <w:rFonts w:ascii="Arial" w:cs="Arial" w:eastAsia="Arial" w:hAnsi="Arial"/>
          <w:sz w:val="15"/>
          <w:szCs w:val="15"/>
          <w:color w:val="auto"/>
        </w:rPr>
        <w:t>The independent registered public accounting firm reports directly to the Audit Committee and is ultimately accountable to this committee and the Board for the audit of our consolidated financial statements. The head of the Company's internal audit department reports directly to the Audit Committee. The Audit Committee receives regular updates from our risk and technology departments concerning our information security program.</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44F"/>
        </w:rPr>
        <w:t>Related Person Transaction Oversight</w:t>
      </w:r>
    </w:p>
    <w:p>
      <w:pPr>
        <w:spacing w:after="0" w:line="199"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The Audit Committee is responsible under its charter for reviewing related person transactions and any change in, or waiver from, our Code. Our Board has adopted a written Policy for the Review and Approval of Transactions with Related Persons. Any transaction that would require disclosure under Item 404(a) of Regulation S-K will not be initiated or materially modified until our Audit Committee has approved such transaction or modification and will not continue past its next contractual termination date unless it is annually reapproved by our Audit Committee. During its deliberations, the Audit Committee must consider all relevant details regarding the transaction including, but not limited to, any role of our employees in arranging the transaction, the potential benefits to our Company, and whether the proposed transaction is competitively bid or otherwise is on terms comparable to those available to an unrelated third party or our employees generally. The Audit Committee approves only those transactions that it determines in good faith to be on terms that are fair to us and comparable to those that could be obtained in an arms-length negotiation with an unrelated third party. Please see the disclosure provided in the section titled "Certain Relationships and Related Transactions" beginning on page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105410</wp:posOffset>
            </wp:positionV>
            <wp:extent cx="7167880" cy="21996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7880" cy="2199640"/>
                    </a:xfrm>
                    <a:prstGeom prst="rect">
                      <a:avLst/>
                    </a:prstGeom>
                    <a:noFill/>
                  </pic:spPr>
                </pic:pic>
              </a:graphicData>
            </a:graphic>
          </wp:anchor>
        </w:drawing>
      </w:r>
    </w:p>
    <w:p>
      <w:pPr>
        <w:spacing w:after="0" w:line="2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3"/>
          <w:szCs w:val="23"/>
          <w:b w:val="1"/>
          <w:bCs w:val="1"/>
          <w:color w:val="auto"/>
        </w:rPr>
        <w:t>Executive Compensation and Management Development Committee</w:t>
      </w:r>
    </w:p>
    <w:p>
      <w:pPr>
        <w:sectPr>
          <w:pgSz w:w="11900" w:h="16838" w:orient="portrait"/>
          <w:cols w:equalWidth="0" w:num="1">
            <w:col w:w="11240"/>
          </w:cols>
          <w:pgMar w:left="320" w:top="223" w:right="339" w:bottom="1440" w:gutter="0" w:footer="0" w:header="0"/>
        </w:sectPr>
      </w:pPr>
    </w:p>
    <w:p>
      <w:pPr>
        <w:spacing w:after="0" w:line="16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xml:space="preserve">Meetings in 2023: </w:t>
      </w:r>
      <w:r>
        <w:rPr>
          <w:rFonts w:ascii="Arial" w:cs="Arial" w:eastAsia="Arial" w:hAnsi="Arial"/>
          <w:sz w:val="14"/>
          <w:szCs w:val="14"/>
          <w:b w:val="1"/>
          <w:bCs w:val="1"/>
          <w:color w:val="auto"/>
        </w:rPr>
        <w:t>5</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00244F"/>
        </w:rPr>
        <w:t>Chair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00244F"/>
        </w:rPr>
        <w:t>Members</w:t>
      </w:r>
    </w:p>
    <w:p>
      <w:pPr>
        <w:spacing w:after="0" w:line="33" w:lineRule="exact"/>
        <w:rPr>
          <w:sz w:val="20"/>
          <w:szCs w:val="20"/>
          <w:color w:val="auto"/>
        </w:rPr>
      </w:pPr>
    </w:p>
    <w:p>
      <w:pPr>
        <w:sectPr>
          <w:pgSz w:w="11900" w:h="16838" w:orient="portrait"/>
          <w:cols w:equalWidth="0" w:num="3">
            <w:col w:w="2720" w:space="720"/>
            <w:col w:w="740" w:space="720"/>
            <w:col w:w="6340"/>
          </w:cols>
          <w:pgMar w:left="320" w:top="223" w:right="339" w:bottom="1440" w:gutter="0" w:footer="0" w:header="0"/>
          <w:type w:val="continuous"/>
        </w:sectPr>
      </w:pPr>
    </w:p>
    <w:p>
      <w:pPr>
        <w:ind w:left="120" w:right="9280"/>
        <w:spacing w:after="0" w:line="281" w:lineRule="auto"/>
        <w:rPr>
          <w:sz w:val="20"/>
          <w:szCs w:val="20"/>
          <w:color w:val="auto"/>
        </w:rPr>
      </w:pPr>
      <w:r>
        <w:rPr>
          <w:rFonts w:ascii="Arial" w:cs="Arial" w:eastAsia="Arial" w:hAnsi="Arial"/>
          <w:sz w:val="14"/>
          <w:szCs w:val="14"/>
          <w:color w:val="auto"/>
        </w:rPr>
        <w:t xml:space="preserve">The report of the committee appears on </w:t>
      </w:r>
      <w:r>
        <w:rPr>
          <w:rFonts w:ascii="Arial" w:cs="Arial" w:eastAsia="Arial" w:hAnsi="Arial"/>
          <w:sz w:val="14"/>
          <w:szCs w:val="14"/>
          <w:b w:val="1"/>
          <w:bCs w:val="1"/>
          <w:color w:val="auto"/>
        </w:rPr>
        <w:t>page 63.</w:t>
      </w:r>
    </w:p>
    <w:p>
      <w:pPr>
        <w:sectPr>
          <w:pgSz w:w="11900" w:h="16838" w:orient="portrait"/>
          <w:cols w:equalWidth="0" w:num="1">
            <w:col w:w="11240"/>
          </w:cols>
          <w:pgMar w:left="320" w:top="22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40"/>
        <w:spacing w:after="0"/>
        <w:rPr>
          <w:sz w:val="20"/>
          <w:szCs w:val="20"/>
          <w:color w:val="auto"/>
        </w:rPr>
      </w:pPr>
      <w:r>
        <w:rPr>
          <w:rFonts w:ascii="Arial" w:cs="Arial" w:eastAsia="Arial" w:hAnsi="Arial"/>
          <w:sz w:val="14"/>
          <w:szCs w:val="14"/>
          <w:color w:val="auto"/>
        </w:rPr>
        <w:t>MacLellan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Bartlett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Donnelly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Dublon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Hrabowski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Rominger</w:t>
      </w:r>
    </w:p>
    <w:p>
      <w:pPr>
        <w:spacing w:after="0" w:line="211" w:lineRule="exact"/>
        <w:rPr>
          <w:sz w:val="20"/>
          <w:szCs w:val="20"/>
          <w:color w:val="auto"/>
        </w:rPr>
      </w:pPr>
    </w:p>
    <w:p>
      <w:pPr>
        <w:sectPr>
          <w:pgSz w:w="11900" w:h="16838" w:orient="portrait"/>
          <w:cols w:equalWidth="0" w:num="6">
            <w:col w:w="4260" w:space="720"/>
            <w:col w:w="580" w:space="720"/>
            <w:col w:w="680" w:space="720"/>
            <w:col w:w="480" w:space="720"/>
            <w:col w:w="700" w:space="700"/>
            <w:col w:w="960"/>
          </w:cols>
          <w:pgMar w:left="320" w:top="22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040"/>
        <w:spacing w:after="0"/>
        <w:tabs>
          <w:tab w:leader="none" w:pos="6280" w:val="left"/>
          <w:tab w:leader="none" w:pos="7600" w:val="left"/>
          <w:tab w:leader="none" w:pos="9000" w:val="left"/>
        </w:tabs>
        <w:rPr>
          <w:sz w:val="20"/>
          <w:szCs w:val="20"/>
          <w:color w:val="auto"/>
        </w:rPr>
      </w:pPr>
      <w:r>
        <w:rPr>
          <w:rFonts w:ascii="Arial" w:cs="Arial" w:eastAsia="Arial" w:hAnsi="Arial"/>
          <w:sz w:val="15"/>
          <w:szCs w:val="15"/>
          <w:color w:val="auto"/>
        </w:rPr>
        <w:t>Smith</w:t>
      </w:r>
      <w:r>
        <w:rPr>
          <w:sz w:val="20"/>
          <w:szCs w:val="20"/>
          <w:color w:val="auto"/>
        </w:rPr>
        <w:tab/>
      </w:r>
      <w:r>
        <w:rPr>
          <w:rFonts w:ascii="Arial" w:cs="Arial" w:eastAsia="Arial" w:hAnsi="Arial"/>
          <w:sz w:val="15"/>
          <w:szCs w:val="15"/>
          <w:color w:val="auto"/>
        </w:rPr>
        <w:t>Stevens</w:t>
      </w:r>
      <w:r>
        <w:rPr>
          <w:sz w:val="20"/>
          <w:szCs w:val="20"/>
          <w:color w:val="auto"/>
        </w:rPr>
        <w:tab/>
      </w:r>
      <w:r>
        <w:rPr>
          <w:rFonts w:ascii="Arial" w:cs="Arial" w:eastAsia="Arial" w:hAnsi="Arial"/>
          <w:sz w:val="15"/>
          <w:szCs w:val="15"/>
          <w:color w:val="auto"/>
        </w:rPr>
        <w:t>Wijnberg</w:t>
      </w:r>
      <w:r>
        <w:rPr>
          <w:sz w:val="20"/>
          <w:szCs w:val="20"/>
          <w:color w:val="auto"/>
        </w:rPr>
        <w:tab/>
      </w:r>
      <w:r>
        <w:rPr>
          <w:rFonts w:ascii="Arial" w:cs="Arial" w:eastAsia="Arial" w:hAnsi="Arial"/>
          <w:sz w:val="14"/>
          <w:szCs w:val="14"/>
          <w:color w:val="auto"/>
        </w:rPr>
        <w:t>Wilson</w:t>
      </w:r>
    </w:p>
    <w:p>
      <w:pPr>
        <w:spacing w:after="0" w:line="277" w:lineRule="exact"/>
        <w:rPr>
          <w:sz w:val="20"/>
          <w:szCs w:val="20"/>
          <w:color w:val="auto"/>
        </w:rPr>
      </w:pPr>
    </w:p>
    <w:p>
      <w:pPr>
        <w:ind w:right="220"/>
        <w:spacing w:after="0" w:line="278" w:lineRule="auto"/>
        <w:rPr>
          <w:sz w:val="20"/>
          <w:szCs w:val="20"/>
          <w:color w:val="auto"/>
        </w:rPr>
      </w:pPr>
      <w:r>
        <w:rPr>
          <w:rFonts w:ascii="Arial" w:cs="Arial" w:eastAsia="Arial" w:hAnsi="Arial"/>
          <w:sz w:val="15"/>
          <w:szCs w:val="15"/>
          <w:color w:val="auto"/>
        </w:rPr>
        <w:t>All of the non-employee independent directors of the Board serve on the Compensation Committee. The Board has determined that each of these members meets the independence criteria of the NASDAQ Global Select Market.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44F"/>
        </w:rPr>
        <w:t>Responsibilities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color w:val="auto"/>
        </w:rPr>
        <w:t>The Compensation Committee is responsible to the Board, and ultimately to our stockholders, for:</w:t>
      </w:r>
    </w:p>
    <w:p>
      <w:pPr>
        <w:spacing w:after="0" w:line="193" w:lineRule="exact"/>
        <w:rPr>
          <w:sz w:val="20"/>
          <w:szCs w:val="20"/>
          <w:color w:val="auto"/>
        </w:rPr>
      </w:pPr>
    </w:p>
    <w:p>
      <w:pPr>
        <w:ind w:left="180" w:hanging="180"/>
        <w:spacing w:after="0"/>
        <w:tabs>
          <w:tab w:leader="none" w:pos="180" w:val="left"/>
        </w:tabs>
        <w:numPr>
          <w:ilvl w:val="0"/>
          <w:numId w:val="31"/>
        </w:numPr>
        <w:rPr>
          <w:rFonts w:ascii="Arial" w:cs="Arial" w:eastAsia="Arial" w:hAnsi="Arial"/>
          <w:sz w:val="18"/>
          <w:szCs w:val="18"/>
          <w:color w:val="52BBC1"/>
        </w:rPr>
      </w:pPr>
      <w:r>
        <w:rPr>
          <w:rFonts w:ascii="Arial" w:cs="Arial" w:eastAsia="Arial" w:hAnsi="Arial"/>
          <w:sz w:val="15"/>
          <w:szCs w:val="15"/>
          <w:color w:val="auto"/>
        </w:rPr>
        <w:t>Determining the compensation of our CEO and President and other executive officers;</w:t>
      </w:r>
    </w:p>
    <w:p>
      <w:pPr>
        <w:spacing w:after="0" w:line="42" w:lineRule="exact"/>
        <w:rPr>
          <w:rFonts w:ascii="Arial" w:cs="Arial" w:eastAsia="Arial" w:hAnsi="Arial"/>
          <w:sz w:val="18"/>
          <w:szCs w:val="18"/>
          <w:color w:val="52BBC1"/>
        </w:rPr>
      </w:pPr>
    </w:p>
    <w:p>
      <w:pPr>
        <w:ind w:left="180" w:hanging="180"/>
        <w:spacing w:after="0"/>
        <w:tabs>
          <w:tab w:leader="none" w:pos="180" w:val="left"/>
        </w:tabs>
        <w:numPr>
          <w:ilvl w:val="0"/>
          <w:numId w:val="31"/>
        </w:numPr>
        <w:rPr>
          <w:rFonts w:ascii="Arial" w:cs="Arial" w:eastAsia="Arial" w:hAnsi="Arial"/>
          <w:sz w:val="18"/>
          <w:szCs w:val="18"/>
          <w:color w:val="52BBC1"/>
        </w:rPr>
      </w:pPr>
      <w:r>
        <w:rPr>
          <w:rFonts w:ascii="Arial" w:cs="Arial" w:eastAsia="Arial" w:hAnsi="Arial"/>
          <w:sz w:val="15"/>
          <w:szCs w:val="15"/>
          <w:color w:val="auto"/>
        </w:rPr>
        <w:t>Reviewing and approving general salary and compensation policies for the rest of our senior officers;</w:t>
      </w:r>
    </w:p>
    <w:p>
      <w:pPr>
        <w:spacing w:after="0" w:line="42" w:lineRule="exact"/>
        <w:rPr>
          <w:rFonts w:ascii="Arial" w:cs="Arial" w:eastAsia="Arial" w:hAnsi="Arial"/>
          <w:sz w:val="18"/>
          <w:szCs w:val="18"/>
          <w:color w:val="52BBC1"/>
        </w:rPr>
      </w:pPr>
    </w:p>
    <w:p>
      <w:pPr>
        <w:ind w:left="180" w:hanging="180"/>
        <w:spacing w:after="0"/>
        <w:tabs>
          <w:tab w:leader="none" w:pos="180" w:val="left"/>
        </w:tabs>
        <w:numPr>
          <w:ilvl w:val="0"/>
          <w:numId w:val="31"/>
        </w:numPr>
        <w:rPr>
          <w:rFonts w:ascii="Arial" w:cs="Arial" w:eastAsia="Arial" w:hAnsi="Arial"/>
          <w:sz w:val="18"/>
          <w:szCs w:val="18"/>
          <w:color w:val="52BBC1"/>
        </w:rPr>
      </w:pPr>
      <w:r>
        <w:rPr>
          <w:rFonts w:ascii="Arial" w:cs="Arial" w:eastAsia="Arial" w:hAnsi="Arial"/>
          <w:sz w:val="15"/>
          <w:szCs w:val="15"/>
          <w:color w:val="auto"/>
        </w:rPr>
        <w:t>Overseeing the administration of our Annual Incentive Compensation Plan (AICP), equity incentive plans, and our 1986 Employee Stock Purchase Plan (ESPP);</w:t>
      </w:r>
    </w:p>
    <w:p>
      <w:pPr>
        <w:spacing w:after="0" w:line="42" w:lineRule="exact"/>
        <w:rPr>
          <w:rFonts w:ascii="Arial" w:cs="Arial" w:eastAsia="Arial" w:hAnsi="Arial"/>
          <w:sz w:val="18"/>
          <w:szCs w:val="18"/>
          <w:color w:val="52BBC1"/>
        </w:rPr>
      </w:pPr>
    </w:p>
    <w:p>
      <w:pPr>
        <w:ind w:left="180" w:hanging="180"/>
        <w:spacing w:after="0"/>
        <w:tabs>
          <w:tab w:leader="none" w:pos="180" w:val="left"/>
        </w:tabs>
        <w:numPr>
          <w:ilvl w:val="0"/>
          <w:numId w:val="31"/>
        </w:numPr>
        <w:rPr>
          <w:rFonts w:ascii="Arial" w:cs="Arial" w:eastAsia="Arial" w:hAnsi="Arial"/>
          <w:sz w:val="18"/>
          <w:szCs w:val="18"/>
          <w:color w:val="52BBC1"/>
        </w:rPr>
      </w:pPr>
      <w:r>
        <w:rPr>
          <w:rFonts w:ascii="Arial" w:cs="Arial" w:eastAsia="Arial" w:hAnsi="Arial"/>
          <w:sz w:val="15"/>
          <w:szCs w:val="15"/>
          <w:color w:val="auto"/>
        </w:rPr>
        <w:t>Assisting management in designing new compensation policies and plans;</w:t>
      </w:r>
    </w:p>
    <w:p>
      <w:pPr>
        <w:spacing w:after="0" w:line="42" w:lineRule="exact"/>
        <w:rPr>
          <w:rFonts w:ascii="Arial" w:cs="Arial" w:eastAsia="Arial" w:hAnsi="Arial"/>
          <w:sz w:val="18"/>
          <w:szCs w:val="18"/>
          <w:color w:val="52BBC1"/>
        </w:rPr>
      </w:pPr>
    </w:p>
    <w:p>
      <w:pPr>
        <w:ind w:left="180" w:hanging="180"/>
        <w:spacing w:after="0"/>
        <w:tabs>
          <w:tab w:leader="none" w:pos="180" w:val="left"/>
        </w:tabs>
        <w:numPr>
          <w:ilvl w:val="0"/>
          <w:numId w:val="31"/>
        </w:numPr>
        <w:rPr>
          <w:rFonts w:ascii="Arial" w:cs="Arial" w:eastAsia="Arial" w:hAnsi="Arial"/>
          <w:sz w:val="18"/>
          <w:szCs w:val="18"/>
          <w:color w:val="52BBC1"/>
        </w:rPr>
      </w:pPr>
      <w:r>
        <w:rPr>
          <w:rFonts w:ascii="Arial" w:cs="Arial" w:eastAsia="Arial" w:hAnsi="Arial"/>
          <w:sz w:val="15"/>
          <w:szCs w:val="15"/>
          <w:color w:val="auto"/>
        </w:rPr>
        <w:t>Reviewing and providing guidance to management concerning succession plans and development actions for key leadership roles;</w:t>
      </w:r>
    </w:p>
    <w:p>
      <w:pPr>
        <w:spacing w:after="0" w:line="42" w:lineRule="exact"/>
        <w:rPr>
          <w:rFonts w:ascii="Arial" w:cs="Arial" w:eastAsia="Arial" w:hAnsi="Arial"/>
          <w:sz w:val="18"/>
          <w:szCs w:val="18"/>
          <w:color w:val="52BBC1"/>
        </w:rPr>
      </w:pPr>
    </w:p>
    <w:p>
      <w:pPr>
        <w:ind w:left="180" w:hanging="180"/>
        <w:spacing w:after="0"/>
        <w:tabs>
          <w:tab w:leader="none" w:pos="180" w:val="left"/>
        </w:tabs>
        <w:numPr>
          <w:ilvl w:val="0"/>
          <w:numId w:val="31"/>
        </w:numPr>
        <w:rPr>
          <w:rFonts w:ascii="Arial" w:cs="Arial" w:eastAsia="Arial" w:hAnsi="Arial"/>
          <w:sz w:val="18"/>
          <w:szCs w:val="18"/>
          <w:color w:val="52BBC1"/>
        </w:rPr>
      </w:pPr>
      <w:r>
        <w:rPr>
          <w:rFonts w:ascii="Arial" w:cs="Arial" w:eastAsia="Arial" w:hAnsi="Arial"/>
          <w:sz w:val="15"/>
          <w:szCs w:val="15"/>
          <w:color w:val="auto"/>
        </w:rPr>
        <w:t>Reviewing and assisting management regarding DEI efforts across the Company;</w:t>
      </w:r>
    </w:p>
    <w:p>
      <w:pPr>
        <w:spacing w:after="0" w:line="217"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3"/>
          <w:szCs w:val="13"/>
          <w:b w:val="1"/>
          <w:bCs w:val="1"/>
          <w:color w:val="00244F"/>
        </w:rPr>
        <w:t>16</w:t>
      </w:r>
      <w:r>
        <w:rPr>
          <w:sz w:val="20"/>
          <w:szCs w:val="20"/>
          <w:color w:val="auto"/>
        </w:rPr>
        <w:tab/>
      </w:r>
      <w:r>
        <w:rPr>
          <w:rFonts w:ascii="Times New Roman" w:cs="Times New Roman" w:eastAsia="Times New Roman" w:hAnsi="Times New Roman"/>
          <w:sz w:val="13"/>
          <w:szCs w:val="13"/>
          <w:b w:val="1"/>
          <w:bCs w:val="1"/>
          <w:color w:val="00244F"/>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268605</wp:posOffset>
            </wp:positionV>
            <wp:extent cx="714248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7"/>
          <w:szCs w:val="17"/>
          <w:u w:val="single" w:color="auto"/>
          <w:color w:val="0000EE"/>
        </w:rPr>
        <w:t>Table of Contents</w:t>
      </w:r>
    </w:p>
    <w:p>
      <w:pPr>
        <w:spacing w:after="0" w:line="159" w:lineRule="exact"/>
        <w:rPr>
          <w:sz w:val="20"/>
          <w:szCs w:val="20"/>
          <w:color w:val="auto"/>
        </w:rPr>
      </w:pPr>
    </w:p>
    <w:p>
      <w:pPr>
        <w:ind w:left="180" w:hanging="180"/>
        <w:spacing w:after="0"/>
        <w:tabs>
          <w:tab w:leader="none" w:pos="180" w:val="left"/>
        </w:tabs>
        <w:numPr>
          <w:ilvl w:val="0"/>
          <w:numId w:val="32"/>
        </w:numPr>
        <w:rPr>
          <w:rFonts w:ascii="Arial" w:cs="Arial" w:eastAsia="Arial" w:hAnsi="Arial"/>
          <w:sz w:val="40"/>
          <w:szCs w:val="40"/>
          <w:color w:val="52BBC1"/>
          <w:vertAlign w:val="subscript"/>
        </w:rPr>
      </w:pPr>
      <w:r>
        <w:rPr>
          <w:rFonts w:ascii="Arial" w:cs="Arial" w:eastAsia="Arial" w:hAnsi="Arial"/>
          <w:sz w:val="15"/>
          <w:szCs w:val="15"/>
          <w:color w:val="auto"/>
        </w:rPr>
        <w:t>Reviewing and discussing the Compensation Discussion and Analysis contained in this proxy statement and other compensation disclosures with management; and</w:t>
      </w:r>
    </w:p>
    <w:p>
      <w:pPr>
        <w:spacing w:after="0" w:line="53" w:lineRule="exact"/>
        <w:rPr>
          <w:rFonts w:ascii="Arial" w:cs="Arial" w:eastAsia="Arial" w:hAnsi="Arial"/>
          <w:sz w:val="40"/>
          <w:szCs w:val="40"/>
          <w:color w:val="52BBC1"/>
          <w:vertAlign w:val="subscript"/>
        </w:rPr>
      </w:pPr>
    </w:p>
    <w:p>
      <w:pPr>
        <w:ind w:left="180" w:hanging="180"/>
        <w:spacing w:after="0" w:line="184" w:lineRule="auto"/>
        <w:tabs>
          <w:tab w:leader="none" w:pos="180" w:val="left"/>
        </w:tabs>
        <w:numPr>
          <w:ilvl w:val="0"/>
          <w:numId w:val="32"/>
        </w:numPr>
        <w:rPr>
          <w:rFonts w:ascii="Arial" w:cs="Arial" w:eastAsia="Arial" w:hAnsi="Arial"/>
          <w:sz w:val="25"/>
          <w:szCs w:val="25"/>
          <w:color w:val="52BBC1"/>
          <w:vertAlign w:val="subscript"/>
        </w:rPr>
      </w:pPr>
      <w:r>
        <w:rPr>
          <w:rFonts w:ascii="Arial" w:cs="Arial" w:eastAsia="Arial" w:hAnsi="Arial"/>
          <w:sz w:val="12"/>
          <w:szCs w:val="12"/>
          <w:color w:val="auto"/>
        </w:rPr>
        <w:t>Overseeing the Management Compensation and Development Committee.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44F"/>
        </w:rPr>
        <w:t>Compensation Committee Interlocks and Insider Participation</w:t>
      </w:r>
    </w:p>
    <w:p>
      <w:pPr>
        <w:spacing w:after="0" w:line="199" w:lineRule="exact"/>
        <w:rPr>
          <w:sz w:val="20"/>
          <w:szCs w:val="20"/>
          <w:color w:val="auto"/>
        </w:rPr>
      </w:pPr>
    </w:p>
    <w:p>
      <w:pPr>
        <w:ind w:right="240"/>
        <w:spacing w:after="0" w:line="252" w:lineRule="auto"/>
        <w:rPr>
          <w:sz w:val="20"/>
          <w:szCs w:val="20"/>
          <w:color w:val="auto"/>
        </w:rPr>
      </w:pPr>
      <w:r>
        <w:rPr>
          <w:rFonts w:ascii="Arial" w:cs="Arial" w:eastAsia="Arial" w:hAnsi="Arial"/>
          <w:sz w:val="15"/>
          <w:szCs w:val="15"/>
          <w:color w:val="auto"/>
        </w:rPr>
        <w:t>During fiscal year 2023, Messrs. MacLellan (Chair), Bartlett, Donnelly, Hrabowski, Stevens, Wilson and Mses. Dublon, Rominger, Smith and Wijnberg served as members of the Compensation Committee. No member of the Compensation Committee was an officer or employee of the Company or any of its subsidiaries during 2023 and no member of the Compensation Committee was formerly an officer of the Company or any of its subsidiaries or was a party to any disclosable related party transaction involving the Company. During 2023, none of the executive officers of the Company served on the board of directors or on the compensation committee of any other entity that has or had executive officers serving as a member of the Board or Compensation Committee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102870</wp:posOffset>
            </wp:positionV>
            <wp:extent cx="7167880" cy="13747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7880" cy="1374775"/>
                    </a:xfrm>
                    <a:prstGeom prst="rect">
                      <a:avLst/>
                    </a:prstGeom>
                    <a:noFill/>
                  </pic:spPr>
                </pic:pic>
              </a:graphicData>
            </a:graphic>
          </wp:anchor>
        </w:drawing>
      </w:r>
    </w:p>
    <w:p>
      <w:pPr>
        <w:spacing w:after="0" w:line="2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3"/>
          <w:szCs w:val="23"/>
          <w:b w:val="1"/>
          <w:bCs w:val="1"/>
          <w:color w:val="auto"/>
        </w:rPr>
        <w:t>Nominating and Corporate Governance Committee</w:t>
      </w:r>
    </w:p>
    <w:p>
      <w:pPr>
        <w:spacing w:after="0" w:line="161" w:lineRule="exact"/>
        <w:rPr>
          <w:sz w:val="20"/>
          <w:szCs w:val="20"/>
          <w:color w:val="auto"/>
        </w:rPr>
      </w:pPr>
    </w:p>
    <w:p>
      <w:pPr>
        <w:ind w:left="120"/>
        <w:spacing w:after="0"/>
        <w:tabs>
          <w:tab w:leader="none" w:pos="4080" w:val="left"/>
          <w:tab w:leader="none" w:pos="5420" w:val="left"/>
        </w:tabs>
        <w:rPr>
          <w:sz w:val="20"/>
          <w:szCs w:val="20"/>
          <w:color w:val="auto"/>
        </w:rPr>
      </w:pPr>
      <w:r>
        <w:rPr>
          <w:rFonts w:ascii="Arial" w:cs="Arial" w:eastAsia="Arial" w:hAnsi="Arial"/>
          <w:sz w:val="15"/>
          <w:szCs w:val="15"/>
          <w:color w:val="auto"/>
        </w:rPr>
        <w:t xml:space="preserve">Meetings in 2023: </w:t>
      </w:r>
      <w:r>
        <w:rPr>
          <w:rFonts w:ascii="Arial" w:cs="Arial" w:eastAsia="Arial" w:hAnsi="Arial"/>
          <w:sz w:val="15"/>
          <w:szCs w:val="15"/>
          <w:b w:val="1"/>
          <w:bCs w:val="1"/>
          <w:color w:val="auto"/>
        </w:rPr>
        <w:t>5</w:t>
      </w:r>
      <w:r>
        <w:rPr>
          <w:sz w:val="20"/>
          <w:szCs w:val="20"/>
          <w:color w:val="auto"/>
        </w:rPr>
        <w:tab/>
      </w:r>
      <w:r>
        <w:rPr>
          <w:rFonts w:ascii="Arial" w:cs="Arial" w:eastAsia="Arial" w:hAnsi="Arial"/>
          <w:sz w:val="15"/>
          <w:szCs w:val="15"/>
          <w:b w:val="1"/>
          <w:bCs w:val="1"/>
          <w:color w:val="00244F"/>
        </w:rPr>
        <w:t>Chair</w:t>
      </w:r>
      <w:r>
        <w:rPr>
          <w:sz w:val="20"/>
          <w:szCs w:val="20"/>
          <w:color w:val="auto"/>
        </w:rPr>
        <w:tab/>
      </w:r>
      <w:r>
        <w:rPr>
          <w:rFonts w:ascii="Arial" w:cs="Arial" w:eastAsia="Arial" w:hAnsi="Arial"/>
          <w:sz w:val="15"/>
          <w:szCs w:val="15"/>
          <w:b w:val="1"/>
          <w:bCs w:val="1"/>
          <w:color w:val="00244F"/>
        </w:rPr>
        <w:t>Members</w:t>
      </w:r>
    </w:p>
    <w:p>
      <w:pPr>
        <w:spacing w:after="0" w:line="29" w:lineRule="exact"/>
        <w:rPr>
          <w:sz w:val="20"/>
          <w:szCs w:val="20"/>
          <w:color w:val="auto"/>
        </w:rPr>
      </w:pPr>
    </w:p>
    <w:p>
      <w:pPr>
        <w:ind w:left="120"/>
        <w:spacing w:after="0"/>
        <w:rPr>
          <w:sz w:val="20"/>
          <w:szCs w:val="20"/>
          <w:color w:val="auto"/>
        </w:rPr>
      </w:pPr>
      <w:r>
        <w:rPr>
          <w:rFonts w:ascii="Arial" w:cs="Arial" w:eastAsia="Arial" w:hAnsi="Arial"/>
          <w:sz w:val="15"/>
          <w:szCs w:val="15"/>
          <w:color w:val="auto"/>
        </w:rPr>
        <w:t xml:space="preserve">The report of the committee appears on </w:t>
      </w:r>
      <w:r>
        <w:rPr>
          <w:rFonts w:ascii="Arial" w:cs="Arial" w:eastAsia="Arial" w:hAnsi="Arial"/>
          <w:sz w:val="15"/>
          <w:szCs w:val="15"/>
          <w:b w:val="1"/>
          <w:bCs w:val="1"/>
          <w:color w:val="auto"/>
        </w:rPr>
        <w:t>page 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100"/>
        <w:spacing w:after="0"/>
        <w:tabs>
          <w:tab w:leader="none" w:pos="5420" w:val="left"/>
          <w:tab w:leader="none" w:pos="6920" w:val="left"/>
          <w:tab w:leader="none" w:pos="8280" w:val="left"/>
        </w:tabs>
        <w:rPr>
          <w:sz w:val="20"/>
          <w:szCs w:val="20"/>
          <w:color w:val="auto"/>
        </w:rPr>
      </w:pPr>
      <w:r>
        <w:rPr>
          <w:rFonts w:ascii="Arial" w:cs="Arial" w:eastAsia="Arial" w:hAnsi="Arial"/>
          <w:sz w:val="15"/>
          <w:szCs w:val="15"/>
          <w:color w:val="auto"/>
        </w:rPr>
        <w:t>Hrabowski</w:t>
      </w:r>
      <w:r>
        <w:rPr>
          <w:sz w:val="20"/>
          <w:szCs w:val="20"/>
          <w:color w:val="auto"/>
        </w:rPr>
        <w:tab/>
      </w:r>
      <w:r>
        <w:rPr>
          <w:rFonts w:ascii="Arial" w:cs="Arial" w:eastAsia="Arial" w:hAnsi="Arial"/>
          <w:sz w:val="15"/>
          <w:szCs w:val="15"/>
          <w:color w:val="auto"/>
        </w:rPr>
        <w:t>Rominger</w:t>
      </w:r>
      <w:r>
        <w:rPr>
          <w:sz w:val="20"/>
          <w:szCs w:val="20"/>
          <w:color w:val="auto"/>
        </w:rPr>
        <w:tab/>
      </w:r>
      <w:r>
        <w:rPr>
          <w:rFonts w:ascii="Arial" w:cs="Arial" w:eastAsia="Arial" w:hAnsi="Arial"/>
          <w:sz w:val="15"/>
          <w:szCs w:val="15"/>
          <w:color w:val="auto"/>
        </w:rPr>
        <w:t>Stevens</w:t>
      </w:r>
      <w:r>
        <w:rPr>
          <w:sz w:val="20"/>
          <w:szCs w:val="20"/>
          <w:color w:val="auto"/>
        </w:rPr>
        <w:tab/>
      </w:r>
      <w:r>
        <w:rPr>
          <w:rFonts w:ascii="Arial" w:cs="Arial" w:eastAsia="Arial" w:hAnsi="Arial"/>
          <w:sz w:val="15"/>
          <w:szCs w:val="15"/>
          <w:color w:val="auto"/>
        </w:rPr>
        <w:t>Wilson</w:t>
      </w:r>
    </w:p>
    <w:p>
      <w:pPr>
        <w:spacing w:after="0" w:line="365" w:lineRule="exact"/>
        <w:rPr>
          <w:sz w:val="20"/>
          <w:szCs w:val="20"/>
          <w:color w:val="auto"/>
        </w:rPr>
      </w:pPr>
    </w:p>
    <w:p>
      <w:pPr>
        <w:spacing w:after="0"/>
        <w:rPr>
          <w:sz w:val="20"/>
          <w:szCs w:val="20"/>
          <w:color w:val="auto"/>
        </w:rPr>
      </w:pPr>
      <w:r>
        <w:rPr>
          <w:rFonts w:ascii="Arial" w:cs="Arial" w:eastAsia="Arial" w:hAnsi="Arial"/>
          <w:sz w:val="15"/>
          <w:szCs w:val="15"/>
          <w:color w:val="auto"/>
        </w:rPr>
        <w:t>The Board has determined that all Nominating and Corporate Governance Committee members meet the independence criteria of the NASDAQ Global Select Market.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44F"/>
        </w:rPr>
        <w:t>Responsibilities</w:t>
      </w:r>
    </w:p>
    <w:p>
      <w:pPr>
        <w:spacing w:after="0" w:line="187" w:lineRule="exact"/>
        <w:rPr>
          <w:sz w:val="20"/>
          <w:szCs w:val="20"/>
          <w:color w:val="auto"/>
        </w:rPr>
      </w:pPr>
    </w:p>
    <w:p>
      <w:pPr>
        <w:ind w:right="120"/>
        <w:spacing w:after="0" w:line="278" w:lineRule="auto"/>
        <w:rPr>
          <w:sz w:val="20"/>
          <w:szCs w:val="20"/>
          <w:color w:val="auto"/>
        </w:rPr>
      </w:pPr>
      <w:r>
        <w:rPr>
          <w:rFonts w:ascii="Arial" w:cs="Arial" w:eastAsia="Arial" w:hAnsi="Arial"/>
          <w:sz w:val="15"/>
          <w:szCs w:val="15"/>
          <w:color w:val="auto"/>
        </w:rPr>
        <w:t>The Nominating and Corporate Governance Committee supervises and reviews the affairs of Price Group in relation to the Board, director nominees and compensation, committee composition, stockholder communications, and other corporate governance matters.</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color w:val="auto"/>
        </w:rPr>
        <w:t>Among the Nominating and Corporate Governance Committee's responsibilities are:</w:t>
      </w:r>
    </w:p>
    <w:p>
      <w:pPr>
        <w:ind w:left="180" w:hanging="180"/>
        <w:spacing w:after="0" w:line="208" w:lineRule="auto"/>
        <w:tabs>
          <w:tab w:leader="none" w:pos="180" w:val="left"/>
        </w:tabs>
        <w:numPr>
          <w:ilvl w:val="0"/>
          <w:numId w:val="33"/>
        </w:numPr>
        <w:rPr>
          <w:rFonts w:ascii="Arial" w:cs="Arial" w:eastAsia="Arial" w:hAnsi="Arial"/>
          <w:sz w:val="40"/>
          <w:szCs w:val="40"/>
          <w:color w:val="52BBC1"/>
          <w:vertAlign w:val="subscript"/>
        </w:rPr>
      </w:pPr>
      <w:r>
        <w:rPr>
          <w:rFonts w:ascii="Arial" w:cs="Arial" w:eastAsia="Arial" w:hAnsi="Arial"/>
          <w:sz w:val="15"/>
          <w:szCs w:val="15"/>
          <w:color w:val="auto"/>
        </w:rPr>
        <w:t>Identifying, evaluating, and nominating director candidates;</w:t>
      </w:r>
    </w:p>
    <w:p>
      <w:pPr>
        <w:spacing w:after="0" w:line="55" w:lineRule="exact"/>
        <w:rPr>
          <w:rFonts w:ascii="Arial" w:cs="Arial" w:eastAsia="Arial" w:hAnsi="Arial"/>
          <w:sz w:val="40"/>
          <w:szCs w:val="40"/>
          <w:color w:val="52BBC1"/>
          <w:vertAlign w:val="subscript"/>
        </w:rPr>
      </w:pPr>
    </w:p>
    <w:p>
      <w:pPr>
        <w:ind w:left="180" w:hanging="180"/>
        <w:spacing w:after="0" w:line="184" w:lineRule="auto"/>
        <w:tabs>
          <w:tab w:leader="none" w:pos="180" w:val="left"/>
        </w:tabs>
        <w:numPr>
          <w:ilvl w:val="0"/>
          <w:numId w:val="33"/>
        </w:numPr>
        <w:rPr>
          <w:rFonts w:ascii="Arial" w:cs="Arial" w:eastAsia="Arial" w:hAnsi="Arial"/>
          <w:sz w:val="25"/>
          <w:szCs w:val="25"/>
          <w:color w:val="52BBC1"/>
          <w:vertAlign w:val="subscript"/>
        </w:rPr>
      </w:pPr>
      <w:r>
        <w:rPr>
          <w:rFonts w:ascii="Arial" w:cs="Arial" w:eastAsia="Arial" w:hAnsi="Arial"/>
          <w:sz w:val="12"/>
          <w:szCs w:val="12"/>
          <w:color w:val="auto"/>
        </w:rPr>
        <w:t>Considering the continued membership of each director, and recommending the appropriate skills and characteristics of potential directors;</w:t>
      </w:r>
    </w:p>
    <w:p>
      <w:pPr>
        <w:spacing w:after="0" w:line="54" w:lineRule="exact"/>
        <w:rPr>
          <w:rFonts w:ascii="Arial" w:cs="Arial" w:eastAsia="Arial" w:hAnsi="Arial"/>
          <w:sz w:val="25"/>
          <w:szCs w:val="25"/>
          <w:color w:val="52BBC1"/>
          <w:vertAlign w:val="subscript"/>
        </w:rPr>
      </w:pPr>
    </w:p>
    <w:p>
      <w:pPr>
        <w:ind w:left="180" w:hanging="180"/>
        <w:spacing w:after="0" w:line="184" w:lineRule="auto"/>
        <w:tabs>
          <w:tab w:leader="none" w:pos="180" w:val="left"/>
        </w:tabs>
        <w:numPr>
          <w:ilvl w:val="0"/>
          <w:numId w:val="33"/>
        </w:numPr>
        <w:rPr>
          <w:rFonts w:ascii="Arial" w:cs="Arial" w:eastAsia="Arial" w:hAnsi="Arial"/>
          <w:sz w:val="25"/>
          <w:szCs w:val="25"/>
          <w:color w:val="52BBC1"/>
          <w:vertAlign w:val="subscript"/>
        </w:rPr>
      </w:pPr>
      <w:r>
        <w:rPr>
          <w:rFonts w:ascii="Arial" w:cs="Arial" w:eastAsia="Arial" w:hAnsi="Arial"/>
          <w:sz w:val="12"/>
          <w:szCs w:val="12"/>
          <w:color w:val="auto"/>
        </w:rPr>
        <w:t>Developing director orientation and education opportunities;</w:t>
      </w:r>
    </w:p>
    <w:p>
      <w:pPr>
        <w:spacing w:after="0" w:line="54" w:lineRule="exact"/>
        <w:rPr>
          <w:rFonts w:ascii="Arial" w:cs="Arial" w:eastAsia="Arial" w:hAnsi="Arial"/>
          <w:sz w:val="25"/>
          <w:szCs w:val="25"/>
          <w:color w:val="52BBC1"/>
          <w:vertAlign w:val="subscript"/>
        </w:rPr>
      </w:pPr>
    </w:p>
    <w:p>
      <w:pPr>
        <w:ind w:left="180" w:hanging="180"/>
        <w:spacing w:after="0" w:line="184" w:lineRule="auto"/>
        <w:tabs>
          <w:tab w:leader="none" w:pos="180" w:val="left"/>
        </w:tabs>
        <w:numPr>
          <w:ilvl w:val="0"/>
          <w:numId w:val="33"/>
        </w:numPr>
        <w:rPr>
          <w:rFonts w:ascii="Arial" w:cs="Arial" w:eastAsia="Arial" w:hAnsi="Arial"/>
          <w:sz w:val="25"/>
          <w:szCs w:val="25"/>
          <w:color w:val="52BBC1"/>
          <w:vertAlign w:val="subscript"/>
        </w:rPr>
      </w:pPr>
      <w:r>
        <w:rPr>
          <w:rFonts w:ascii="Arial" w:cs="Arial" w:eastAsia="Arial" w:hAnsi="Arial"/>
          <w:sz w:val="12"/>
          <w:szCs w:val="12"/>
          <w:color w:val="auto"/>
        </w:rPr>
        <w:t>Reviewing and approving the compensation of independent directors;</w:t>
      </w:r>
    </w:p>
    <w:p>
      <w:pPr>
        <w:spacing w:after="0" w:line="54" w:lineRule="exact"/>
        <w:rPr>
          <w:rFonts w:ascii="Arial" w:cs="Arial" w:eastAsia="Arial" w:hAnsi="Arial"/>
          <w:sz w:val="25"/>
          <w:szCs w:val="25"/>
          <w:color w:val="52BBC1"/>
          <w:vertAlign w:val="subscript"/>
        </w:rPr>
      </w:pPr>
    </w:p>
    <w:p>
      <w:pPr>
        <w:ind w:left="180" w:hanging="180"/>
        <w:spacing w:after="0" w:line="184" w:lineRule="auto"/>
        <w:tabs>
          <w:tab w:leader="none" w:pos="180" w:val="left"/>
        </w:tabs>
        <w:numPr>
          <w:ilvl w:val="0"/>
          <w:numId w:val="33"/>
        </w:numPr>
        <w:rPr>
          <w:rFonts w:ascii="Arial" w:cs="Arial" w:eastAsia="Arial" w:hAnsi="Arial"/>
          <w:sz w:val="25"/>
          <w:szCs w:val="25"/>
          <w:color w:val="52BBC1"/>
          <w:vertAlign w:val="subscript"/>
        </w:rPr>
      </w:pPr>
      <w:r>
        <w:rPr>
          <w:rFonts w:ascii="Arial" w:cs="Arial" w:eastAsia="Arial" w:hAnsi="Arial"/>
          <w:sz w:val="12"/>
          <w:szCs w:val="12"/>
          <w:color w:val="auto"/>
        </w:rPr>
        <w:t>Recommending committee and chair assignments;</w:t>
      </w:r>
    </w:p>
    <w:p>
      <w:pPr>
        <w:spacing w:after="0" w:line="54" w:lineRule="exact"/>
        <w:rPr>
          <w:rFonts w:ascii="Arial" w:cs="Arial" w:eastAsia="Arial" w:hAnsi="Arial"/>
          <w:sz w:val="25"/>
          <w:szCs w:val="25"/>
          <w:color w:val="52BBC1"/>
          <w:vertAlign w:val="subscript"/>
        </w:rPr>
      </w:pPr>
    </w:p>
    <w:p>
      <w:pPr>
        <w:ind w:left="180" w:hanging="180"/>
        <w:spacing w:after="0" w:line="184" w:lineRule="auto"/>
        <w:tabs>
          <w:tab w:leader="none" w:pos="180" w:val="left"/>
        </w:tabs>
        <w:numPr>
          <w:ilvl w:val="0"/>
          <w:numId w:val="33"/>
        </w:numPr>
        <w:rPr>
          <w:rFonts w:ascii="Arial" w:cs="Arial" w:eastAsia="Arial" w:hAnsi="Arial"/>
          <w:sz w:val="25"/>
          <w:szCs w:val="25"/>
          <w:color w:val="52BBC1"/>
          <w:vertAlign w:val="subscript"/>
        </w:rPr>
      </w:pPr>
      <w:r>
        <w:rPr>
          <w:rFonts w:ascii="Arial" w:cs="Arial" w:eastAsia="Arial" w:hAnsi="Arial"/>
          <w:sz w:val="12"/>
          <w:szCs w:val="12"/>
          <w:color w:val="auto"/>
        </w:rPr>
        <w:t>Overseeing procedures regarding stockholder nominations and other communications to the Board;</w:t>
      </w:r>
    </w:p>
    <w:p>
      <w:pPr>
        <w:spacing w:after="0" w:line="54" w:lineRule="exact"/>
        <w:rPr>
          <w:rFonts w:ascii="Arial" w:cs="Arial" w:eastAsia="Arial" w:hAnsi="Arial"/>
          <w:sz w:val="25"/>
          <w:szCs w:val="25"/>
          <w:color w:val="52BBC1"/>
          <w:vertAlign w:val="subscript"/>
        </w:rPr>
      </w:pPr>
    </w:p>
    <w:p>
      <w:pPr>
        <w:ind w:left="180" w:hanging="180"/>
        <w:spacing w:after="0" w:line="184" w:lineRule="auto"/>
        <w:tabs>
          <w:tab w:leader="none" w:pos="180" w:val="left"/>
        </w:tabs>
        <w:numPr>
          <w:ilvl w:val="0"/>
          <w:numId w:val="33"/>
        </w:numPr>
        <w:rPr>
          <w:rFonts w:ascii="Arial" w:cs="Arial" w:eastAsia="Arial" w:hAnsi="Arial"/>
          <w:sz w:val="25"/>
          <w:szCs w:val="25"/>
          <w:color w:val="52BBC1"/>
          <w:vertAlign w:val="subscript"/>
        </w:rPr>
      </w:pPr>
      <w:r>
        <w:rPr>
          <w:rFonts w:ascii="Arial" w:cs="Arial" w:eastAsia="Arial" w:hAnsi="Arial"/>
          <w:sz w:val="12"/>
          <w:szCs w:val="12"/>
          <w:color w:val="auto"/>
        </w:rPr>
        <w:t>Reviewing the effectiveness of the Board in the corporate governance process;</w:t>
      </w:r>
    </w:p>
    <w:p>
      <w:pPr>
        <w:spacing w:after="0" w:line="54" w:lineRule="exact"/>
        <w:rPr>
          <w:rFonts w:ascii="Arial" w:cs="Arial" w:eastAsia="Arial" w:hAnsi="Arial"/>
          <w:sz w:val="25"/>
          <w:szCs w:val="25"/>
          <w:color w:val="52BBC1"/>
          <w:vertAlign w:val="subscript"/>
        </w:rPr>
      </w:pPr>
    </w:p>
    <w:p>
      <w:pPr>
        <w:ind w:left="180" w:hanging="180"/>
        <w:spacing w:after="0" w:line="184" w:lineRule="auto"/>
        <w:tabs>
          <w:tab w:leader="none" w:pos="180" w:val="left"/>
        </w:tabs>
        <w:numPr>
          <w:ilvl w:val="0"/>
          <w:numId w:val="33"/>
        </w:numPr>
        <w:rPr>
          <w:rFonts w:ascii="Arial" w:cs="Arial" w:eastAsia="Arial" w:hAnsi="Arial"/>
          <w:sz w:val="25"/>
          <w:szCs w:val="25"/>
          <w:color w:val="52BBC1"/>
          <w:vertAlign w:val="subscript"/>
        </w:rPr>
      </w:pPr>
      <w:r>
        <w:rPr>
          <w:rFonts w:ascii="Arial" w:cs="Arial" w:eastAsia="Arial" w:hAnsi="Arial"/>
          <w:sz w:val="12"/>
          <w:szCs w:val="12"/>
          <w:color w:val="auto"/>
        </w:rPr>
        <w:t>Monitoring compliance with and recommending any changes to the Corporate Governance Guidelines and other governance policies;</w:t>
      </w:r>
    </w:p>
    <w:p>
      <w:pPr>
        <w:spacing w:after="0" w:line="54" w:lineRule="exact"/>
        <w:rPr>
          <w:rFonts w:ascii="Arial" w:cs="Arial" w:eastAsia="Arial" w:hAnsi="Arial"/>
          <w:sz w:val="25"/>
          <w:szCs w:val="25"/>
          <w:color w:val="52BBC1"/>
          <w:vertAlign w:val="subscript"/>
        </w:rPr>
      </w:pPr>
    </w:p>
    <w:p>
      <w:pPr>
        <w:ind w:left="180" w:hanging="180"/>
        <w:spacing w:after="0" w:line="184" w:lineRule="auto"/>
        <w:tabs>
          <w:tab w:leader="none" w:pos="180" w:val="left"/>
        </w:tabs>
        <w:numPr>
          <w:ilvl w:val="0"/>
          <w:numId w:val="33"/>
        </w:numPr>
        <w:rPr>
          <w:rFonts w:ascii="Arial" w:cs="Arial" w:eastAsia="Arial" w:hAnsi="Arial"/>
          <w:sz w:val="25"/>
          <w:szCs w:val="25"/>
          <w:color w:val="52BBC1"/>
          <w:vertAlign w:val="subscript"/>
        </w:rPr>
      </w:pPr>
      <w:r>
        <w:rPr>
          <w:rFonts w:ascii="Arial" w:cs="Arial" w:eastAsia="Arial" w:hAnsi="Arial"/>
          <w:sz w:val="12"/>
          <w:szCs w:val="12"/>
          <w:color w:val="auto"/>
        </w:rPr>
        <w:t>Monitoring and oversight of, in coordination with the Compensation Committee and the Board, succession planning for the chief executive officer;</w:t>
      </w:r>
    </w:p>
    <w:p>
      <w:pPr>
        <w:spacing w:after="0" w:line="54" w:lineRule="exact"/>
        <w:rPr>
          <w:rFonts w:ascii="Arial" w:cs="Arial" w:eastAsia="Arial" w:hAnsi="Arial"/>
          <w:sz w:val="25"/>
          <w:szCs w:val="25"/>
          <w:color w:val="52BBC1"/>
          <w:vertAlign w:val="subscript"/>
        </w:rPr>
      </w:pPr>
    </w:p>
    <w:p>
      <w:pPr>
        <w:ind w:left="180" w:hanging="180"/>
        <w:spacing w:after="0" w:line="184" w:lineRule="auto"/>
        <w:tabs>
          <w:tab w:leader="none" w:pos="180" w:val="left"/>
        </w:tabs>
        <w:numPr>
          <w:ilvl w:val="0"/>
          <w:numId w:val="33"/>
        </w:numPr>
        <w:rPr>
          <w:rFonts w:ascii="Arial" w:cs="Arial" w:eastAsia="Arial" w:hAnsi="Arial"/>
          <w:sz w:val="25"/>
          <w:szCs w:val="25"/>
          <w:color w:val="52BBC1"/>
          <w:vertAlign w:val="subscript"/>
        </w:rPr>
      </w:pPr>
      <w:r>
        <w:rPr>
          <w:rFonts w:ascii="Arial" w:cs="Arial" w:eastAsia="Arial" w:hAnsi="Arial"/>
          <w:sz w:val="12"/>
          <w:szCs w:val="12"/>
          <w:color w:val="auto"/>
        </w:rPr>
        <w:t>Overseeing policies related to political expenditures and political activities;</w:t>
      </w:r>
    </w:p>
    <w:p>
      <w:pPr>
        <w:spacing w:after="0" w:line="54" w:lineRule="exact"/>
        <w:rPr>
          <w:rFonts w:ascii="Arial" w:cs="Arial" w:eastAsia="Arial" w:hAnsi="Arial"/>
          <w:sz w:val="25"/>
          <w:szCs w:val="25"/>
          <w:color w:val="52BBC1"/>
          <w:vertAlign w:val="subscript"/>
        </w:rPr>
      </w:pPr>
    </w:p>
    <w:p>
      <w:pPr>
        <w:ind w:left="180" w:hanging="180"/>
        <w:spacing w:after="0" w:line="184" w:lineRule="auto"/>
        <w:tabs>
          <w:tab w:leader="none" w:pos="180" w:val="left"/>
        </w:tabs>
        <w:numPr>
          <w:ilvl w:val="0"/>
          <w:numId w:val="33"/>
        </w:numPr>
        <w:rPr>
          <w:rFonts w:ascii="Arial" w:cs="Arial" w:eastAsia="Arial" w:hAnsi="Arial"/>
          <w:sz w:val="25"/>
          <w:szCs w:val="25"/>
          <w:color w:val="52BBC1"/>
          <w:vertAlign w:val="subscript"/>
        </w:rPr>
      </w:pPr>
      <w:r>
        <w:rPr>
          <w:rFonts w:ascii="Arial" w:cs="Arial" w:eastAsia="Arial" w:hAnsi="Arial"/>
          <w:sz w:val="12"/>
          <w:szCs w:val="12"/>
          <w:color w:val="auto"/>
        </w:rPr>
        <w:t>Monitoring policies related to environmental and climate matters, and recommending to the Board specific actions related thereto;</w:t>
      </w:r>
    </w:p>
    <w:p>
      <w:pPr>
        <w:spacing w:after="0" w:line="78" w:lineRule="exact"/>
        <w:rPr>
          <w:rFonts w:ascii="Arial" w:cs="Arial" w:eastAsia="Arial" w:hAnsi="Arial"/>
          <w:sz w:val="25"/>
          <w:szCs w:val="25"/>
          <w:color w:val="52BBC1"/>
          <w:vertAlign w:val="subscript"/>
        </w:rPr>
      </w:pPr>
    </w:p>
    <w:p>
      <w:pPr>
        <w:ind w:left="180" w:right="420" w:hanging="180"/>
        <w:spacing w:after="0" w:line="180" w:lineRule="auto"/>
        <w:tabs>
          <w:tab w:leader="none" w:pos="180" w:val="left"/>
        </w:tabs>
        <w:numPr>
          <w:ilvl w:val="0"/>
          <w:numId w:val="33"/>
        </w:numPr>
        <w:rPr>
          <w:rFonts w:ascii="Arial" w:cs="Arial" w:eastAsia="Arial" w:hAnsi="Arial"/>
          <w:sz w:val="30"/>
          <w:szCs w:val="30"/>
          <w:color w:val="52BBC1"/>
          <w:vertAlign w:val="subscript"/>
        </w:rPr>
      </w:pPr>
      <w:r>
        <w:rPr>
          <w:rFonts w:ascii="Arial" w:cs="Arial" w:eastAsia="Arial" w:hAnsi="Arial"/>
          <w:sz w:val="13"/>
          <w:szCs w:val="13"/>
          <w:color w:val="auto"/>
        </w:rPr>
        <w:t>Reviewing actions in furtherance of the Company's corporate social responsibility, including the impact of the Company's processes on employees, stockholders, citizens, and communities; and</w:t>
      </w:r>
    </w:p>
    <w:p>
      <w:pPr>
        <w:spacing w:after="0" w:line="29" w:lineRule="exact"/>
        <w:rPr>
          <w:rFonts w:ascii="Arial" w:cs="Arial" w:eastAsia="Arial" w:hAnsi="Arial"/>
          <w:sz w:val="30"/>
          <w:szCs w:val="30"/>
          <w:color w:val="52BBC1"/>
          <w:vertAlign w:val="subscript"/>
        </w:rPr>
      </w:pPr>
    </w:p>
    <w:p>
      <w:pPr>
        <w:ind w:left="180" w:right="260" w:hanging="180"/>
        <w:spacing w:after="0" w:line="180" w:lineRule="auto"/>
        <w:tabs>
          <w:tab w:leader="none" w:pos="180" w:val="left"/>
        </w:tabs>
        <w:numPr>
          <w:ilvl w:val="0"/>
          <w:numId w:val="33"/>
        </w:numPr>
        <w:rPr>
          <w:rFonts w:ascii="Arial" w:cs="Arial" w:eastAsia="Arial" w:hAnsi="Arial"/>
          <w:sz w:val="30"/>
          <w:szCs w:val="30"/>
          <w:color w:val="52BBC1"/>
          <w:vertAlign w:val="subscript"/>
        </w:rPr>
      </w:pPr>
      <w:r>
        <w:rPr>
          <w:rFonts w:ascii="Arial" w:cs="Arial" w:eastAsia="Arial" w:hAnsi="Arial"/>
          <w:sz w:val="13"/>
          <w:szCs w:val="13"/>
          <w:color w:val="auto"/>
        </w:rPr>
        <w:t>Reviewing key trends in legislation, regulation, litigation, and public debate to determine whether the Company should consider additional corporate environmental, social responsibility, or governance actions.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00" w:type="dxa"/>
            <w:vAlign w:val="bottom"/>
          </w:tcPr>
          <w:p>
            <w:pPr>
              <w:ind w:left="9500"/>
              <w:spacing w:after="0"/>
              <w:rPr>
                <w:sz w:val="20"/>
                <w:szCs w:val="20"/>
                <w:color w:val="auto"/>
              </w:rPr>
            </w:pPr>
            <w:r>
              <w:rPr>
                <w:rFonts w:ascii="Times New Roman" w:cs="Times New Roman" w:eastAsia="Times New Roman" w:hAnsi="Times New Roman"/>
                <w:sz w:val="13"/>
                <w:szCs w:val="13"/>
                <w:b w:val="1"/>
                <w:bCs w:val="1"/>
                <w:color w:val="00254F"/>
              </w:rPr>
              <w:t xml:space="preserve">2024 </w:t>
            </w:r>
            <w:r>
              <w:rPr>
                <w:rFonts w:ascii="Times New Roman" w:cs="Times New Roman" w:eastAsia="Times New Roman" w:hAnsi="Times New Roman"/>
                <w:sz w:val="13"/>
                <w:szCs w:val="13"/>
                <w:color w:val="00254F"/>
              </w:rPr>
              <w:t>Proxy Statement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244F"/>
              </w:rPr>
              <w:t>17</w:t>
            </w:r>
          </w:p>
        </w:tc>
      </w:tr>
      <w:tr>
        <w:trPr>
          <w:trHeight w:val="397"/>
        </w:trPr>
        <w:tc>
          <w:tcPr>
            <w:tcW w:w="10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3"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238760</wp:posOffset>
            </wp:positionV>
            <wp:extent cx="7167880" cy="13430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7880" cy="134302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3"/>
          <w:szCs w:val="23"/>
          <w:b w:val="1"/>
          <w:bCs w:val="1"/>
          <w:color w:val="auto"/>
        </w:rPr>
        <w:t>Executive Committee</w:t>
      </w:r>
    </w:p>
    <w:p>
      <w:pPr>
        <w:spacing w:after="0" w:line="149" w:lineRule="exact"/>
        <w:rPr>
          <w:sz w:val="20"/>
          <w:szCs w:val="20"/>
          <w:color w:val="auto"/>
        </w:rPr>
      </w:pPr>
    </w:p>
    <w:p>
      <w:pPr>
        <w:ind w:left="140"/>
        <w:spacing w:after="0"/>
        <w:tabs>
          <w:tab w:leader="none" w:pos="1520" w:val="left"/>
        </w:tabs>
        <w:rPr>
          <w:sz w:val="20"/>
          <w:szCs w:val="20"/>
          <w:color w:val="auto"/>
        </w:rPr>
      </w:pPr>
      <w:r>
        <w:rPr>
          <w:rFonts w:ascii="Arial" w:cs="Arial" w:eastAsia="Arial" w:hAnsi="Arial"/>
          <w:sz w:val="15"/>
          <w:szCs w:val="15"/>
          <w:b w:val="1"/>
          <w:bCs w:val="1"/>
          <w:color w:val="00244F"/>
        </w:rPr>
        <w:t>Chair</w:t>
      </w:r>
      <w:r>
        <w:rPr>
          <w:sz w:val="20"/>
          <w:szCs w:val="20"/>
          <w:color w:val="auto"/>
        </w:rPr>
        <w:tab/>
      </w:r>
      <w:r>
        <w:rPr>
          <w:rFonts w:ascii="Arial" w:cs="Arial" w:eastAsia="Arial" w:hAnsi="Arial"/>
          <w:sz w:val="15"/>
          <w:szCs w:val="15"/>
          <w:b w:val="1"/>
          <w:bCs w:val="1"/>
          <w:color w:val="00244F"/>
        </w:rPr>
        <w:t>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60"/>
        <w:spacing w:after="0"/>
        <w:tabs>
          <w:tab w:leader="none" w:pos="1580" w:val="left"/>
          <w:tab w:leader="none" w:pos="3300" w:val="left"/>
          <w:tab w:leader="none" w:pos="4360" w:val="left"/>
        </w:tabs>
        <w:rPr>
          <w:sz w:val="20"/>
          <w:szCs w:val="20"/>
          <w:color w:val="auto"/>
        </w:rPr>
      </w:pPr>
      <w:r>
        <w:rPr>
          <w:rFonts w:ascii="Arial" w:cs="Arial" w:eastAsia="Arial" w:hAnsi="Arial"/>
          <w:sz w:val="15"/>
          <w:szCs w:val="15"/>
          <w:color w:val="auto"/>
        </w:rPr>
        <w:t>Sharps</w:t>
      </w:r>
      <w:r>
        <w:rPr>
          <w:sz w:val="20"/>
          <w:szCs w:val="20"/>
          <w:color w:val="auto"/>
        </w:rPr>
        <w:tab/>
      </w:r>
      <w:r>
        <w:rPr>
          <w:rFonts w:ascii="Arial" w:cs="Arial" w:eastAsia="Arial" w:hAnsi="Arial"/>
          <w:sz w:val="15"/>
          <w:szCs w:val="15"/>
          <w:color w:val="auto"/>
        </w:rPr>
        <w:t>MacLellan</w:t>
      </w:r>
      <w:r>
        <w:rPr>
          <w:sz w:val="20"/>
          <w:szCs w:val="20"/>
          <w:color w:val="auto"/>
        </w:rPr>
        <w:tab/>
      </w:r>
      <w:r>
        <w:rPr>
          <w:rFonts w:ascii="Arial" w:cs="Arial" w:eastAsia="Arial" w:hAnsi="Arial"/>
          <w:sz w:val="15"/>
          <w:szCs w:val="15"/>
          <w:color w:val="auto"/>
        </w:rPr>
        <w:t>Stromberg</w:t>
      </w:r>
      <w:r>
        <w:rPr>
          <w:sz w:val="20"/>
          <w:szCs w:val="20"/>
          <w:color w:val="auto"/>
        </w:rPr>
        <w:tab/>
      </w:r>
      <w:r>
        <w:rPr>
          <w:rFonts w:ascii="Arial" w:cs="Arial" w:eastAsia="Arial" w:hAnsi="Arial"/>
          <w:sz w:val="14"/>
          <w:szCs w:val="14"/>
          <w:color w:val="auto"/>
        </w:rPr>
        <w:t>Wilson</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44F"/>
        </w:rPr>
        <w:t>Responsibilities</w:t>
      </w:r>
    </w:p>
    <w:p>
      <w:pPr>
        <w:spacing w:after="0" w:line="199"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The Executive Committee functions between meetings of the Board in the event that prompt action be called for that requires formal action by or on behalf of the Board in circumstances where it is impractical to call and hold a full meeting of the Board. The Executive Committee possesses the authority to exercise all the powers of the Board except as limited by Maryland law.</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If the Executive Committee acts on matters requiring formal Board action, those acts are reported to the Board at its next meeting for ratification.</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244F"/>
        </w:rPr>
        <w:t>Board Policies and Procedures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Code of Ethics</w:t>
      </w:r>
    </w:p>
    <w:p>
      <w:pPr>
        <w:spacing w:after="0" w:line="199" w:lineRule="exact"/>
        <w:rPr>
          <w:sz w:val="20"/>
          <w:szCs w:val="20"/>
          <w:color w:val="auto"/>
        </w:rPr>
      </w:pPr>
    </w:p>
    <w:p>
      <w:pPr>
        <w:ind w:right="100"/>
        <w:spacing w:after="0" w:line="255" w:lineRule="auto"/>
        <w:rPr>
          <w:sz w:val="20"/>
          <w:szCs w:val="20"/>
          <w:color w:val="auto"/>
        </w:rPr>
      </w:pPr>
      <w:r>
        <w:rPr>
          <w:rFonts w:ascii="Arial" w:cs="Arial" w:eastAsia="Arial" w:hAnsi="Arial"/>
          <w:sz w:val="15"/>
          <w:szCs w:val="15"/>
          <w:color w:val="auto"/>
        </w:rPr>
        <w:t>Pursuant to rules promulgated under the Sarbanes-Oxley Act, the Board has adopted the Code. The Code is intended to deter wrongdoing and promote honest and ethical conduct; full, timely, and accurate reporting; compliance with laws; and accountability for adherence to the Code, including internal reporting of Code violations. A copy of the Code is available on our website. We intend to satisfy the disclosure requirements regarding any amendment to, or waiver from, a provision of the Code by making disclosures concerning such matters available on the Investor Relations page of our website, troweprice.com.</w:t>
      </w:r>
    </w:p>
    <w:p>
      <w:pPr>
        <w:spacing w:after="0" w:line="142" w:lineRule="exact"/>
        <w:rPr>
          <w:sz w:val="20"/>
          <w:szCs w:val="20"/>
          <w:color w:val="auto"/>
        </w:rPr>
      </w:pPr>
    </w:p>
    <w:p>
      <w:pPr>
        <w:ind w:right="380"/>
        <w:spacing w:after="0" w:line="271" w:lineRule="auto"/>
        <w:rPr>
          <w:sz w:val="20"/>
          <w:szCs w:val="20"/>
          <w:color w:val="auto"/>
        </w:rPr>
      </w:pPr>
      <w:r>
        <w:rPr>
          <w:rFonts w:ascii="Arial" w:cs="Arial" w:eastAsia="Arial" w:hAnsi="Arial"/>
          <w:sz w:val="14"/>
          <w:szCs w:val="14"/>
          <w:color w:val="auto"/>
        </w:rPr>
        <w:t>We also have a Code of Ethics and Personal Transactions Policy and a Global Code of Conduct, both of which are applicable to all employees and directors of the Company. Our Code of Ethics and Personal Transactions Policy prohibits all employees and directors of the Company from (i) any short sales of our common stock,</w:t>
      </w:r>
    </w:p>
    <w:p>
      <w:pPr>
        <w:ind w:right="40"/>
        <w:spacing w:after="0" w:line="251" w:lineRule="auto"/>
        <w:tabs>
          <w:tab w:leader="none" w:pos="208" w:val="left"/>
        </w:tabs>
        <w:numPr>
          <w:ilvl w:val="0"/>
          <w:numId w:val="34"/>
        </w:numPr>
        <w:rPr>
          <w:rFonts w:ascii="Arial" w:cs="Arial" w:eastAsia="Arial" w:hAnsi="Arial"/>
          <w:sz w:val="15"/>
          <w:szCs w:val="15"/>
          <w:color w:val="auto"/>
        </w:rPr>
      </w:pPr>
      <w:r>
        <w:rPr>
          <w:rFonts w:ascii="Arial" w:cs="Arial" w:eastAsia="Arial" w:hAnsi="Arial"/>
          <w:sz w:val="15"/>
          <w:szCs w:val="15"/>
          <w:color w:val="auto"/>
        </w:rPr>
        <w:t>purchasing options on our common stock, or (iii) entering into any contract or purchasing any instrument designed to hedge or offset any decrease in the market value of our common stock. It is the Company's policy for all employees to participate annually in continuing education and training relating to the Code of Ethics and Personal Transactions Policy and Global Code of Conduct.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Corporate Governance Guidelines</w:t>
      </w:r>
    </w:p>
    <w:p>
      <w:pPr>
        <w:spacing w:after="0" w:line="211" w:lineRule="exact"/>
        <w:rPr>
          <w:sz w:val="20"/>
          <w:szCs w:val="20"/>
          <w:color w:val="auto"/>
        </w:rPr>
      </w:pPr>
    </w:p>
    <w:p>
      <w:pPr>
        <w:ind w:right="40"/>
        <w:spacing w:after="0" w:line="250" w:lineRule="auto"/>
        <w:rPr>
          <w:sz w:val="20"/>
          <w:szCs w:val="20"/>
          <w:color w:val="auto"/>
        </w:rPr>
      </w:pPr>
      <w:r>
        <w:rPr>
          <w:rFonts w:ascii="Arial" w:cs="Arial" w:eastAsia="Arial" w:hAnsi="Arial"/>
          <w:sz w:val="15"/>
          <w:szCs w:val="15"/>
          <w:color w:val="auto"/>
        </w:rPr>
        <w:t>The Board represents the interests of stockholders in fostering a business that is successful in all respects. The Board is responsible for determining that the Company is managed with this objective in mind and that management is executing its responsibilities. The Board's responsibility is to regularly monitor the effectiveness of management policies and decisions, including the execution of its strategies. In addition to fulfilling its obligations for representing the interests of stockholders, the Board has responsibility to the Company's employees, the mutual funds and investment portfolios that the Company manages, the Company's other customers and business constituents and the communities where the Company operates. All are essential to a successful business. Our Corporate Governance Guidelines can be found on our website, troweprice.com.</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244F"/>
        </w:rPr>
        <w:t>Non-Employee Director Independence Determinations</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The Board has considered the independence of current directors and director nominees and, excluding Messrs. Stromberg, Sharps, and August, has concluded that each such director qualifies as an independent director within the meaning of the applicable rules of the NASDAQ Global Select Market. To our knowledge, there are no family relationships among our directors or executive officers.</w:t>
      </w:r>
    </w:p>
    <w:p>
      <w:pPr>
        <w:spacing w:after="0" w:line="15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3"/>
          <w:szCs w:val="13"/>
          <w:b w:val="1"/>
          <w:bCs w:val="1"/>
          <w:color w:val="00244F"/>
        </w:rPr>
        <w:t>18</w:t>
      </w:r>
      <w:r>
        <w:rPr>
          <w:sz w:val="20"/>
          <w:szCs w:val="20"/>
          <w:color w:val="auto"/>
        </w:rPr>
        <w:tab/>
      </w:r>
      <w:r>
        <w:rPr>
          <w:rFonts w:ascii="Times New Roman" w:cs="Times New Roman" w:eastAsia="Times New Roman" w:hAnsi="Times New Roman"/>
          <w:sz w:val="13"/>
          <w:szCs w:val="13"/>
          <w:b w:val="1"/>
          <w:bCs w:val="1"/>
          <w:color w:val="00244F"/>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4248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0000EE"/>
        </w:rPr>
        <w:t>Table of Contents</w:t>
      </w:r>
    </w:p>
    <w:p>
      <w:pPr>
        <w:spacing w:after="0" w:line="384" w:lineRule="exact"/>
        <w:rPr>
          <w:sz w:val="20"/>
          <w:szCs w:val="20"/>
          <w:color w:val="auto"/>
        </w:rPr>
      </w:pPr>
    </w:p>
    <w:p>
      <w:pPr>
        <w:ind w:right="520"/>
        <w:spacing w:after="0" w:line="259" w:lineRule="auto"/>
        <w:rPr>
          <w:sz w:val="20"/>
          <w:szCs w:val="20"/>
          <w:color w:val="auto"/>
        </w:rPr>
      </w:pPr>
      <w:r>
        <w:rPr>
          <w:rFonts w:ascii="Arial" w:cs="Arial" w:eastAsia="Arial" w:hAnsi="Arial"/>
          <w:sz w:val="15"/>
          <w:szCs w:val="15"/>
          <w:color w:val="auto"/>
        </w:rPr>
        <w:t>In making its determination of independence, the Board applied guidelines that it has adopted concluding that the following relationships should not be considered material relationships that would impair a director's independence:</w:t>
      </w:r>
    </w:p>
    <w:p>
      <w:pPr>
        <w:spacing w:after="0" w:line="190" w:lineRule="exact"/>
        <w:rPr>
          <w:sz w:val="20"/>
          <w:szCs w:val="20"/>
          <w:color w:val="auto"/>
        </w:rPr>
      </w:pPr>
    </w:p>
    <w:p>
      <w:pPr>
        <w:ind w:left="180" w:right="180" w:hanging="180"/>
        <w:spacing w:after="0" w:line="181" w:lineRule="auto"/>
        <w:tabs>
          <w:tab w:leader="none" w:pos="180" w:val="left"/>
        </w:tabs>
        <w:numPr>
          <w:ilvl w:val="0"/>
          <w:numId w:val="35"/>
        </w:numPr>
        <w:rPr>
          <w:rFonts w:ascii="Arial" w:cs="Arial" w:eastAsia="Arial" w:hAnsi="Arial"/>
          <w:sz w:val="35"/>
          <w:szCs w:val="35"/>
          <w:color w:val="52BBC1"/>
          <w:vertAlign w:val="subscript"/>
        </w:rPr>
      </w:pPr>
      <w:r>
        <w:rPr>
          <w:rFonts w:ascii="Arial" w:cs="Arial" w:eastAsia="Arial" w:hAnsi="Arial"/>
          <w:sz w:val="14"/>
          <w:szCs w:val="14"/>
          <w:color w:val="auto"/>
        </w:rPr>
        <w:t>relationships where a director or an immediate family member of a director purchases or acquires investment services, investment securities, or similar products and services from the Company or one of its sponsored mutual funds and trusts (Price funds) so long as the relationship is on terms consistent with those generally available to other persons doing business with the Company, its subsidiaries, or its sponsored investment products; and</w:t>
      </w:r>
    </w:p>
    <w:p>
      <w:pPr>
        <w:spacing w:after="0" w:line="28" w:lineRule="exact"/>
        <w:rPr>
          <w:rFonts w:ascii="Arial" w:cs="Arial" w:eastAsia="Arial" w:hAnsi="Arial"/>
          <w:sz w:val="35"/>
          <w:szCs w:val="35"/>
          <w:color w:val="52BBC1"/>
          <w:vertAlign w:val="subscript"/>
        </w:rPr>
      </w:pPr>
    </w:p>
    <w:p>
      <w:pPr>
        <w:ind w:left="180" w:right="280" w:hanging="180"/>
        <w:spacing w:after="0" w:line="181" w:lineRule="auto"/>
        <w:tabs>
          <w:tab w:leader="none" w:pos="180" w:val="left"/>
        </w:tabs>
        <w:numPr>
          <w:ilvl w:val="0"/>
          <w:numId w:val="35"/>
        </w:numPr>
        <w:rPr>
          <w:rFonts w:ascii="Arial" w:cs="Arial" w:eastAsia="Arial" w:hAnsi="Arial"/>
          <w:sz w:val="35"/>
          <w:szCs w:val="35"/>
          <w:color w:val="52BBC1"/>
          <w:vertAlign w:val="subscript"/>
        </w:rPr>
      </w:pPr>
      <w:r>
        <w:rPr>
          <w:rFonts w:ascii="Arial" w:cs="Arial" w:eastAsia="Arial" w:hAnsi="Arial"/>
          <w:sz w:val="14"/>
          <w:szCs w:val="14"/>
          <w:color w:val="auto"/>
        </w:rPr>
        <w:t>relationships where a corporation, partnership, or other entity with respect to which a director or an immediate family member of a director is an officer, director, employee, partner, or member purchases services from the Company, including investment management or defined contribution retirement plan services, on terms consistent with those generally available to other entities doing business with the Company or its subsidiaries.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The Board believes that this policy sets an appropriate standard for dealing with ordinary course of business relationships that may arise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571500" cy="2698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1500" cy="269875"/>
                    </a:xfrm>
                    <a:prstGeom prst="rect">
                      <a:avLst/>
                    </a:prstGeom>
                    <a:noFill/>
                  </pic:spPr>
                </pic:pic>
              </a:graphicData>
            </a:graphic>
          </wp:anchor>
        </w:drawing>
      </w: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FFFFFF"/>
        </w:rPr>
        <w:t>Proposal 1</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244F"/>
        </w:rPr>
        <w:t>Election of Directors</w:t>
      </w:r>
    </w:p>
    <w:p>
      <w:pPr>
        <w:spacing w:after="0" w:line="175" w:lineRule="exact"/>
        <w:rPr>
          <w:sz w:val="20"/>
          <w:szCs w:val="20"/>
          <w:color w:val="auto"/>
        </w:rPr>
      </w:pPr>
    </w:p>
    <w:p>
      <w:pPr>
        <w:ind w:right="260"/>
        <w:spacing w:after="0" w:line="278" w:lineRule="auto"/>
        <w:rPr>
          <w:sz w:val="20"/>
          <w:szCs w:val="20"/>
          <w:color w:val="auto"/>
        </w:rPr>
      </w:pPr>
      <w:r>
        <w:rPr>
          <w:rFonts w:ascii="Arial" w:cs="Arial" w:eastAsia="Arial" w:hAnsi="Arial"/>
          <w:sz w:val="15"/>
          <w:szCs w:val="15"/>
          <w:color w:val="auto"/>
        </w:rPr>
        <w:t>In this proxy statement, 11 director nominees are presented pursuant to the recommendation of the Nominating and Corporate Governance Committee. All have been nominated by the Board to hold office until the next annual meeting of stockholders and until their respective successors are elected and qualify.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142480" cy="4127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2480" cy="412750"/>
                    </a:xfrm>
                    <a:prstGeom prst="rect">
                      <a:avLst/>
                    </a:prstGeom>
                    <a:noFill/>
                  </pic:spPr>
                </pic:pic>
              </a:graphicData>
            </a:graphic>
          </wp:anchor>
        </w:drawing>
      </w:r>
    </w:p>
    <w:p>
      <w:pPr>
        <w:spacing w:after="0" w:line="230" w:lineRule="exact"/>
        <w:rPr>
          <w:sz w:val="20"/>
          <w:szCs w:val="20"/>
          <w:color w:val="auto"/>
        </w:rPr>
      </w:pPr>
    </w:p>
    <w:p>
      <w:pPr>
        <w:ind w:left="1920" w:right="180"/>
        <w:spacing w:after="0" w:line="299" w:lineRule="auto"/>
        <w:rPr>
          <w:sz w:val="20"/>
          <w:szCs w:val="20"/>
          <w:color w:val="auto"/>
        </w:rPr>
      </w:pPr>
      <w:r>
        <w:rPr>
          <w:rFonts w:ascii="Arial" w:cs="Arial" w:eastAsia="Arial" w:hAnsi="Arial"/>
          <w:sz w:val="15"/>
          <w:szCs w:val="15"/>
          <w:b w:val="1"/>
          <w:bCs w:val="1"/>
          <w:color w:val="auto"/>
        </w:rPr>
        <w:t xml:space="preserve">Recommendation of the Board </w:t>
      </w:r>
      <w:r>
        <w:rPr>
          <w:rFonts w:ascii="Arial" w:cs="Arial" w:eastAsia="Arial" w:hAnsi="Arial"/>
          <w:sz w:val="15"/>
          <w:szCs w:val="15"/>
          <w:b w:val="1"/>
          <w:bCs w:val="1"/>
          <w:color w:val="FFFFFF"/>
        </w:rPr>
        <w:t>Vote Required</w:t>
      </w:r>
      <w:r>
        <w:rPr>
          <w:rFonts w:ascii="Arial" w:cs="Arial" w:eastAsia="Arial" w:hAnsi="Arial"/>
          <w:sz w:val="15"/>
          <w:szCs w:val="15"/>
          <w:b w:val="1"/>
          <w:bCs w:val="1"/>
          <w:color w:val="auto"/>
        </w:rPr>
        <w:t xml:space="preserve"> </w:t>
      </w:r>
      <w:r>
        <w:rPr>
          <w:rFonts w:ascii="Arial" w:cs="Arial" w:eastAsia="Arial" w:hAnsi="Arial"/>
          <w:sz w:val="15"/>
          <w:szCs w:val="15"/>
          <w:b w:val="1"/>
          <w:bCs w:val="1"/>
          <w:color w:val="00244F"/>
        </w:rPr>
        <w:t>We recommend that you vote FOR all the director nominees under Proposal 1.</w:t>
      </w:r>
    </w:p>
    <w:p>
      <w:pPr>
        <w:spacing w:after="0" w:line="200" w:lineRule="exact"/>
        <w:rPr>
          <w:sz w:val="20"/>
          <w:szCs w:val="20"/>
          <w:color w:val="auto"/>
        </w:rPr>
      </w:pPr>
    </w:p>
    <w:p>
      <w:pPr>
        <w:spacing w:after="0" w:line="310" w:lineRule="exact"/>
        <w:rPr>
          <w:sz w:val="20"/>
          <w:szCs w:val="20"/>
          <w:color w:val="auto"/>
        </w:rPr>
      </w:pPr>
    </w:p>
    <w:p>
      <w:pPr>
        <w:ind w:right="900"/>
        <w:spacing w:after="0" w:line="278" w:lineRule="auto"/>
        <w:rPr>
          <w:sz w:val="20"/>
          <w:szCs w:val="20"/>
          <w:color w:val="auto"/>
        </w:rPr>
      </w:pPr>
      <w:r>
        <w:rPr>
          <w:rFonts w:ascii="Arial" w:cs="Arial" w:eastAsia="Arial" w:hAnsi="Arial"/>
          <w:sz w:val="15"/>
          <w:szCs w:val="15"/>
          <w:color w:val="auto"/>
        </w:rPr>
        <w:t>If any director nominee becomes unable or unwilling to serve between now and the Annual Meeting, proxies will be voted FOR the election of a replacement recommended by the Nominating and Corporate Governance Committee and approved by the Board.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00" w:type="dxa"/>
            <w:vAlign w:val="bottom"/>
          </w:tcPr>
          <w:p>
            <w:pPr>
              <w:ind w:left="9500"/>
              <w:spacing w:after="0"/>
              <w:rPr>
                <w:sz w:val="20"/>
                <w:szCs w:val="20"/>
                <w:color w:val="auto"/>
              </w:rPr>
            </w:pPr>
            <w:r>
              <w:rPr>
                <w:rFonts w:ascii="Times New Roman" w:cs="Times New Roman" w:eastAsia="Times New Roman" w:hAnsi="Times New Roman"/>
                <w:sz w:val="13"/>
                <w:szCs w:val="13"/>
                <w:b w:val="1"/>
                <w:bCs w:val="1"/>
                <w:color w:val="auto"/>
              </w:rPr>
              <w:t xml:space="preserve">2024 </w:t>
            </w:r>
            <w:r>
              <w:rPr>
                <w:rFonts w:ascii="Times New Roman" w:cs="Times New Roman" w:eastAsia="Times New Roman" w:hAnsi="Times New Roman"/>
                <w:sz w:val="13"/>
                <w:szCs w:val="13"/>
                <w:color w:val="auto"/>
              </w:rPr>
              <w:t>Proxy Statement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244F"/>
              </w:rPr>
              <w:t>19</w:t>
            </w:r>
          </w:p>
        </w:tc>
      </w:tr>
      <w:tr>
        <w:trPr>
          <w:trHeight w:val="397"/>
        </w:trPr>
        <w:tc>
          <w:tcPr>
            <w:tcW w:w="10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3"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EE"/>
        </w:rPr>
        <w:t>Table of Contents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55"/>
          <w:szCs w:val="55"/>
          <w:color w:val="00254F"/>
        </w:rPr>
        <w:t>Corporate Governance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254F"/>
        </w:rPr>
        <w:t>Report of the Nominating and Corporate Governance Committee</w:t>
      </w:r>
    </w:p>
    <w:p>
      <w:pPr>
        <w:spacing w:after="0" w:line="225" w:lineRule="exact"/>
        <w:rPr>
          <w:sz w:val="20"/>
          <w:szCs w:val="20"/>
          <w:color w:val="auto"/>
        </w:rPr>
      </w:pPr>
    </w:p>
    <w:p>
      <w:pPr>
        <w:spacing w:after="0" w:line="250" w:lineRule="auto"/>
        <w:rPr>
          <w:sz w:val="20"/>
          <w:szCs w:val="20"/>
          <w:color w:val="auto"/>
        </w:rPr>
      </w:pPr>
      <w:r>
        <w:rPr>
          <w:rFonts w:ascii="Arial" w:cs="Arial" w:eastAsia="Arial" w:hAnsi="Arial"/>
          <w:sz w:val="15"/>
          <w:szCs w:val="15"/>
          <w:color w:val="auto"/>
        </w:rPr>
        <w:t>Our Nominating and Corporate Governance Committee has general oversight responsibility for governance of the Company, including the assessment and recruitment of new director candidates and the evaluation of director and Board performance. We monitor regulatory and other developments in the governance area with a view toward both legal compliance and maintaining governance procedures at the Company, consistent with what we consider to be best practices. In this regard, we routinely receive information relating to best governance practices for institutions such as the Company, including input from members of the Company's proxy voting group concerning relevant trends. In addition, the Nominating and Corporate Governance Committee has oversight of the Company's environmental and corporate social responsibility activities and the Company's policies related to political expenditures and political activities.</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254F"/>
        </w:rPr>
        <w:t>Governance Highlights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Overview</w:t>
      </w:r>
    </w:p>
    <w:p>
      <w:pPr>
        <w:spacing w:after="0" w:line="224"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Our Board employs practices that foster effective Board oversight of critical matters such as strategy, management succession planning, financial and other controls, risk management, and compliance. The Board reviews our major governance policies and processes regularly in the context of current corporate governance trends, regulatory changes, and recognized best practices.</w:t>
      </w:r>
    </w:p>
    <w:p>
      <w:pPr>
        <w:spacing w:after="0" w:line="162" w:lineRule="exact"/>
        <w:rPr>
          <w:sz w:val="20"/>
          <w:szCs w:val="20"/>
          <w:color w:val="auto"/>
        </w:rPr>
      </w:pPr>
    </w:p>
    <w:p>
      <w:pPr>
        <w:spacing w:after="0" w:line="250" w:lineRule="auto"/>
        <w:rPr>
          <w:sz w:val="20"/>
          <w:szCs w:val="20"/>
          <w:color w:val="auto"/>
        </w:rPr>
      </w:pPr>
      <w:r>
        <w:rPr>
          <w:rFonts w:ascii="Arial" w:cs="Arial" w:eastAsia="Arial" w:hAnsi="Arial"/>
          <w:sz w:val="15"/>
          <w:szCs w:val="15"/>
          <w:color w:val="auto"/>
        </w:rPr>
        <w:t>The Board is deeply involved in understanding and developing the culture at the Company. The Board recognizes that the Company's people are its most valuable asset and, as such the Board at several of its meetings holds discussions with the Company's current and rising leaders. The Board considers succession planning not just for the CEO, but for several other key management positions. In addition, periodically the Board holds its meetings at locations other than at the Company's headquarters in Baltimore. In 2023, the Board held a meeting at the Company's offices in London, which provided the Board with an opportunity to meet with associates and management based outside the United States, and receive more in depth presentations on regional strategies and products. These meetings help provide the Board with a broader perspective on the Company and its business.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Committee Oversight</w:t>
      </w:r>
    </w:p>
    <w:p>
      <w:pPr>
        <w:spacing w:after="0" w:line="224"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Our Nominating and Corporate Governance Committee maintains oversight of the Company's environmental and corporate social responsibility activities, including considering the impact of the Company's policies on employees, stockholders, and communities. During the year, the Nominating and Corporate Governance Committee and the Board received updates from management on the Company's environmental, social, and governance (ESG) efforts.</w:t>
      </w:r>
    </w:p>
    <w:p>
      <w:pPr>
        <w:spacing w:after="0" w:line="137" w:lineRule="exact"/>
        <w:rPr>
          <w:sz w:val="20"/>
          <w:szCs w:val="20"/>
          <w:color w:val="auto"/>
        </w:rPr>
      </w:pPr>
    </w:p>
    <w:p>
      <w:pPr>
        <w:spacing w:after="0" w:line="250" w:lineRule="auto"/>
        <w:rPr>
          <w:sz w:val="20"/>
          <w:szCs w:val="20"/>
          <w:color w:val="auto"/>
        </w:rPr>
      </w:pPr>
      <w:r>
        <w:rPr>
          <w:rFonts w:ascii="Arial" w:cs="Arial" w:eastAsia="Arial" w:hAnsi="Arial"/>
          <w:sz w:val="15"/>
          <w:szCs w:val="15"/>
          <w:color w:val="auto"/>
        </w:rPr>
        <w:t>Pursuant to the Nominating and Corporate Governance Committee's oversight of political activities, the Nominating and Corporate Governance Committee is informed of, and consulted on, any political developments impacting the Company. Additionally, the Nominating and Corporate Governance Committee reviews the corporate memberships that the Company maintains with trade associations and requests that these groups not use the Company's dues for political campaign contributions or to confirm to the Company if they do. The Company does not contribute corporate funds to candidates, political party committees, political action committees, or any political organization exempt from federal income taxes. Further, the Company does not maintain a political action committee and does not spend corporate funds directly on independent expenditures.</w:t>
      </w:r>
    </w:p>
    <w:p>
      <w:pPr>
        <w:spacing w:after="0" w:line="147" w:lineRule="exact"/>
        <w:rPr>
          <w:sz w:val="20"/>
          <w:szCs w:val="20"/>
          <w:color w:val="auto"/>
        </w:rPr>
      </w:pPr>
    </w:p>
    <w:p>
      <w:pPr>
        <w:ind w:right="60"/>
        <w:spacing w:after="0" w:line="278" w:lineRule="auto"/>
        <w:rPr>
          <w:sz w:val="20"/>
          <w:szCs w:val="20"/>
          <w:color w:val="auto"/>
        </w:rPr>
      </w:pPr>
      <w:r>
        <w:rPr>
          <w:rFonts w:ascii="Arial" w:cs="Arial" w:eastAsia="Arial" w:hAnsi="Arial"/>
          <w:sz w:val="15"/>
          <w:szCs w:val="15"/>
          <w:color w:val="auto"/>
        </w:rPr>
        <w:t>The Nominating and Corporate Governance Committee works diligently to support effective corporate governance and believes that the Company's governance program aligns with the Investor Stewardship Group's (ISG) Corporate Governance Framework for U.S. Listed Companies.</w:t>
      </w:r>
    </w:p>
    <w:p>
      <w:pPr>
        <w:spacing w:after="0" w:line="115"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3"/>
          <w:szCs w:val="13"/>
          <w:b w:val="1"/>
          <w:bCs w:val="1"/>
          <w:color w:val="00244F"/>
        </w:rPr>
        <w:t>20</w:t>
      </w:r>
      <w:r>
        <w:rPr>
          <w:sz w:val="20"/>
          <w:szCs w:val="20"/>
          <w:color w:val="auto"/>
        </w:rPr>
        <w:tab/>
      </w:r>
      <w:r>
        <w:rPr>
          <w:rFonts w:ascii="Times New Roman" w:cs="Times New Roman" w:eastAsia="Times New Roman" w:hAnsi="Times New Roman"/>
          <w:sz w:val="13"/>
          <w:szCs w:val="13"/>
          <w:b w:val="1"/>
          <w:bCs w:val="1"/>
          <w:color w:val="00244F"/>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4248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0000EE"/>
        </w:rPr>
        <w:t>Table of Contents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ISG Corporate Governance Principles</w:t>
      </w:r>
    </w:p>
    <w:p>
      <w:pPr>
        <w:spacing w:after="0" w:line="199" w:lineRule="exact"/>
        <w:rPr>
          <w:sz w:val="20"/>
          <w:szCs w:val="20"/>
          <w:color w:val="auto"/>
        </w:rPr>
      </w:pPr>
    </w:p>
    <w:p>
      <w:pPr>
        <w:ind w:right="60"/>
        <w:spacing w:after="0" w:line="278" w:lineRule="auto"/>
        <w:rPr>
          <w:sz w:val="20"/>
          <w:szCs w:val="20"/>
          <w:color w:val="auto"/>
        </w:rPr>
      </w:pPr>
      <w:r>
        <w:rPr>
          <w:rFonts w:ascii="Arial" w:cs="Arial" w:eastAsia="Arial" w:hAnsi="Arial"/>
          <w:sz w:val="15"/>
          <w:szCs w:val="15"/>
          <w:color w:val="auto"/>
        </w:rPr>
        <w:t>The following sections provide an overview of our corporate governance structure and processes, including key aspects of our Board operations, and how they align with the ISG Corporate Governance Principles for U.S. Listed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2785745</wp:posOffset>
            </wp:positionH>
            <wp:positionV relativeFrom="paragraph">
              <wp:posOffset>594995</wp:posOffset>
            </wp:positionV>
            <wp:extent cx="4356735" cy="1504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356735" cy="1504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87630</wp:posOffset>
            </wp:positionV>
            <wp:extent cx="746125" cy="3968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46125" cy="39687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80"/>
        <w:spacing w:after="0"/>
        <w:rPr>
          <w:sz w:val="20"/>
          <w:szCs w:val="20"/>
          <w:color w:val="auto"/>
        </w:rPr>
      </w:pPr>
      <w:r>
        <w:rPr>
          <w:rFonts w:ascii="Arial" w:cs="Arial" w:eastAsia="Arial" w:hAnsi="Arial"/>
          <w:sz w:val="12"/>
          <w:szCs w:val="12"/>
          <w:b w:val="1"/>
          <w:bCs w:val="1"/>
          <w:color w:val="auto"/>
        </w:rPr>
        <w:t>PRINCIPLE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271399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713990" cy="7620"/>
                    </a:xfrm>
                    <a:prstGeom prst="rect">
                      <a:avLst/>
                    </a:prstGeom>
                    <a:noFill/>
                  </pic:spPr>
                </pic:pic>
              </a:graphicData>
            </a:graphic>
          </wp:anchor>
        </w:drawing>
      </w:r>
    </w:p>
    <w:p>
      <w:pPr>
        <w:spacing w:after="0" w:line="85" w:lineRule="exact"/>
        <w:rPr>
          <w:sz w:val="20"/>
          <w:szCs w:val="20"/>
          <w:color w:val="auto"/>
        </w:rPr>
      </w:pPr>
    </w:p>
    <w:p>
      <w:pPr>
        <w:ind w:left="80"/>
        <w:spacing w:after="0"/>
        <w:tabs>
          <w:tab w:leader="none" w:pos="320" w:val="left"/>
        </w:tabs>
        <w:rPr>
          <w:sz w:val="20"/>
          <w:szCs w:val="20"/>
          <w:color w:val="auto"/>
        </w:rPr>
      </w:pPr>
      <w:r>
        <w:rPr>
          <w:rFonts w:ascii="Arial" w:cs="Arial" w:eastAsia="Arial" w:hAnsi="Arial"/>
          <w:sz w:val="15"/>
          <w:szCs w:val="15"/>
          <w:b w:val="1"/>
          <w:bCs w:val="1"/>
          <w:color w:val="00254F"/>
        </w:rPr>
        <w:t>1.</w:t>
      </w:r>
      <w:r>
        <w:rPr>
          <w:sz w:val="20"/>
          <w:szCs w:val="20"/>
          <w:color w:val="auto"/>
        </w:rPr>
        <w:tab/>
      </w:r>
      <w:r>
        <w:rPr>
          <w:rFonts w:ascii="Arial" w:cs="Arial" w:eastAsia="Arial" w:hAnsi="Arial"/>
          <w:sz w:val="14"/>
          <w:szCs w:val="14"/>
          <w:b w:val="1"/>
          <w:bCs w:val="1"/>
          <w:color w:val="00254F"/>
        </w:rPr>
        <w:t>Boards are accountable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826770</wp:posOffset>
            </wp:positionV>
            <wp:extent cx="271399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7139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40" w:right="260" w:hanging="257"/>
        <w:spacing w:after="0" w:line="289" w:lineRule="auto"/>
        <w:tabs>
          <w:tab w:leader="none" w:pos="340" w:val="left"/>
        </w:tabs>
        <w:numPr>
          <w:ilvl w:val="0"/>
          <w:numId w:val="36"/>
        </w:numPr>
        <w:rPr>
          <w:rFonts w:ascii="Arial" w:cs="Arial" w:eastAsia="Arial" w:hAnsi="Arial"/>
          <w:sz w:val="15"/>
          <w:szCs w:val="15"/>
          <w:b w:val="1"/>
          <w:bCs w:val="1"/>
          <w:color w:val="00254F"/>
        </w:rPr>
      </w:pPr>
      <w:r>
        <w:rPr>
          <w:rFonts w:ascii="Arial" w:cs="Arial" w:eastAsia="Arial" w:hAnsi="Arial"/>
          <w:sz w:val="15"/>
          <w:szCs w:val="15"/>
          <w:b w:val="1"/>
          <w:bCs w:val="1"/>
          <w:color w:val="00254F"/>
        </w:rPr>
        <w:t>Shareholders should be entitled to voting rights in proportion to their economic interest.</w:t>
      </w:r>
    </w:p>
    <w:p>
      <w:pPr>
        <w:spacing w:after="0" w:line="47" w:lineRule="exact"/>
        <w:rPr>
          <w:rFonts w:ascii="Arial" w:cs="Arial" w:eastAsia="Arial" w:hAnsi="Arial"/>
          <w:sz w:val="15"/>
          <w:szCs w:val="15"/>
          <w:b w:val="1"/>
          <w:bCs w:val="1"/>
          <w:color w:val="00254F"/>
        </w:rPr>
      </w:pPr>
    </w:p>
    <w:p>
      <w:pPr>
        <w:ind w:left="340" w:right="60" w:hanging="257"/>
        <w:spacing w:after="0" w:line="327" w:lineRule="auto"/>
        <w:tabs>
          <w:tab w:leader="none" w:pos="340" w:val="left"/>
        </w:tabs>
        <w:numPr>
          <w:ilvl w:val="0"/>
          <w:numId w:val="36"/>
        </w:numPr>
        <w:rPr>
          <w:rFonts w:ascii="Arial" w:cs="Arial" w:eastAsia="Arial" w:hAnsi="Arial"/>
          <w:sz w:val="14"/>
          <w:szCs w:val="14"/>
          <w:b w:val="1"/>
          <w:bCs w:val="1"/>
          <w:color w:val="00254F"/>
        </w:rPr>
      </w:pPr>
      <w:r>
        <w:rPr>
          <w:rFonts w:ascii="Arial" w:cs="Arial" w:eastAsia="Arial" w:hAnsi="Arial"/>
          <w:sz w:val="14"/>
          <w:szCs w:val="14"/>
          <w:b w:val="1"/>
          <w:bCs w:val="1"/>
          <w:color w:val="00254F"/>
        </w:rPr>
        <w:t>Boards should be responsive to shareholders and be proactive in order to understand their perspectives.</w:t>
      </w:r>
    </w:p>
    <w:p>
      <w:pPr>
        <w:spacing w:after="0" w:line="200" w:lineRule="exact"/>
        <w:rPr>
          <w:rFonts w:ascii="Arial" w:cs="Arial" w:eastAsia="Arial" w:hAnsi="Arial"/>
          <w:sz w:val="14"/>
          <w:szCs w:val="14"/>
          <w:b w:val="1"/>
          <w:bCs w:val="1"/>
          <w:color w:val="00254F"/>
        </w:rPr>
      </w:pPr>
    </w:p>
    <w:p>
      <w:pPr>
        <w:spacing w:after="0" w:line="298" w:lineRule="exact"/>
        <w:rPr>
          <w:rFonts w:ascii="Arial" w:cs="Arial" w:eastAsia="Arial" w:hAnsi="Arial"/>
          <w:sz w:val="14"/>
          <w:szCs w:val="14"/>
          <w:b w:val="1"/>
          <w:bCs w:val="1"/>
          <w:color w:val="00254F"/>
        </w:rPr>
      </w:pPr>
    </w:p>
    <w:p>
      <w:pPr>
        <w:ind w:left="340" w:hanging="257"/>
        <w:spacing w:after="0" w:line="289" w:lineRule="auto"/>
        <w:tabs>
          <w:tab w:leader="none" w:pos="340" w:val="left"/>
        </w:tabs>
        <w:numPr>
          <w:ilvl w:val="0"/>
          <w:numId w:val="36"/>
        </w:numPr>
        <w:rPr>
          <w:rFonts w:ascii="Arial" w:cs="Arial" w:eastAsia="Arial" w:hAnsi="Arial"/>
          <w:sz w:val="15"/>
          <w:szCs w:val="15"/>
          <w:b w:val="1"/>
          <w:bCs w:val="1"/>
          <w:color w:val="00254F"/>
        </w:rPr>
      </w:pPr>
      <w:r>
        <w:rPr>
          <w:rFonts w:ascii="Arial" w:cs="Arial" w:eastAsia="Arial" w:hAnsi="Arial"/>
          <w:sz w:val="15"/>
          <w:szCs w:val="15"/>
          <w:b w:val="1"/>
          <w:bCs w:val="1"/>
          <w:color w:val="00254F"/>
        </w:rPr>
        <w:t>Boards should have a strong, independent leadership structure.</w:t>
      </w:r>
    </w:p>
    <w:p>
      <w:pPr>
        <w:spacing w:after="0" w:line="346" w:lineRule="exact"/>
        <w:rPr>
          <w:rFonts w:ascii="Arial" w:cs="Arial" w:eastAsia="Arial" w:hAnsi="Arial"/>
          <w:sz w:val="15"/>
          <w:szCs w:val="15"/>
          <w:b w:val="1"/>
          <w:bCs w:val="1"/>
          <w:color w:val="00254F"/>
        </w:rPr>
      </w:pPr>
    </w:p>
    <w:p>
      <w:pPr>
        <w:ind w:left="340" w:right="240" w:hanging="257"/>
        <w:spacing w:after="0" w:line="289" w:lineRule="auto"/>
        <w:tabs>
          <w:tab w:leader="none" w:pos="340" w:val="left"/>
        </w:tabs>
        <w:numPr>
          <w:ilvl w:val="0"/>
          <w:numId w:val="36"/>
        </w:numPr>
        <w:rPr>
          <w:rFonts w:ascii="Arial" w:cs="Arial" w:eastAsia="Arial" w:hAnsi="Arial"/>
          <w:sz w:val="15"/>
          <w:szCs w:val="15"/>
          <w:b w:val="1"/>
          <w:bCs w:val="1"/>
          <w:color w:val="00254F"/>
        </w:rPr>
      </w:pPr>
      <w:r>
        <w:rPr>
          <w:rFonts w:ascii="Arial" w:cs="Arial" w:eastAsia="Arial" w:hAnsi="Arial"/>
          <w:sz w:val="15"/>
          <w:szCs w:val="15"/>
          <w:b w:val="1"/>
          <w:bCs w:val="1"/>
          <w:color w:val="00254F"/>
        </w:rPr>
        <w:t>Boards should adopt structures and practices that enhance their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-1374140</wp:posOffset>
            </wp:positionV>
            <wp:extent cx="271399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71399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-779145</wp:posOffset>
            </wp:positionV>
            <wp:extent cx="271399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71399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-295275</wp:posOffset>
            </wp:positionV>
            <wp:extent cx="271399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71399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783590</wp:posOffset>
            </wp:positionV>
            <wp:extent cx="271399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7139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40" w:hanging="257"/>
        <w:spacing w:after="0" w:line="266" w:lineRule="auto"/>
        <w:tabs>
          <w:tab w:leader="none" w:pos="340" w:val="left"/>
        </w:tabs>
        <w:numPr>
          <w:ilvl w:val="0"/>
          <w:numId w:val="37"/>
        </w:numPr>
        <w:rPr>
          <w:rFonts w:ascii="Arial" w:cs="Arial" w:eastAsia="Arial" w:hAnsi="Arial"/>
          <w:sz w:val="15"/>
          <w:szCs w:val="15"/>
          <w:b w:val="1"/>
          <w:bCs w:val="1"/>
          <w:color w:val="00254F"/>
        </w:rPr>
      </w:pPr>
      <w:r>
        <w:rPr>
          <w:rFonts w:ascii="Arial" w:cs="Arial" w:eastAsia="Arial" w:hAnsi="Arial"/>
          <w:sz w:val="15"/>
          <w:szCs w:val="15"/>
          <w:b w:val="1"/>
          <w:bCs w:val="1"/>
          <w:color w:val="00254F"/>
        </w:rPr>
        <w:t>Boards should develop management incentive structures that are aligned with the long-term strategy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421640</wp:posOffset>
            </wp:positionV>
            <wp:extent cx="271399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71399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0"/>
        <w:spacing w:after="0"/>
        <w:rPr>
          <w:sz w:val="20"/>
          <w:szCs w:val="20"/>
          <w:color w:val="auto"/>
        </w:rPr>
      </w:pPr>
      <w:r>
        <w:rPr>
          <w:rFonts w:ascii="Arial" w:cs="Arial" w:eastAsia="Arial" w:hAnsi="Arial"/>
          <w:sz w:val="12"/>
          <w:szCs w:val="12"/>
          <w:b w:val="1"/>
          <w:bCs w:val="1"/>
          <w:color w:val="auto"/>
        </w:rPr>
        <w:t>COMPANY PRACTICE</w:t>
      </w:r>
    </w:p>
    <w:p>
      <w:pPr>
        <w:spacing w:after="0" w:line="105" w:lineRule="exact"/>
        <w:rPr>
          <w:sz w:val="20"/>
          <w:szCs w:val="20"/>
          <w:color w:val="auto"/>
        </w:rPr>
      </w:pPr>
    </w:p>
    <w:p>
      <w:pPr>
        <w:ind w:left="210" w:hanging="210"/>
        <w:spacing w:after="0"/>
        <w:tabs>
          <w:tab w:leader="none" w:pos="210" w:val="left"/>
        </w:tabs>
        <w:numPr>
          <w:ilvl w:val="0"/>
          <w:numId w:val="38"/>
        </w:numPr>
        <w:rPr>
          <w:rFonts w:ascii="Arial" w:cs="Arial" w:eastAsia="Arial" w:hAnsi="Arial"/>
          <w:sz w:val="15"/>
          <w:szCs w:val="15"/>
          <w:color w:val="28C0DA"/>
        </w:rPr>
      </w:pPr>
      <w:r>
        <w:rPr>
          <w:rFonts w:ascii="Arial" w:cs="Arial" w:eastAsia="Arial" w:hAnsi="Arial"/>
          <w:sz w:val="15"/>
          <w:szCs w:val="15"/>
          <w:color w:val="auto"/>
        </w:rPr>
        <w:t>Our directors are elected annually.</w:t>
      </w:r>
    </w:p>
    <w:p>
      <w:pPr>
        <w:spacing w:after="0" w:line="64" w:lineRule="exact"/>
        <w:rPr>
          <w:rFonts w:ascii="Arial" w:cs="Arial" w:eastAsia="Arial" w:hAnsi="Arial"/>
          <w:sz w:val="15"/>
          <w:szCs w:val="15"/>
          <w:color w:val="28C0DA"/>
        </w:rPr>
      </w:pPr>
    </w:p>
    <w:p>
      <w:pPr>
        <w:ind w:left="170" w:right="40" w:hanging="170"/>
        <w:spacing w:after="0" w:line="255" w:lineRule="auto"/>
        <w:tabs>
          <w:tab w:leader="none" w:pos="206" w:val="left"/>
        </w:tabs>
        <w:numPr>
          <w:ilvl w:val="0"/>
          <w:numId w:val="38"/>
        </w:numPr>
        <w:rPr>
          <w:rFonts w:ascii="Arial" w:cs="Arial" w:eastAsia="Arial" w:hAnsi="Arial"/>
          <w:sz w:val="15"/>
          <w:szCs w:val="15"/>
          <w:color w:val="28C0DA"/>
        </w:rPr>
      </w:pPr>
      <w:r>
        <w:rPr>
          <w:rFonts w:ascii="Arial" w:cs="Arial" w:eastAsia="Arial" w:hAnsi="Arial"/>
          <w:sz w:val="15"/>
          <w:szCs w:val="15"/>
          <w:color w:val="auto"/>
        </w:rPr>
        <w:t>Our Amended and Restated By-Laws (By-Laws) mandate that directors be elected under a "majority voting" standard in uncontested elections. Each director nominee must receive more votes "For" his or her election than votes "Against" in order to be elected. A director who fails to obtain the required vote in an uncontested election must submit his or her resignation to the Board.</w:t>
      </w:r>
    </w:p>
    <w:p>
      <w:pPr>
        <w:spacing w:after="0" w:line="29" w:lineRule="exact"/>
        <w:rPr>
          <w:rFonts w:ascii="Arial" w:cs="Arial" w:eastAsia="Arial" w:hAnsi="Arial"/>
          <w:sz w:val="15"/>
          <w:szCs w:val="15"/>
          <w:color w:val="28C0DA"/>
        </w:rPr>
      </w:pPr>
    </w:p>
    <w:p>
      <w:pPr>
        <w:ind w:left="210" w:hanging="210"/>
        <w:spacing w:after="0"/>
        <w:tabs>
          <w:tab w:leader="none" w:pos="210" w:val="left"/>
        </w:tabs>
        <w:numPr>
          <w:ilvl w:val="0"/>
          <w:numId w:val="38"/>
        </w:numPr>
        <w:rPr>
          <w:rFonts w:ascii="Arial" w:cs="Arial" w:eastAsia="Arial" w:hAnsi="Arial"/>
          <w:sz w:val="15"/>
          <w:szCs w:val="15"/>
          <w:color w:val="28C0DA"/>
        </w:rPr>
      </w:pPr>
      <w:r>
        <w:rPr>
          <w:rFonts w:ascii="Arial" w:cs="Arial" w:eastAsia="Arial" w:hAnsi="Arial"/>
          <w:sz w:val="15"/>
          <w:szCs w:val="15"/>
          <w:color w:val="auto"/>
        </w:rPr>
        <w:t>We have clear proxy access rules.</w:t>
      </w:r>
    </w:p>
    <w:p>
      <w:pPr>
        <w:spacing w:after="0" w:line="52" w:lineRule="exact"/>
        <w:rPr>
          <w:rFonts w:ascii="Arial" w:cs="Arial" w:eastAsia="Arial" w:hAnsi="Arial"/>
          <w:sz w:val="15"/>
          <w:szCs w:val="15"/>
          <w:color w:val="28C0DA"/>
        </w:rPr>
      </w:pPr>
    </w:p>
    <w:p>
      <w:pPr>
        <w:ind w:left="210" w:hanging="210"/>
        <w:spacing w:after="0"/>
        <w:tabs>
          <w:tab w:leader="none" w:pos="210" w:val="left"/>
        </w:tabs>
        <w:numPr>
          <w:ilvl w:val="0"/>
          <w:numId w:val="38"/>
        </w:numPr>
        <w:rPr>
          <w:rFonts w:ascii="Arial" w:cs="Arial" w:eastAsia="Arial" w:hAnsi="Arial"/>
          <w:sz w:val="15"/>
          <w:szCs w:val="15"/>
          <w:color w:val="28C0DA"/>
        </w:rPr>
      </w:pPr>
      <w:r>
        <w:rPr>
          <w:rFonts w:ascii="Arial" w:cs="Arial" w:eastAsia="Arial" w:hAnsi="Arial"/>
          <w:sz w:val="15"/>
          <w:szCs w:val="15"/>
          <w:color w:val="auto"/>
        </w:rPr>
        <w:t>We do not have a poison pill plan.</w:t>
      </w:r>
    </w:p>
    <w:p>
      <w:pPr>
        <w:spacing w:after="0" w:line="127" w:lineRule="exact"/>
        <w:rPr>
          <w:rFonts w:ascii="Arial" w:cs="Arial" w:eastAsia="Arial" w:hAnsi="Arial"/>
          <w:sz w:val="15"/>
          <w:szCs w:val="15"/>
          <w:color w:val="28C0DA"/>
        </w:rPr>
      </w:pPr>
    </w:p>
    <w:p>
      <w:pPr>
        <w:ind w:left="170" w:hanging="170"/>
        <w:spacing w:after="0"/>
        <w:tabs>
          <w:tab w:leader="none" w:pos="170" w:val="left"/>
        </w:tabs>
        <w:numPr>
          <w:ilvl w:val="0"/>
          <w:numId w:val="38"/>
        </w:numPr>
        <w:rPr>
          <w:rFonts w:ascii="Arial" w:cs="Arial" w:eastAsia="Arial" w:hAnsi="Arial"/>
          <w:sz w:val="15"/>
          <w:szCs w:val="15"/>
          <w:color w:val="28C0DA"/>
        </w:rPr>
      </w:pPr>
      <w:r>
        <w:rPr>
          <w:rFonts w:ascii="Arial" w:cs="Arial" w:eastAsia="Arial" w:hAnsi="Arial"/>
          <w:sz w:val="15"/>
          <w:szCs w:val="15"/>
          <w:color w:val="auto"/>
        </w:rPr>
        <w:t>We have only one class of stock outstanding, and each share is entitled to one vote.</w:t>
      </w:r>
    </w:p>
    <w:p>
      <w:pPr>
        <w:spacing w:after="0" w:line="289" w:lineRule="exact"/>
        <w:rPr>
          <w:rFonts w:ascii="Arial" w:cs="Arial" w:eastAsia="Arial" w:hAnsi="Arial"/>
          <w:sz w:val="15"/>
          <w:szCs w:val="15"/>
          <w:color w:val="28C0DA"/>
        </w:rPr>
      </w:pPr>
    </w:p>
    <w:p>
      <w:pPr>
        <w:ind w:left="210" w:hanging="210"/>
        <w:spacing w:after="0"/>
        <w:tabs>
          <w:tab w:leader="none" w:pos="210" w:val="left"/>
        </w:tabs>
        <w:numPr>
          <w:ilvl w:val="0"/>
          <w:numId w:val="38"/>
        </w:numPr>
        <w:rPr>
          <w:rFonts w:ascii="Arial" w:cs="Arial" w:eastAsia="Arial" w:hAnsi="Arial"/>
          <w:sz w:val="15"/>
          <w:szCs w:val="15"/>
          <w:color w:val="28C0DA"/>
        </w:rPr>
      </w:pPr>
      <w:r>
        <w:rPr>
          <w:rFonts w:ascii="Arial" w:cs="Arial" w:eastAsia="Arial" w:hAnsi="Arial"/>
          <w:sz w:val="15"/>
          <w:szCs w:val="15"/>
          <w:color w:val="auto"/>
        </w:rPr>
        <w:t>Our Company actively engages with stockholders. See page 27.</w:t>
      </w:r>
    </w:p>
    <w:p>
      <w:pPr>
        <w:spacing w:after="0" w:line="64" w:lineRule="exact"/>
        <w:rPr>
          <w:rFonts w:ascii="Arial" w:cs="Arial" w:eastAsia="Arial" w:hAnsi="Arial"/>
          <w:sz w:val="15"/>
          <w:szCs w:val="15"/>
          <w:color w:val="28C0DA"/>
        </w:rPr>
      </w:pPr>
    </w:p>
    <w:p>
      <w:pPr>
        <w:ind w:left="170" w:right="300" w:hanging="170"/>
        <w:spacing w:after="0" w:line="278" w:lineRule="auto"/>
        <w:tabs>
          <w:tab w:leader="none" w:pos="206" w:val="left"/>
        </w:tabs>
        <w:numPr>
          <w:ilvl w:val="0"/>
          <w:numId w:val="38"/>
        </w:numPr>
        <w:rPr>
          <w:rFonts w:ascii="Arial" w:cs="Arial" w:eastAsia="Arial" w:hAnsi="Arial"/>
          <w:sz w:val="15"/>
          <w:szCs w:val="15"/>
          <w:color w:val="28C0DA"/>
        </w:rPr>
      </w:pPr>
      <w:r>
        <w:rPr>
          <w:rFonts w:ascii="Arial" w:cs="Arial" w:eastAsia="Arial" w:hAnsi="Arial"/>
          <w:sz w:val="15"/>
          <w:szCs w:val="15"/>
          <w:color w:val="auto"/>
        </w:rPr>
        <w:t>Our directors participate in our stockholder outreach, both in the preparation for such meetings and during the presentations themselves.</w:t>
      </w:r>
    </w:p>
    <w:p>
      <w:pPr>
        <w:spacing w:after="0" w:line="12" w:lineRule="exact"/>
        <w:rPr>
          <w:rFonts w:ascii="Arial" w:cs="Arial" w:eastAsia="Arial" w:hAnsi="Arial"/>
          <w:sz w:val="15"/>
          <w:szCs w:val="15"/>
          <w:color w:val="28C0DA"/>
        </w:rPr>
      </w:pPr>
    </w:p>
    <w:p>
      <w:pPr>
        <w:ind w:left="210" w:hanging="210"/>
        <w:spacing w:after="0"/>
        <w:tabs>
          <w:tab w:leader="none" w:pos="210" w:val="left"/>
        </w:tabs>
        <w:numPr>
          <w:ilvl w:val="0"/>
          <w:numId w:val="38"/>
        </w:numPr>
        <w:rPr>
          <w:rFonts w:ascii="Arial" w:cs="Arial" w:eastAsia="Arial" w:hAnsi="Arial"/>
          <w:sz w:val="15"/>
          <w:szCs w:val="15"/>
          <w:color w:val="28C0DA"/>
        </w:rPr>
      </w:pPr>
      <w:r>
        <w:rPr>
          <w:rFonts w:ascii="Arial" w:cs="Arial" w:eastAsia="Arial" w:hAnsi="Arial"/>
          <w:sz w:val="15"/>
          <w:szCs w:val="15"/>
          <w:color w:val="auto"/>
        </w:rPr>
        <w:t>We have established an email address for stockholders wishing to contact the Board.</w:t>
      </w:r>
    </w:p>
    <w:p>
      <w:pPr>
        <w:spacing w:after="0" w:line="114" w:lineRule="exact"/>
        <w:rPr>
          <w:rFonts w:ascii="Arial" w:cs="Arial" w:eastAsia="Arial" w:hAnsi="Arial"/>
          <w:sz w:val="15"/>
          <w:szCs w:val="15"/>
          <w:color w:val="28C0DA"/>
        </w:rPr>
      </w:pPr>
    </w:p>
    <w:p>
      <w:pPr>
        <w:ind w:left="210" w:hanging="210"/>
        <w:spacing w:after="0"/>
        <w:tabs>
          <w:tab w:leader="none" w:pos="210" w:val="left"/>
        </w:tabs>
        <w:numPr>
          <w:ilvl w:val="0"/>
          <w:numId w:val="38"/>
        </w:numPr>
        <w:rPr>
          <w:rFonts w:ascii="Arial" w:cs="Arial" w:eastAsia="Arial" w:hAnsi="Arial"/>
          <w:sz w:val="15"/>
          <w:szCs w:val="15"/>
          <w:color w:val="28C0DA"/>
        </w:rPr>
      </w:pPr>
      <w:r>
        <w:rPr>
          <w:rFonts w:ascii="Arial" w:cs="Arial" w:eastAsia="Arial" w:hAnsi="Arial"/>
          <w:sz w:val="15"/>
          <w:szCs w:val="15"/>
          <w:color w:val="auto"/>
        </w:rPr>
        <w:t>We have a strong lead independent director.</w:t>
      </w:r>
    </w:p>
    <w:p>
      <w:pPr>
        <w:spacing w:after="0" w:line="64" w:lineRule="exact"/>
        <w:rPr>
          <w:rFonts w:ascii="Arial" w:cs="Arial" w:eastAsia="Arial" w:hAnsi="Arial"/>
          <w:sz w:val="15"/>
          <w:szCs w:val="15"/>
          <w:color w:val="28C0DA"/>
        </w:rPr>
      </w:pPr>
    </w:p>
    <w:p>
      <w:pPr>
        <w:ind w:left="210" w:hanging="210"/>
        <w:spacing w:after="0"/>
        <w:tabs>
          <w:tab w:leader="none" w:pos="210" w:val="left"/>
        </w:tabs>
        <w:numPr>
          <w:ilvl w:val="0"/>
          <w:numId w:val="38"/>
        </w:numPr>
        <w:rPr>
          <w:rFonts w:ascii="Arial" w:cs="Arial" w:eastAsia="Arial" w:hAnsi="Arial"/>
          <w:sz w:val="15"/>
          <w:szCs w:val="15"/>
          <w:color w:val="28C0DA"/>
        </w:rPr>
      </w:pPr>
      <w:r>
        <w:rPr>
          <w:rFonts w:ascii="Arial" w:cs="Arial" w:eastAsia="Arial" w:hAnsi="Arial"/>
          <w:sz w:val="15"/>
          <w:szCs w:val="15"/>
          <w:color w:val="auto"/>
        </w:rPr>
        <w:t>Nine of our 11 director nominees are independent.</w:t>
      </w:r>
    </w:p>
    <w:p>
      <w:pPr>
        <w:spacing w:after="0" w:line="64" w:lineRule="exact"/>
        <w:rPr>
          <w:rFonts w:ascii="Arial" w:cs="Arial" w:eastAsia="Arial" w:hAnsi="Arial"/>
          <w:sz w:val="15"/>
          <w:szCs w:val="15"/>
          <w:color w:val="28C0DA"/>
        </w:rPr>
      </w:pPr>
    </w:p>
    <w:p>
      <w:pPr>
        <w:ind w:left="210" w:hanging="210"/>
        <w:spacing w:after="0"/>
        <w:tabs>
          <w:tab w:leader="none" w:pos="210" w:val="left"/>
        </w:tabs>
        <w:numPr>
          <w:ilvl w:val="0"/>
          <w:numId w:val="38"/>
        </w:numPr>
        <w:rPr>
          <w:rFonts w:ascii="Arial" w:cs="Arial" w:eastAsia="Arial" w:hAnsi="Arial"/>
          <w:sz w:val="15"/>
          <w:szCs w:val="15"/>
          <w:color w:val="28C0DA"/>
        </w:rPr>
      </w:pPr>
      <w:r>
        <w:rPr>
          <w:rFonts w:ascii="Arial" w:cs="Arial" w:eastAsia="Arial" w:hAnsi="Arial"/>
          <w:sz w:val="15"/>
          <w:szCs w:val="15"/>
          <w:color w:val="auto"/>
        </w:rPr>
        <w:t>Our independent directors meet frequently without management.</w:t>
      </w:r>
    </w:p>
    <w:p>
      <w:pPr>
        <w:spacing w:after="0" w:line="114" w:lineRule="exact"/>
        <w:rPr>
          <w:rFonts w:ascii="Arial" w:cs="Arial" w:eastAsia="Arial" w:hAnsi="Arial"/>
          <w:sz w:val="15"/>
          <w:szCs w:val="15"/>
          <w:color w:val="28C0DA"/>
        </w:rPr>
      </w:pPr>
    </w:p>
    <w:p>
      <w:pPr>
        <w:ind w:left="170" w:right="400" w:hanging="170"/>
        <w:spacing w:after="0" w:line="278" w:lineRule="auto"/>
        <w:tabs>
          <w:tab w:leader="none" w:pos="206" w:val="left"/>
        </w:tabs>
        <w:numPr>
          <w:ilvl w:val="0"/>
          <w:numId w:val="38"/>
        </w:numPr>
        <w:rPr>
          <w:rFonts w:ascii="Arial" w:cs="Arial" w:eastAsia="Arial" w:hAnsi="Arial"/>
          <w:sz w:val="15"/>
          <w:szCs w:val="15"/>
          <w:color w:val="28C0DA"/>
        </w:rPr>
      </w:pPr>
      <w:r>
        <w:rPr>
          <w:rFonts w:ascii="Arial" w:cs="Arial" w:eastAsia="Arial" w:hAnsi="Arial"/>
          <w:sz w:val="15"/>
          <w:szCs w:val="15"/>
          <w:color w:val="auto"/>
        </w:rPr>
        <w:t>Our directors have a diverse mix of experience and backgrounds relevant to our industry, our stockholders, our clients, and our stakeholders. See page 8.</w:t>
      </w:r>
    </w:p>
    <w:p>
      <w:pPr>
        <w:spacing w:after="0" w:line="12" w:lineRule="exact"/>
        <w:rPr>
          <w:rFonts w:ascii="Arial" w:cs="Arial" w:eastAsia="Arial" w:hAnsi="Arial"/>
          <w:sz w:val="15"/>
          <w:szCs w:val="15"/>
          <w:color w:val="28C0DA"/>
        </w:rPr>
      </w:pPr>
    </w:p>
    <w:p>
      <w:pPr>
        <w:ind w:left="210" w:hanging="210"/>
        <w:spacing w:after="0"/>
        <w:tabs>
          <w:tab w:leader="none" w:pos="210" w:val="left"/>
        </w:tabs>
        <w:numPr>
          <w:ilvl w:val="0"/>
          <w:numId w:val="38"/>
        </w:numPr>
        <w:rPr>
          <w:rFonts w:ascii="Arial" w:cs="Arial" w:eastAsia="Arial" w:hAnsi="Arial"/>
          <w:sz w:val="15"/>
          <w:szCs w:val="15"/>
          <w:color w:val="28C0DA"/>
        </w:rPr>
      </w:pPr>
      <w:r>
        <w:rPr>
          <w:rFonts w:ascii="Arial" w:cs="Arial" w:eastAsia="Arial" w:hAnsi="Arial"/>
          <w:sz w:val="15"/>
          <w:szCs w:val="15"/>
          <w:color w:val="auto"/>
        </w:rPr>
        <w:t>The average tenure on our Board is six years.</w:t>
      </w:r>
    </w:p>
    <w:p>
      <w:pPr>
        <w:spacing w:after="0" w:line="64" w:lineRule="exact"/>
        <w:rPr>
          <w:rFonts w:ascii="Arial" w:cs="Arial" w:eastAsia="Arial" w:hAnsi="Arial"/>
          <w:sz w:val="15"/>
          <w:szCs w:val="15"/>
          <w:color w:val="28C0DA"/>
        </w:rPr>
      </w:pPr>
    </w:p>
    <w:p>
      <w:pPr>
        <w:ind w:left="170" w:right="220" w:hanging="170"/>
        <w:spacing w:after="0" w:line="261" w:lineRule="auto"/>
        <w:tabs>
          <w:tab w:leader="none" w:pos="206" w:val="left"/>
        </w:tabs>
        <w:numPr>
          <w:ilvl w:val="0"/>
          <w:numId w:val="38"/>
        </w:numPr>
        <w:rPr>
          <w:rFonts w:ascii="Arial" w:cs="Arial" w:eastAsia="Arial" w:hAnsi="Arial"/>
          <w:sz w:val="15"/>
          <w:szCs w:val="15"/>
          <w:color w:val="28C0DA"/>
        </w:rPr>
      </w:pPr>
      <w:r>
        <w:rPr>
          <w:rFonts w:ascii="Arial" w:cs="Arial" w:eastAsia="Arial" w:hAnsi="Arial"/>
          <w:sz w:val="15"/>
          <w:szCs w:val="15"/>
          <w:color w:val="auto"/>
        </w:rPr>
        <w:t>During the year, the Board receives several key industry updates, strategic topics, and other education sessions conducted by both outside experts and Company executives, all designed to assist the Board in executing their duties.</w:t>
      </w:r>
    </w:p>
    <w:p>
      <w:pPr>
        <w:spacing w:after="0" w:line="12" w:lineRule="exact"/>
        <w:rPr>
          <w:rFonts w:ascii="Arial" w:cs="Arial" w:eastAsia="Arial" w:hAnsi="Arial"/>
          <w:sz w:val="15"/>
          <w:szCs w:val="15"/>
          <w:color w:val="28C0DA"/>
        </w:rPr>
      </w:pPr>
    </w:p>
    <w:p>
      <w:pPr>
        <w:ind w:left="170" w:right="280" w:hanging="170"/>
        <w:spacing w:after="0" w:line="278" w:lineRule="auto"/>
        <w:tabs>
          <w:tab w:leader="none" w:pos="206" w:val="left"/>
        </w:tabs>
        <w:numPr>
          <w:ilvl w:val="0"/>
          <w:numId w:val="38"/>
        </w:numPr>
        <w:rPr>
          <w:rFonts w:ascii="Arial" w:cs="Arial" w:eastAsia="Arial" w:hAnsi="Arial"/>
          <w:sz w:val="15"/>
          <w:szCs w:val="15"/>
          <w:color w:val="28C0DA"/>
        </w:rPr>
      </w:pPr>
      <w:r>
        <w:rPr>
          <w:rFonts w:ascii="Arial" w:cs="Arial" w:eastAsia="Arial" w:hAnsi="Arial"/>
          <w:sz w:val="15"/>
          <w:szCs w:val="15"/>
          <w:color w:val="auto"/>
        </w:rPr>
        <w:t>Our directors attended 100% of the regularly scheduled Board and Board Committee meetings and value in-person attendance at meetings.</w:t>
      </w:r>
    </w:p>
    <w:p>
      <w:pPr>
        <w:spacing w:after="0" w:line="75" w:lineRule="exact"/>
        <w:rPr>
          <w:rFonts w:ascii="Arial" w:cs="Arial" w:eastAsia="Arial" w:hAnsi="Arial"/>
          <w:sz w:val="15"/>
          <w:szCs w:val="15"/>
          <w:color w:val="28C0DA"/>
        </w:rPr>
      </w:pPr>
    </w:p>
    <w:p>
      <w:pPr>
        <w:ind w:left="170" w:right="340" w:hanging="170"/>
        <w:spacing w:after="0" w:line="261" w:lineRule="auto"/>
        <w:tabs>
          <w:tab w:leader="none" w:pos="206" w:val="left"/>
        </w:tabs>
        <w:numPr>
          <w:ilvl w:val="0"/>
          <w:numId w:val="38"/>
        </w:numPr>
        <w:rPr>
          <w:rFonts w:ascii="Arial" w:cs="Arial" w:eastAsia="Arial" w:hAnsi="Arial"/>
          <w:sz w:val="15"/>
          <w:szCs w:val="15"/>
          <w:color w:val="28C0DA"/>
        </w:rPr>
      </w:pPr>
      <w:r>
        <w:rPr>
          <w:rFonts w:ascii="Arial" w:cs="Arial" w:eastAsia="Arial" w:hAnsi="Arial"/>
          <w:sz w:val="15"/>
          <w:szCs w:val="15"/>
          <w:color w:val="auto"/>
        </w:rPr>
        <w:t>Our annual and long-term incentive programs are designed to align the interests of our management with our stockholders by focusing on long-term corporate performance and value creation.</w:t>
      </w:r>
    </w:p>
    <w:p>
      <w:pPr>
        <w:spacing w:after="0" w:line="24" w:lineRule="exact"/>
        <w:rPr>
          <w:rFonts w:ascii="Arial" w:cs="Arial" w:eastAsia="Arial" w:hAnsi="Arial"/>
          <w:sz w:val="15"/>
          <w:szCs w:val="15"/>
          <w:color w:val="28C0DA"/>
        </w:rPr>
      </w:pPr>
    </w:p>
    <w:p>
      <w:pPr>
        <w:ind w:left="210" w:hanging="210"/>
        <w:spacing w:after="0"/>
        <w:tabs>
          <w:tab w:leader="none" w:pos="210" w:val="left"/>
        </w:tabs>
        <w:numPr>
          <w:ilvl w:val="0"/>
          <w:numId w:val="38"/>
        </w:numPr>
        <w:rPr>
          <w:rFonts w:ascii="Arial" w:cs="Arial" w:eastAsia="Arial" w:hAnsi="Arial"/>
          <w:sz w:val="15"/>
          <w:szCs w:val="15"/>
          <w:color w:val="28C0DA"/>
        </w:rPr>
      </w:pPr>
      <w:r>
        <w:rPr>
          <w:rFonts w:ascii="Arial" w:cs="Arial" w:eastAsia="Arial" w:hAnsi="Arial"/>
          <w:sz w:val="15"/>
          <w:szCs w:val="15"/>
          <w:color w:val="auto"/>
        </w:rPr>
        <w:t>Our executive compensation program received 85% stockholder support in 2023.</w:t>
      </w:r>
    </w:p>
    <w:p>
      <w:pPr>
        <w:spacing w:after="0" w:line="64" w:lineRule="exact"/>
        <w:rPr>
          <w:rFonts w:ascii="Arial" w:cs="Arial" w:eastAsia="Arial" w:hAnsi="Arial"/>
          <w:sz w:val="15"/>
          <w:szCs w:val="15"/>
          <w:color w:val="28C0DA"/>
        </w:rPr>
      </w:pPr>
    </w:p>
    <w:p>
      <w:pPr>
        <w:ind w:left="170" w:right="140" w:hanging="170"/>
        <w:spacing w:after="0" w:line="278" w:lineRule="auto"/>
        <w:tabs>
          <w:tab w:leader="none" w:pos="203" w:val="left"/>
        </w:tabs>
        <w:numPr>
          <w:ilvl w:val="0"/>
          <w:numId w:val="38"/>
        </w:numPr>
        <w:rPr>
          <w:rFonts w:ascii="Arial" w:cs="Arial" w:eastAsia="Arial" w:hAnsi="Arial"/>
          <w:sz w:val="15"/>
          <w:szCs w:val="15"/>
          <w:color w:val="28C0DA"/>
        </w:rPr>
      </w:pPr>
      <w:r>
        <w:rPr>
          <w:rFonts w:ascii="Arial" w:cs="Arial" w:eastAsia="Arial" w:hAnsi="Arial"/>
          <w:sz w:val="15"/>
          <w:szCs w:val="15"/>
          <w:color w:val="auto"/>
        </w:rPr>
        <w:t>The proxy statement clearly communicates the link between our compensation programs and the Company's short- and long-term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-3261360</wp:posOffset>
            </wp:positionV>
            <wp:extent cx="4356735"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356735" cy="7620"/>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-2967355</wp:posOffset>
            </wp:positionV>
            <wp:extent cx="4356735"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356735" cy="7620"/>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-2372360</wp:posOffset>
            </wp:positionV>
            <wp:extent cx="4356735"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356735" cy="7620"/>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-1887855</wp:posOffset>
            </wp:positionV>
            <wp:extent cx="4356735"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356735" cy="7620"/>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-808990</wp:posOffset>
            </wp:positionV>
            <wp:extent cx="4356735"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356735" cy="7620"/>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8255</wp:posOffset>
            </wp:positionV>
            <wp:extent cx="4356735"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35673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80" w:space="290"/>
            <w:col w:w="6770"/>
          </w:cols>
          <w:pgMar w:left="320" w:top="223" w:right="339" w:bottom="1440" w:gutter="0" w:footer="0" w:header="0"/>
          <w:type w:val="continuous"/>
        </w:sectPr>
      </w:pP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00" w:type="dxa"/>
            <w:vAlign w:val="bottom"/>
          </w:tcPr>
          <w:p>
            <w:pPr>
              <w:ind w:left="9500"/>
              <w:spacing w:after="0"/>
              <w:rPr>
                <w:sz w:val="20"/>
                <w:szCs w:val="20"/>
                <w:color w:val="auto"/>
              </w:rPr>
            </w:pPr>
            <w:r>
              <w:rPr>
                <w:rFonts w:ascii="Times New Roman" w:cs="Times New Roman" w:eastAsia="Times New Roman" w:hAnsi="Times New Roman"/>
                <w:sz w:val="13"/>
                <w:szCs w:val="13"/>
                <w:b w:val="1"/>
                <w:bCs w:val="1"/>
                <w:color w:val="00254F"/>
              </w:rPr>
              <w:t xml:space="preserve">2024 </w:t>
            </w:r>
            <w:r>
              <w:rPr>
                <w:rFonts w:ascii="Times New Roman" w:cs="Times New Roman" w:eastAsia="Times New Roman" w:hAnsi="Times New Roman"/>
                <w:sz w:val="13"/>
                <w:szCs w:val="13"/>
                <w:color w:val="00254F"/>
              </w:rPr>
              <w:t>Proxy Statement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244F"/>
              </w:rPr>
              <w:t>21</w:t>
            </w:r>
          </w:p>
        </w:tc>
      </w:tr>
      <w:tr>
        <w:trPr>
          <w:trHeight w:val="385"/>
        </w:trPr>
        <w:tc>
          <w:tcPr>
            <w:tcW w:w="10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3"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7"/>
          <w:szCs w:val="17"/>
          <w:u w:val="single" w:color="auto"/>
          <w:color w:val="0000EE"/>
        </w:rPr>
        <w:t>Table of Contents</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254F"/>
        </w:rPr>
        <w:t>Board Composition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Director Nomination Process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54F"/>
        </w:rPr>
        <w:t>Ongoing Assessment of Composition and Structure</w:t>
      </w:r>
    </w:p>
    <w:p>
      <w:pPr>
        <w:spacing w:after="0" w:line="199" w:lineRule="exact"/>
        <w:rPr>
          <w:sz w:val="20"/>
          <w:szCs w:val="20"/>
          <w:color w:val="auto"/>
        </w:rPr>
      </w:pPr>
    </w:p>
    <w:p>
      <w:pPr>
        <w:ind w:right="120"/>
        <w:spacing w:after="0" w:line="252" w:lineRule="auto"/>
        <w:rPr>
          <w:sz w:val="20"/>
          <w:szCs w:val="20"/>
          <w:color w:val="auto"/>
        </w:rPr>
      </w:pPr>
      <w:r>
        <w:rPr>
          <w:rFonts w:ascii="Arial" w:cs="Arial" w:eastAsia="Arial" w:hAnsi="Arial"/>
          <w:sz w:val="15"/>
          <w:szCs w:val="15"/>
          <w:color w:val="auto"/>
        </w:rPr>
        <w:t>In considering the overall qualifications of our director nominees and their contributions to our Board, and in determining our need for additional directors, we seek to create a Board consisting of directors with a diverse set of experiences and attributes who will be meaningfully involved in our Board activities and will facilitate a transparent and collaborative atmosphere and culture. Our directors generally develop a long-term association with the Company, which we believe facilitates a deeper knowledge of our business and its strategies, opportunities, risks, and challenges. At the same time, we periodically look for additions to our Board to enhance our capabilities and bring new perspectives and ideas to our Board.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54F"/>
        </w:rPr>
        <w:t>Commitment to Diversity, Equity, and Inclusion</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5"/>
          <w:szCs w:val="15"/>
          <w:color w:val="auto"/>
        </w:rPr>
        <w:t>The Board has historically valued varying perspectives brought by individuals of differing backgrounds and experiences. We monitor the diversity profile of the Board and consider it an important factor relevant to any particular nominee and to the overall composition of our Board. In considering diversity, we recognize a person's background and experience as well as their ethnicity, gender, sexual orientation, race, and other factors that we believe will inform the way they consider decisions brought before the Board.</w:t>
      </w:r>
    </w:p>
    <w:p>
      <w:pPr>
        <w:spacing w:after="0" w:line="142" w:lineRule="exact"/>
        <w:rPr>
          <w:sz w:val="20"/>
          <w:szCs w:val="20"/>
          <w:color w:val="auto"/>
        </w:rPr>
      </w:pPr>
    </w:p>
    <w:p>
      <w:pPr>
        <w:ind w:right="180"/>
        <w:spacing w:after="0" w:line="252" w:lineRule="auto"/>
        <w:rPr>
          <w:sz w:val="20"/>
          <w:szCs w:val="20"/>
          <w:color w:val="auto"/>
        </w:rPr>
      </w:pPr>
      <w:r>
        <w:rPr>
          <w:rFonts w:ascii="Arial" w:cs="Arial" w:eastAsia="Arial" w:hAnsi="Arial"/>
          <w:sz w:val="15"/>
          <w:szCs w:val="15"/>
          <w:color w:val="auto"/>
        </w:rPr>
        <w:t>Our current Board comprises individuals with a substantial variety of skills and expertise, including with respect to executive management, financial institutions, government, accounting and finance, investment management, public company boards, academia, and not-for-profit organizations. Our Board is not just composed of individuals knowledgeable about our business, but is also reflective of our clients, the communities we serve and our stakeholders. The Nominating and Corporate Governance Committee believes it is important to maintain a mix of experienced directors with a deep understanding of the Company and newer directors who bring a fresh perspective to the challenges of our industry.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54F"/>
        </w:rPr>
        <w:t>Selection of Director Candidates</w:t>
      </w:r>
    </w:p>
    <w:p>
      <w:pPr>
        <w:spacing w:after="0" w:line="187" w:lineRule="exact"/>
        <w:rPr>
          <w:sz w:val="20"/>
          <w:szCs w:val="20"/>
          <w:color w:val="auto"/>
        </w:rPr>
      </w:pPr>
    </w:p>
    <w:p>
      <w:pPr>
        <w:ind w:right="180"/>
        <w:spacing w:after="0" w:line="261" w:lineRule="auto"/>
        <w:rPr>
          <w:sz w:val="20"/>
          <w:szCs w:val="20"/>
          <w:color w:val="auto"/>
        </w:rPr>
      </w:pPr>
      <w:r>
        <w:rPr>
          <w:rFonts w:ascii="Arial" w:cs="Arial" w:eastAsia="Arial" w:hAnsi="Arial"/>
          <w:sz w:val="15"/>
          <w:szCs w:val="15"/>
          <w:color w:val="auto"/>
        </w:rPr>
        <w:t>The Nominating and Corporate Governance Committee supervises the nomination process for directors. The Nominating and Corporate Governance Committee considers the performance, independence, diversity, and other characteristics of our incumbent directors, including their willingness to serve for an additional term and any change in their employment or other circumstances in considering their renomination each year.</w:t>
      </w:r>
    </w:p>
    <w:p>
      <w:pPr>
        <w:spacing w:after="0" w:line="137" w:lineRule="exact"/>
        <w:rPr>
          <w:sz w:val="20"/>
          <w:szCs w:val="20"/>
          <w:color w:val="auto"/>
        </w:rPr>
      </w:pPr>
    </w:p>
    <w:p>
      <w:pPr>
        <w:ind w:right="20"/>
        <w:spacing w:after="0" w:line="247" w:lineRule="auto"/>
        <w:rPr>
          <w:sz w:val="20"/>
          <w:szCs w:val="20"/>
          <w:color w:val="auto"/>
        </w:rPr>
      </w:pPr>
      <w:r>
        <w:rPr>
          <w:rFonts w:ascii="Arial" w:cs="Arial" w:eastAsia="Arial" w:hAnsi="Arial"/>
          <w:sz w:val="15"/>
          <w:szCs w:val="15"/>
          <w:color w:val="auto"/>
        </w:rPr>
        <w:t>Following the Annual Meeting, the Board will have 11 directors, nine of whom will be independent. The tenure of our independent directors ranges from 5 months to 14 years, with an average tenure of approximately six years. When a director is set to retire from our Board, the Nominating and Corporate Governance Committee focuses on identifying candidates with the skills and backgrounds to complement the Board, in addition to seeking candidates who would bring further capabilities, experience, and diversity to our Board. During 2023, the Nominating and Corporate Governance Committee engaged a consultant to find potential candidates. After reviewing possible director candidates, the Nominating and Corporate Governance Committee nominated, and our Board elected, Ms. Smith and Mr. Donnelly to the Board in August and November 2023, respectively. The Board selected Ms. Smith in part because of her significant product distribution development experience and her understanding of operating in a highly regulated industry, realized throughout her career, particularly in her role as the senior vice president for regional business distribution development at a large financial services company providing insurance products. The Board selected Mr. Donnelly due in part to his significant financial reporting and operational experience developed throughout his career, particularly in his role as the executive vice president responsible for finance, investor relations, supply chain and information technology of a publicly traded company.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54F"/>
        </w:rPr>
        <w:t>Identification and Consideration of New Nominees</w:t>
      </w:r>
    </w:p>
    <w:p>
      <w:pPr>
        <w:spacing w:after="0" w:line="187"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In the event that a vacancy exists or we decide to increase the size of the Board, we identify, interview and examine, and make recommendations to the Board regarding appropriate candidates. We will consider Board nominees with diverse capabilities, and we generally look for nominees with capabilities in one or more of the following areas: investment and money management, general management and leadership, economics and economic policy, audit and accounting,</w:t>
      </w:r>
    </w:p>
    <w:p>
      <w:pPr>
        <w:spacing w:after="0" w:line="127"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3"/>
          <w:szCs w:val="13"/>
          <w:b w:val="1"/>
          <w:bCs w:val="1"/>
          <w:color w:val="00244F"/>
        </w:rPr>
        <w:t>22</w:t>
      </w:r>
      <w:r>
        <w:rPr>
          <w:sz w:val="20"/>
          <w:szCs w:val="20"/>
          <w:color w:val="auto"/>
        </w:rPr>
        <w:tab/>
      </w:r>
      <w:r>
        <w:rPr>
          <w:rFonts w:ascii="Times New Roman" w:cs="Times New Roman" w:eastAsia="Times New Roman" w:hAnsi="Times New Roman"/>
          <w:sz w:val="13"/>
          <w:szCs w:val="13"/>
          <w:b w:val="1"/>
          <w:bCs w:val="1"/>
          <w:color w:val="00244F"/>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42480"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180"/>
          </w:cols>
          <w:pgMar w:left="320" w:top="223" w:right="39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0000EE"/>
        </w:rPr>
        <w:t>Table of Contents</w:t>
      </w:r>
    </w:p>
    <w:p>
      <w:pPr>
        <w:spacing w:after="0" w:line="371" w:lineRule="exact"/>
        <w:rPr>
          <w:sz w:val="20"/>
          <w:szCs w:val="20"/>
          <w:color w:val="auto"/>
        </w:rPr>
      </w:pPr>
    </w:p>
    <w:p>
      <w:pPr>
        <w:ind w:right="60"/>
        <w:spacing w:after="0" w:line="252" w:lineRule="auto"/>
        <w:rPr>
          <w:sz w:val="20"/>
          <w:szCs w:val="20"/>
          <w:color w:val="auto"/>
        </w:rPr>
      </w:pPr>
      <w:r>
        <w:rPr>
          <w:rFonts w:ascii="Arial" w:cs="Arial" w:eastAsia="Arial" w:hAnsi="Arial"/>
          <w:sz w:val="15"/>
          <w:szCs w:val="15"/>
          <w:color w:val="auto"/>
        </w:rPr>
        <w:t>finance and treasury functions, marketing, operations, technology and cybersecurity, human resources and personnel, risk management, strategic planning, governance, law, regulation and compliance, property management, and international and global experience relating to one or more of the foregoing areas. In evaluating potential candidates, we consider independence from management, background, experience, expertise, commitment, diversity, number of other public board and related committee seats held, and potential conflicts of interest, among other factors, and take into account the composition of the Board at the time of the assessment. All candidates for nomination must:</w:t>
      </w:r>
    </w:p>
    <w:p>
      <w:pPr>
        <w:spacing w:after="0" w:line="144" w:lineRule="exact"/>
        <w:rPr>
          <w:sz w:val="20"/>
          <w:szCs w:val="20"/>
          <w:color w:val="auto"/>
        </w:rPr>
      </w:pPr>
    </w:p>
    <w:p>
      <w:pPr>
        <w:ind w:left="220" w:hanging="220"/>
        <w:spacing w:after="0"/>
        <w:tabs>
          <w:tab w:leader="none" w:pos="220" w:val="left"/>
        </w:tabs>
        <w:numPr>
          <w:ilvl w:val="0"/>
          <w:numId w:val="39"/>
        </w:numPr>
        <w:rPr>
          <w:rFonts w:ascii="Arial" w:cs="Arial" w:eastAsia="Arial" w:hAnsi="Arial"/>
          <w:sz w:val="15"/>
          <w:szCs w:val="15"/>
          <w:color w:val="28C0DA"/>
        </w:rPr>
      </w:pPr>
      <w:r>
        <w:rPr>
          <w:rFonts w:ascii="Arial" w:cs="Arial" w:eastAsia="Arial" w:hAnsi="Arial"/>
          <w:sz w:val="15"/>
          <w:szCs w:val="15"/>
          <w:color w:val="auto"/>
        </w:rPr>
        <w:t>demonstrate unimpeachable character and integrity;</w:t>
      </w:r>
    </w:p>
    <w:p>
      <w:pPr>
        <w:spacing w:after="0" w:line="89" w:lineRule="exact"/>
        <w:rPr>
          <w:rFonts w:ascii="Arial" w:cs="Arial" w:eastAsia="Arial" w:hAnsi="Arial"/>
          <w:sz w:val="15"/>
          <w:szCs w:val="15"/>
          <w:color w:val="28C0DA"/>
        </w:rPr>
      </w:pPr>
    </w:p>
    <w:p>
      <w:pPr>
        <w:ind w:left="220" w:hanging="220"/>
        <w:spacing w:after="0"/>
        <w:tabs>
          <w:tab w:leader="none" w:pos="220" w:val="left"/>
        </w:tabs>
        <w:numPr>
          <w:ilvl w:val="0"/>
          <w:numId w:val="39"/>
        </w:numPr>
        <w:rPr>
          <w:rFonts w:ascii="Arial" w:cs="Arial" w:eastAsia="Arial" w:hAnsi="Arial"/>
          <w:sz w:val="15"/>
          <w:szCs w:val="15"/>
          <w:color w:val="28C0DA"/>
        </w:rPr>
      </w:pPr>
      <w:r>
        <w:rPr>
          <w:rFonts w:ascii="Arial" w:cs="Arial" w:eastAsia="Arial" w:hAnsi="Arial"/>
          <w:sz w:val="15"/>
          <w:szCs w:val="15"/>
          <w:color w:val="auto"/>
        </w:rPr>
        <w:t>have sufficient time to carry out their duties;</w:t>
      </w:r>
    </w:p>
    <w:p>
      <w:pPr>
        <w:spacing w:after="0" w:line="89" w:lineRule="exact"/>
        <w:rPr>
          <w:rFonts w:ascii="Arial" w:cs="Arial" w:eastAsia="Arial" w:hAnsi="Arial"/>
          <w:sz w:val="15"/>
          <w:szCs w:val="15"/>
          <w:color w:val="28C0DA"/>
        </w:rPr>
      </w:pPr>
    </w:p>
    <w:p>
      <w:pPr>
        <w:ind w:left="220" w:hanging="220"/>
        <w:spacing w:after="0"/>
        <w:tabs>
          <w:tab w:leader="none" w:pos="220" w:val="left"/>
        </w:tabs>
        <w:numPr>
          <w:ilvl w:val="0"/>
          <w:numId w:val="39"/>
        </w:numPr>
        <w:rPr>
          <w:rFonts w:ascii="Arial" w:cs="Arial" w:eastAsia="Arial" w:hAnsi="Arial"/>
          <w:sz w:val="15"/>
          <w:szCs w:val="15"/>
          <w:color w:val="28C0DA"/>
        </w:rPr>
      </w:pPr>
      <w:r>
        <w:rPr>
          <w:rFonts w:ascii="Arial" w:cs="Arial" w:eastAsia="Arial" w:hAnsi="Arial"/>
          <w:sz w:val="15"/>
          <w:szCs w:val="15"/>
          <w:color w:val="auto"/>
        </w:rPr>
        <w:t>have experience at senior levels in areas of expertise helpful to the Company and consistent with the objective of having a diverse and well-rounded Board; and</w:t>
      </w:r>
    </w:p>
    <w:p>
      <w:pPr>
        <w:spacing w:after="0" w:line="89" w:lineRule="exact"/>
        <w:rPr>
          <w:rFonts w:ascii="Arial" w:cs="Arial" w:eastAsia="Arial" w:hAnsi="Arial"/>
          <w:sz w:val="15"/>
          <w:szCs w:val="15"/>
          <w:color w:val="28C0DA"/>
        </w:rPr>
      </w:pPr>
    </w:p>
    <w:p>
      <w:pPr>
        <w:ind w:left="220" w:hanging="220"/>
        <w:spacing w:after="0"/>
        <w:tabs>
          <w:tab w:leader="none" w:pos="220" w:val="left"/>
        </w:tabs>
        <w:numPr>
          <w:ilvl w:val="0"/>
          <w:numId w:val="39"/>
        </w:numPr>
        <w:rPr>
          <w:rFonts w:ascii="Arial" w:cs="Arial" w:eastAsia="Arial" w:hAnsi="Arial"/>
          <w:sz w:val="15"/>
          <w:szCs w:val="15"/>
          <w:color w:val="28C0DA"/>
        </w:rPr>
      </w:pPr>
      <w:r>
        <w:rPr>
          <w:rFonts w:ascii="Arial" w:cs="Arial" w:eastAsia="Arial" w:hAnsi="Arial"/>
          <w:sz w:val="15"/>
          <w:szCs w:val="15"/>
          <w:color w:val="auto"/>
        </w:rPr>
        <w:t>have the willingness and commitment to assume the responsibilities required of a director of the Company.</w:t>
      </w:r>
    </w:p>
    <w:p>
      <w:pPr>
        <w:spacing w:after="0" w:line="177" w:lineRule="exact"/>
        <w:rPr>
          <w:sz w:val="20"/>
          <w:szCs w:val="20"/>
          <w:color w:val="auto"/>
        </w:rPr>
      </w:pPr>
    </w:p>
    <w:p>
      <w:pPr>
        <w:ind w:right="120"/>
        <w:spacing w:after="0" w:line="250" w:lineRule="auto"/>
        <w:rPr>
          <w:sz w:val="20"/>
          <w:szCs w:val="20"/>
          <w:color w:val="auto"/>
        </w:rPr>
      </w:pPr>
      <w:r>
        <w:rPr>
          <w:rFonts w:ascii="Arial" w:cs="Arial" w:eastAsia="Arial" w:hAnsi="Arial"/>
          <w:sz w:val="15"/>
          <w:szCs w:val="15"/>
          <w:color w:val="auto"/>
        </w:rPr>
        <w:t>In addition, candidates expected to serve on the Audit Committee must meet independence and financial literacy qualifications imposed by the NASDAQ Global Select Market and by the SEC and other applicable law. Candidates expected to serve on the Nominating and Corporate Governance Committee or the Compensation Committee must meet independence qualifications set out by the NASDAQ Global Select Market. Our evaluations of potential directors include, among other things, an assessment of a candidate's background and credentials, personal interviews, and discussions with appropriate references. Once we have selected a candidate, we present him or her to the full Board for election if a vacancy occurs or is created by an increase in the size of the Board during the course of the year, or for nomination if the director is to be first elected by the Company's stockholders. All directors serve for one-year terms and must stand for reelection annually.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00" w:type="dxa"/>
            <w:vAlign w:val="bottom"/>
          </w:tcPr>
          <w:p>
            <w:pPr>
              <w:ind w:left="9500"/>
              <w:spacing w:after="0"/>
              <w:rPr>
                <w:sz w:val="20"/>
                <w:szCs w:val="20"/>
                <w:color w:val="auto"/>
              </w:rPr>
            </w:pPr>
            <w:r>
              <w:rPr>
                <w:rFonts w:ascii="Times New Roman" w:cs="Times New Roman" w:eastAsia="Times New Roman" w:hAnsi="Times New Roman"/>
                <w:sz w:val="13"/>
                <w:szCs w:val="13"/>
                <w:b w:val="1"/>
                <w:bCs w:val="1"/>
                <w:color w:val="00254F"/>
              </w:rPr>
              <w:t xml:space="preserve">2024 </w:t>
            </w:r>
            <w:r>
              <w:rPr>
                <w:rFonts w:ascii="Times New Roman" w:cs="Times New Roman" w:eastAsia="Times New Roman" w:hAnsi="Times New Roman"/>
                <w:sz w:val="13"/>
                <w:szCs w:val="13"/>
                <w:color w:val="00254F"/>
              </w:rPr>
              <w:t>Proxy Statement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244F"/>
              </w:rPr>
              <w:t>23</w:t>
            </w:r>
          </w:p>
        </w:tc>
      </w:tr>
      <w:tr>
        <w:trPr>
          <w:trHeight w:val="385"/>
        </w:trPr>
        <w:tc>
          <w:tcPr>
            <w:tcW w:w="10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3"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0000EE"/>
        </w:rPr>
        <w:t>Table of Contents</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54F"/>
        </w:rPr>
        <w:t>Stockholder Recommendations and Nominations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Recommendations</w:t>
      </w:r>
    </w:p>
    <w:p>
      <w:pPr>
        <w:spacing w:after="0" w:line="188" w:lineRule="exact"/>
        <w:rPr>
          <w:sz w:val="20"/>
          <w:szCs w:val="20"/>
          <w:color w:val="auto"/>
        </w:rPr>
      </w:pPr>
    </w:p>
    <w:p>
      <w:pPr>
        <w:spacing w:after="0" w:line="274" w:lineRule="auto"/>
        <w:rPr>
          <w:sz w:val="20"/>
          <w:szCs w:val="20"/>
          <w:color w:val="auto"/>
        </w:rPr>
      </w:pPr>
      <w:r>
        <w:rPr>
          <w:rFonts w:ascii="Arial" w:cs="Arial" w:eastAsia="Arial" w:hAnsi="Arial"/>
          <w:sz w:val="14"/>
          <w:szCs w:val="14"/>
          <w:color w:val="auto"/>
        </w:rPr>
        <w:t>A stockholder who wishes to recommend a candidate for the Board should send a letter to the chair of the Nominating and Corporate Governance Committee at the Company's principal executive offices providing: (i) information relevant to the candidate's satisfaction of the criteria described above under "Director Nomination Process;" and (ii) information that would be required for a director nomination under Section 1.11 of the By-Laws. The Nominating and Corporate Governance Committee will consider and evaluate candidates recommended by stockholders in the same manner it considers candidates from other sources. Acceptance of a recommendation does not imply that the Nominating and Corporate Governance Committee will recommend, and the Board will ultimately nominate, the recommended candidate.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Proxy Access and Nominations</w:t>
      </w:r>
    </w:p>
    <w:p>
      <w:pPr>
        <w:spacing w:after="0" w:line="188" w:lineRule="exact"/>
        <w:rPr>
          <w:sz w:val="20"/>
          <w:szCs w:val="20"/>
          <w:color w:val="auto"/>
        </w:rPr>
      </w:pPr>
    </w:p>
    <w:p>
      <w:pPr>
        <w:ind w:right="40"/>
        <w:spacing w:after="0" w:line="250" w:lineRule="auto"/>
        <w:rPr>
          <w:sz w:val="20"/>
          <w:szCs w:val="20"/>
          <w:color w:val="auto"/>
        </w:rPr>
      </w:pPr>
      <w:r>
        <w:rPr>
          <w:rFonts w:ascii="Arial" w:cs="Arial" w:eastAsia="Arial" w:hAnsi="Arial"/>
          <w:sz w:val="15"/>
          <w:szCs w:val="15"/>
          <w:color w:val="auto"/>
        </w:rPr>
        <w:t>We have adopted a proxy access right to permit a stockholder, or a group of up to 20 stockholders, owning 3% or more of the Company's outstanding common stock continuously for at least three years, to nominate and include in the Company's proxy materials director nominees constituting up to two individuals or 20% of the Board (whichever is greater), provided that the stockholder(s) and the nominee(s) satisfy the requirements specified in the By-Laws. Section 1.13 of the By-Laws sets out the procedures a stockholder must follow to use proxy access. Section 1.11 of the By-Laws sets out the procedures a stockholder must follow in order to nominate a candidate for Board membership outside of the proxy access process. For these requirements, please refer to the By-Laws as of February 9, 2021, filed with the SEC on February 11, 2021, as Exhibit 3.1 to our Annual Report on Form 10-K.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54F"/>
        </w:rPr>
        <w:t>Majority Voting</w:t>
      </w:r>
    </w:p>
    <w:p>
      <w:pPr>
        <w:spacing w:after="0" w:line="187" w:lineRule="exact"/>
        <w:rPr>
          <w:sz w:val="20"/>
          <w:szCs w:val="20"/>
          <w:color w:val="auto"/>
        </w:rPr>
      </w:pPr>
    </w:p>
    <w:p>
      <w:pPr>
        <w:ind w:right="60"/>
        <w:spacing w:after="0" w:line="250" w:lineRule="auto"/>
        <w:rPr>
          <w:sz w:val="20"/>
          <w:szCs w:val="20"/>
          <w:color w:val="auto"/>
        </w:rPr>
      </w:pPr>
      <w:r>
        <w:rPr>
          <w:rFonts w:ascii="Arial" w:cs="Arial" w:eastAsia="Arial" w:hAnsi="Arial"/>
          <w:sz w:val="15"/>
          <w:szCs w:val="15"/>
          <w:color w:val="auto"/>
        </w:rPr>
        <w:t>We have adopted a majority voting standard for the election of our directors. Under our By-Laws, in an uncontested election, a nominee will not be elected unless he or she receives more "FOR" votes than "AGAINST" votes. Under Maryland law, any incumbent director not so elected would continue in office as a "holdover" director until removed or replaced. As a result, the By-Laws also provide that any director who fails to obtain the required vote in an uncontested election must submit his or her resignation to the Board. The Board must decide whether to accept or decline the resignation, or decline the resignation with conditions, taking into consideration the Nominating and Corporate Governance Committee's recommendation after consideration of all factors deemed relevant, within 90 days after the vote has been certified. Plurality voting will apply to contested elections.</w:t>
      </w:r>
    </w:p>
    <w:p>
      <w:pPr>
        <w:spacing w:after="0" w:line="137"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3"/>
          <w:szCs w:val="13"/>
          <w:b w:val="1"/>
          <w:bCs w:val="1"/>
          <w:color w:val="00244F"/>
        </w:rPr>
        <w:t>24</w:t>
      </w:r>
      <w:r>
        <w:rPr>
          <w:sz w:val="20"/>
          <w:szCs w:val="20"/>
          <w:color w:val="auto"/>
        </w:rPr>
        <w:tab/>
      </w:r>
      <w:r>
        <w:rPr>
          <w:rFonts w:ascii="Times New Roman" w:cs="Times New Roman" w:eastAsia="Times New Roman" w:hAnsi="Times New Roman"/>
          <w:sz w:val="13"/>
          <w:szCs w:val="13"/>
          <w:b w:val="1"/>
          <w:bCs w:val="1"/>
          <w:color w:val="00244F"/>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42480"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00"/>
          </w:cols>
          <w:pgMar w:left="320" w:top="223" w:right="37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0000EE"/>
        </w:rPr>
        <w:t>Table of Contents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Board Leadership</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00254F"/>
        </w:rPr>
        <w:t>Chair of the Board and 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7142480" cy="42456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2480" cy="424561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00254F"/>
        </w:rPr>
        <w:t>William J. Stromberg</w:t>
      </w:r>
    </w:p>
    <w:p>
      <w:pPr>
        <w:spacing w:after="0" w:line="65"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00254F"/>
        </w:rPr>
        <w:t>Non-Executive Chair of the Board</w:t>
      </w:r>
    </w:p>
    <w:p>
      <w:pPr>
        <w:spacing w:after="0" w:line="177" w:lineRule="exact"/>
        <w:rPr>
          <w:sz w:val="20"/>
          <w:szCs w:val="20"/>
          <w:color w:val="auto"/>
        </w:rPr>
      </w:pPr>
    </w:p>
    <w:p>
      <w:pPr>
        <w:ind w:left="60"/>
        <w:spacing w:after="0" w:line="245" w:lineRule="auto"/>
        <w:rPr>
          <w:sz w:val="20"/>
          <w:szCs w:val="20"/>
          <w:color w:val="auto"/>
        </w:rPr>
      </w:pPr>
      <w:r>
        <w:rPr>
          <w:rFonts w:ascii="Arial" w:cs="Arial" w:eastAsia="Arial" w:hAnsi="Arial"/>
          <w:sz w:val="15"/>
          <w:szCs w:val="15"/>
          <w:color w:val="auto"/>
        </w:rPr>
        <w:t>Mr. Stromberg became the non-executive chair of the Board effective January 1, 2022, following his retirement as our CEO. Due to his long career with the Company, including as its CEO and Chair, we believe Mr. Stromberg's service as the Board's non-executive chair provided our independent directors with increased exposure to senior management, as well as greater insight into the needs of the business. Mr. Stromberg has announced his retirement from the Board at the Annual Meeting, and as such he will no longer serve as the non-executive chair of the Board. The Board announced that it would appoint</w:t>
      </w:r>
    </w:p>
    <w:p>
      <w:pPr>
        <w:spacing w:after="0" w:line="5" w:lineRule="exact"/>
        <w:rPr>
          <w:sz w:val="20"/>
          <w:szCs w:val="20"/>
          <w:color w:val="auto"/>
        </w:rPr>
      </w:pPr>
    </w:p>
    <w:p>
      <w:pPr>
        <w:ind w:left="60" w:right="220"/>
        <w:spacing w:after="0" w:line="259" w:lineRule="auto"/>
        <w:rPr>
          <w:sz w:val="20"/>
          <w:szCs w:val="20"/>
          <w:color w:val="auto"/>
        </w:rPr>
      </w:pPr>
      <w:r>
        <w:rPr>
          <w:rFonts w:ascii="Arial" w:cs="Arial" w:eastAsia="Arial" w:hAnsi="Arial"/>
          <w:sz w:val="15"/>
          <w:szCs w:val="15"/>
          <w:color w:val="auto"/>
        </w:rPr>
        <w:t>Mr. Sharps to serve as the chair of the Board following the Annual Meeting, in addition to his current role as our CEO and president.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5"/>
          <w:szCs w:val="15"/>
          <w:b w:val="1"/>
          <w:bCs w:val="1"/>
          <w:color w:val="00254F"/>
        </w:rPr>
        <w:t>Alan D. Wilson</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b w:val="1"/>
          <w:bCs w:val="1"/>
          <w:color w:val="00254F"/>
        </w:rPr>
        <w:t>Lead Independent Director</w:t>
      </w:r>
    </w:p>
    <w:p>
      <w:pPr>
        <w:spacing w:after="0" w:line="177" w:lineRule="exact"/>
        <w:rPr>
          <w:sz w:val="20"/>
          <w:szCs w:val="20"/>
          <w:color w:val="auto"/>
        </w:rPr>
      </w:pPr>
    </w:p>
    <w:p>
      <w:pPr>
        <w:spacing w:after="0" w:line="245" w:lineRule="auto"/>
        <w:rPr>
          <w:sz w:val="20"/>
          <w:szCs w:val="20"/>
          <w:color w:val="auto"/>
        </w:rPr>
      </w:pPr>
      <w:r>
        <w:rPr>
          <w:rFonts w:ascii="Arial" w:cs="Arial" w:eastAsia="Arial" w:hAnsi="Arial"/>
          <w:sz w:val="15"/>
          <w:szCs w:val="15"/>
          <w:color w:val="auto"/>
        </w:rPr>
        <w:t>Mr. Wilson was elected by our independent directors as lead independent director after the 2018 annual meeting of stockholders and is expected to be re-elected after the Annual Meeting. The lead independent director role was created in 2004 and has continually developed since that time. The lead independent director chairs Board meetings when the chair is not present, approves Board agendas and meeting schedules, and oversees Board materials distributed in advance of Board meetings. The lead independent director also calls meetings of the independent directors, chairs all executive sessions of the independent directors, and acts as a liaison between the independent directors and management. The lead independent director works with the chair of the Nominating and Corporate Governance Committee when considering new director nominees and provides input on the design and makeup of the Board and its committees. In connection with our annual board evaluation, the lead independent director conducts interviews with each director to solicit input and to ensure directors' concerns are being addressed. The lead independent director is available to the Company's general counsel and corporate secretary to discuss and, as necessary, respond to stockholder communications to the Board. Finally, the lead independent director generally serves as the Board representative in various meetings with the Company's stockholders and other key stakeholders.</w:t>
      </w:r>
    </w:p>
    <w:p>
      <w:pPr>
        <w:spacing w:after="0" w:line="154" w:lineRule="exact"/>
        <w:rPr>
          <w:sz w:val="20"/>
          <w:szCs w:val="20"/>
          <w:color w:val="auto"/>
        </w:rPr>
      </w:pPr>
    </w:p>
    <w:p>
      <w:pPr>
        <w:ind w:right="180"/>
        <w:spacing w:after="0" w:line="288" w:lineRule="auto"/>
        <w:rPr>
          <w:sz w:val="20"/>
          <w:szCs w:val="20"/>
          <w:color w:val="auto"/>
        </w:rPr>
      </w:pPr>
      <w:r>
        <w:rPr>
          <w:rFonts w:ascii="Arial" w:cs="Arial" w:eastAsia="Arial" w:hAnsi="Arial"/>
          <w:sz w:val="14"/>
          <w:szCs w:val="14"/>
          <w:color w:val="auto"/>
        </w:rPr>
        <w:t>Mr. Wilson's significant executive management experience, including having served as chair and chief executive officer of a publicly traded company, makes him especially qualified to serve as the lead independent director for the Board.</w:t>
      </w:r>
    </w:p>
    <w:p>
      <w:pPr>
        <w:spacing w:after="0" w:line="185" w:lineRule="exact"/>
        <w:rPr>
          <w:sz w:val="20"/>
          <w:szCs w:val="20"/>
          <w:color w:val="auto"/>
        </w:rPr>
      </w:pPr>
    </w:p>
    <w:p>
      <w:pPr>
        <w:sectPr>
          <w:pgSz w:w="11900" w:h="16838" w:orient="portrait"/>
          <w:cols w:equalWidth="0" w:num="2">
            <w:col w:w="5400" w:space="400"/>
            <w:col w:w="5440"/>
          </w:cols>
          <w:pgMar w:left="320" w:top="223" w:right="33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10900" w:type="dxa"/>
            <w:vAlign w:val="bottom"/>
          </w:tcPr>
          <w:p>
            <w:pPr>
              <w:ind w:left="9500"/>
              <w:spacing w:after="0"/>
              <w:rPr>
                <w:sz w:val="20"/>
                <w:szCs w:val="20"/>
                <w:color w:val="auto"/>
              </w:rPr>
            </w:pPr>
            <w:r>
              <w:rPr>
                <w:rFonts w:ascii="Times New Roman" w:cs="Times New Roman" w:eastAsia="Times New Roman" w:hAnsi="Times New Roman"/>
                <w:sz w:val="13"/>
                <w:szCs w:val="13"/>
                <w:b w:val="1"/>
                <w:bCs w:val="1"/>
                <w:color w:val="00254F"/>
              </w:rPr>
              <w:t xml:space="preserve">2024 </w:t>
            </w:r>
            <w:r>
              <w:rPr>
                <w:rFonts w:ascii="Times New Roman" w:cs="Times New Roman" w:eastAsia="Times New Roman" w:hAnsi="Times New Roman"/>
                <w:sz w:val="13"/>
                <w:szCs w:val="13"/>
                <w:color w:val="00254F"/>
              </w:rPr>
              <w:t>Proxy Statement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244F"/>
              </w:rPr>
              <w:t>25</w:t>
            </w:r>
          </w:p>
        </w:tc>
      </w:tr>
      <w:tr>
        <w:trPr>
          <w:trHeight w:val="385"/>
        </w:trPr>
        <w:tc>
          <w:tcPr>
            <w:tcW w:w="10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3"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7"/>
          <w:szCs w:val="17"/>
          <w:u w:val="single" w:color="auto"/>
          <w:color w:val="0000EE"/>
        </w:rPr>
        <w:t>Table of Contents</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54F"/>
        </w:rPr>
        <w:t>Independent Leadership</w:t>
      </w:r>
    </w:p>
    <w:p>
      <w:pPr>
        <w:spacing w:after="0" w:line="187" w:lineRule="exact"/>
        <w:rPr>
          <w:sz w:val="20"/>
          <w:szCs w:val="20"/>
          <w:color w:val="auto"/>
        </w:rPr>
      </w:pPr>
    </w:p>
    <w:p>
      <w:pPr>
        <w:spacing w:after="0" w:line="250" w:lineRule="auto"/>
        <w:rPr>
          <w:sz w:val="20"/>
          <w:szCs w:val="20"/>
          <w:color w:val="auto"/>
        </w:rPr>
      </w:pPr>
      <w:r>
        <w:rPr>
          <w:rFonts w:ascii="Arial" w:cs="Arial" w:eastAsia="Arial" w:hAnsi="Arial"/>
          <w:sz w:val="15"/>
          <w:szCs w:val="15"/>
          <w:color w:val="auto"/>
        </w:rPr>
        <w:t>In February 2024, Mr. Stromberg informed the Board that he intended to retire from the Board effective as of the Annual Meeting. In response, the Board announced that it would appoint Mr. Sharps to serve as the chair of the Board, in addition to his current role as our CEO and president. During our history, the Company has navigated transitions like this several other times and the Company has been served well by having the same person serve as both the chair and the CEO. By serving in both positions, Mr. Sharps will be able to draw on his detailed knowledge of the Company to provide leadership to the Board in coordination with the lead independent director. The combined role of chair and CEO reflects our confidence in the leadership of Mr. Sharps and also ensures that the Company presents its strategy to stockholders, employees and clients with a unified voice from the person most knowledgeable about and responsible for the implementation of the strategy.</w:t>
      </w:r>
    </w:p>
    <w:p>
      <w:pPr>
        <w:spacing w:after="0" w:line="147" w:lineRule="exact"/>
        <w:rPr>
          <w:sz w:val="20"/>
          <w:szCs w:val="20"/>
          <w:color w:val="auto"/>
        </w:rPr>
      </w:pPr>
    </w:p>
    <w:p>
      <w:pPr>
        <w:ind w:right="140"/>
        <w:spacing w:after="0" w:line="248" w:lineRule="auto"/>
        <w:rPr>
          <w:sz w:val="20"/>
          <w:szCs w:val="20"/>
          <w:color w:val="auto"/>
        </w:rPr>
      </w:pPr>
      <w:r>
        <w:rPr>
          <w:rFonts w:ascii="Arial" w:cs="Arial" w:eastAsia="Arial" w:hAnsi="Arial"/>
          <w:sz w:val="15"/>
          <w:szCs w:val="15"/>
          <w:color w:val="auto"/>
        </w:rPr>
        <w:t>The Board has determined that the election of a lead independent director, together with a combined chair and CEO, serve the best interests of the Company and its stockholders at this time. We have historically found that a strong lead independent director provides independent leadership to our Board. We believe that the combination of an executive chair and a well-empowered lead independent director provide significant independent leadership of our Board, while also furnishing a valuable bridge between the Board and the Company's business. The Company has an experienced and diverse independent Board, and a supermajority of the Board are independent under the NASDAQ Global Select Market standards. In addition, the Nominating and Corporate Governance Committee, the Audit Committee, and the Compensation Committee are all composed entirely of independent directors, and our lead independent director, together with these committees, have significant and meaningful responsibilities designed to foster critical oversight and good governance practices. We believe that our structure is appropriate at this time and serves the interests of the Company and its stockholders well.</w:t>
      </w:r>
    </w:p>
    <w:p>
      <w:pPr>
        <w:spacing w:after="0" w:line="149" w:lineRule="exact"/>
        <w:rPr>
          <w:sz w:val="20"/>
          <w:szCs w:val="20"/>
          <w:color w:val="auto"/>
        </w:rPr>
      </w:pPr>
    </w:p>
    <w:p>
      <w:pPr>
        <w:ind w:right="280"/>
        <w:spacing w:after="0" w:line="278" w:lineRule="auto"/>
        <w:rPr>
          <w:sz w:val="20"/>
          <w:szCs w:val="20"/>
          <w:color w:val="auto"/>
        </w:rPr>
      </w:pPr>
      <w:r>
        <w:rPr>
          <w:rFonts w:ascii="Arial" w:cs="Arial" w:eastAsia="Arial" w:hAnsi="Arial"/>
          <w:sz w:val="15"/>
          <w:szCs w:val="15"/>
          <w:color w:val="auto"/>
        </w:rPr>
        <w:t>The Board is confident that the duties and responsibilities allocated to its lead independent director, together with its other corporate governance practices and strong independent board, provides appropriate and effective independent oversight of management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54F"/>
        </w:rPr>
        <w:t>Committee Leadership and Rotation</w:t>
      </w:r>
    </w:p>
    <w:p>
      <w:pPr>
        <w:spacing w:after="0" w:line="187" w:lineRule="exact"/>
        <w:rPr>
          <w:sz w:val="20"/>
          <w:szCs w:val="20"/>
          <w:color w:val="auto"/>
        </w:rPr>
      </w:pPr>
    </w:p>
    <w:p>
      <w:pPr>
        <w:ind w:right="200"/>
        <w:spacing w:after="0" w:line="250" w:lineRule="auto"/>
        <w:rPr>
          <w:sz w:val="20"/>
          <w:szCs w:val="20"/>
          <w:color w:val="auto"/>
        </w:rPr>
      </w:pPr>
      <w:r>
        <w:rPr>
          <w:rFonts w:ascii="Arial" w:cs="Arial" w:eastAsia="Arial" w:hAnsi="Arial"/>
          <w:sz w:val="15"/>
          <w:szCs w:val="15"/>
          <w:color w:val="auto"/>
        </w:rPr>
        <w:t>In 2015, Mr. Bartlett and Mr. MacLellan became the chairs of the Audit Committee and the Compensation Committee, respectively. In 2021, Dr. Hrabowski became the chair of the Nominating and Corporate Governance Committee. Our Corporate Governance Guidelines provide that periodic rotation of committee membership and chairpersons is generally beneficial to the Company and contributes to healthy and collaborative Board engagement. However, this rotation is not mandatory, and in some circumstances continued service on a committee or as chair by persons with particular skills may be warranted. At least every five years, the Nominating and Corporate Governance Committee shall do a thorough review of all Board leadership positions to make recommendations to the Board about potential changes and to suggest skills that may be needed on the committees.</w:t>
      </w:r>
    </w:p>
    <w:p>
      <w:pPr>
        <w:spacing w:after="0" w:line="137"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3"/>
          <w:szCs w:val="13"/>
          <w:b w:val="1"/>
          <w:bCs w:val="1"/>
          <w:color w:val="00244F"/>
        </w:rPr>
        <w:t>26</w:t>
      </w:r>
      <w:r>
        <w:rPr>
          <w:sz w:val="20"/>
          <w:szCs w:val="20"/>
          <w:color w:val="auto"/>
        </w:rPr>
        <w:tab/>
      </w:r>
      <w:r>
        <w:rPr>
          <w:rFonts w:ascii="Times New Roman" w:cs="Times New Roman" w:eastAsia="Times New Roman" w:hAnsi="Times New Roman"/>
          <w:sz w:val="13"/>
          <w:szCs w:val="13"/>
          <w:b w:val="1"/>
          <w:bCs w:val="1"/>
          <w:color w:val="00244F"/>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42480"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0000EE"/>
        </w:rPr>
        <w:t>Table of Contents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00254F"/>
        </w:rPr>
        <w:t>Board Evaluations</w:t>
      </w:r>
    </w:p>
    <w:p>
      <w:pPr>
        <w:spacing w:after="0" w:line="199" w:lineRule="exact"/>
        <w:rPr>
          <w:sz w:val="20"/>
          <w:szCs w:val="20"/>
          <w:color w:val="auto"/>
        </w:rPr>
      </w:pPr>
    </w:p>
    <w:p>
      <w:pPr>
        <w:ind w:right="160"/>
        <w:spacing w:after="0" w:line="250" w:lineRule="auto"/>
        <w:rPr>
          <w:sz w:val="20"/>
          <w:szCs w:val="20"/>
          <w:color w:val="auto"/>
        </w:rPr>
      </w:pPr>
      <w:r>
        <w:rPr>
          <w:rFonts w:ascii="Arial" w:cs="Arial" w:eastAsia="Arial" w:hAnsi="Arial"/>
          <w:sz w:val="15"/>
          <w:szCs w:val="15"/>
          <w:color w:val="auto"/>
        </w:rPr>
        <w:t>At the end of 2023, we asked all directors to reply to an anonymous evaluation questionnaire regarding the performance of the Board and its committees during 2023, which evaluation was conducted in consultation with the chair of the Nominating and Corporate Governance Committee and the lead independent director. Feedback from these questionnaires was supplemented by interviews of each director by our lead independent director. The results of the evaluations and interviews were then discussed at a meeting of the Nominating and Corporate Governance Committee, and a full report was also provided to the Board. Consistent with past practice, we consider suggestions from the evaluation process for inclusion during the course of the upcoming year. We plan to continue to conduct evaluations and interviews each year and to periodically modify our procedures to ensure that we are responsive to suggestions from our directors and any future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100965</wp:posOffset>
            </wp:positionV>
            <wp:extent cx="5563235" cy="26111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563235" cy="2611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254F"/>
        </w:rPr>
        <w:t>Engagement with our Stockholders</w:t>
      </w:r>
    </w:p>
    <w:p>
      <w:pPr>
        <w:spacing w:after="0" w:line="200" w:lineRule="exact"/>
        <w:rPr>
          <w:sz w:val="20"/>
          <w:szCs w:val="20"/>
          <w:color w:val="auto"/>
        </w:rPr>
      </w:pPr>
    </w:p>
    <w:p>
      <w:pPr>
        <w:ind w:right="220"/>
        <w:spacing w:after="0" w:line="255" w:lineRule="auto"/>
        <w:rPr>
          <w:sz w:val="20"/>
          <w:szCs w:val="20"/>
          <w:color w:val="auto"/>
        </w:rPr>
      </w:pPr>
      <w:r>
        <w:rPr>
          <w:rFonts w:ascii="Arial" w:cs="Arial" w:eastAsia="Arial" w:hAnsi="Arial"/>
          <w:sz w:val="15"/>
          <w:szCs w:val="15"/>
          <w:color w:val="auto"/>
        </w:rPr>
        <w:t>As investment professionals, we know the value of engaging with companies. We maintain an active and open dialogue with our stockholders through individual virtual and in-person meetings, engagements at conferences, and inviting them to our annual meeting of stockholders. We proactively engage them on a range of topics including corporate governance, and our philosophy and practices relating to ESG. We attempt to incorporate and address the feedback we receive from our stockholders into our practices, as follows:</w:t>
      </w:r>
    </w:p>
    <w:p>
      <w:pPr>
        <w:spacing w:after="0" w:line="154"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470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2"/>
                <w:szCs w:val="12"/>
                <w:b w:val="1"/>
                <w:bCs w:val="1"/>
                <w:color w:val="auto"/>
              </w:rPr>
              <w:t>HOW</w:t>
            </w:r>
          </w:p>
        </w:tc>
        <w:tc>
          <w:tcPr>
            <w:tcW w:w="880" w:type="dxa"/>
            <w:vAlign w:val="bottom"/>
            <w:tcBorders>
              <w:bottom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554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WHAT</w:t>
            </w:r>
          </w:p>
        </w:tc>
      </w:tr>
      <w:tr>
        <w:trPr>
          <w:trHeight w:val="228"/>
        </w:trPr>
        <w:tc>
          <w:tcPr>
            <w:tcW w:w="4700" w:type="dxa"/>
            <w:vAlign w:val="bottom"/>
          </w:tcPr>
          <w:p>
            <w:pPr>
              <w:ind w:left="80"/>
              <w:spacing w:after="0"/>
              <w:rPr>
                <w:sz w:val="20"/>
                <w:szCs w:val="20"/>
                <w:color w:val="auto"/>
              </w:rPr>
            </w:pPr>
            <w:r>
              <w:rPr>
                <w:rFonts w:ascii="Arial" w:cs="Arial" w:eastAsia="Arial" w:hAnsi="Arial"/>
                <w:sz w:val="15"/>
                <w:szCs w:val="15"/>
                <w:color w:val="28C0DA"/>
              </w:rPr>
              <w:t xml:space="preserve">● </w:t>
            </w:r>
            <w:r>
              <w:rPr>
                <w:rFonts w:ascii="Arial" w:cs="Arial" w:eastAsia="Arial" w:hAnsi="Arial"/>
                <w:sz w:val="15"/>
                <w:szCs w:val="15"/>
                <w:color w:val="000000"/>
              </w:rPr>
              <w:t>  Attendance at Conferences</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40" w:type="dxa"/>
            <w:vAlign w:val="bottom"/>
          </w:tcPr>
          <w:p>
            <w:pPr>
              <w:ind w:left="60"/>
              <w:spacing w:after="0"/>
              <w:rPr>
                <w:sz w:val="20"/>
                <w:szCs w:val="20"/>
                <w:color w:val="auto"/>
              </w:rPr>
            </w:pPr>
            <w:r>
              <w:rPr>
                <w:rFonts w:ascii="Arial" w:cs="Arial" w:eastAsia="Arial" w:hAnsi="Arial"/>
                <w:sz w:val="15"/>
                <w:szCs w:val="15"/>
                <w:color w:val="28C0DA"/>
              </w:rPr>
              <w:t xml:space="preserve">● </w:t>
            </w:r>
            <w:r>
              <w:rPr>
                <w:rFonts w:ascii="Arial" w:cs="Arial" w:eastAsia="Arial" w:hAnsi="Arial"/>
                <w:sz w:val="15"/>
                <w:szCs w:val="15"/>
                <w:color w:val="000000"/>
              </w:rPr>
              <w:t>  Strategic and financial performance and goals</w:t>
            </w:r>
          </w:p>
        </w:tc>
      </w:tr>
      <w:tr>
        <w:trPr>
          <w:trHeight w:val="237"/>
        </w:trPr>
        <w:tc>
          <w:tcPr>
            <w:tcW w:w="4700" w:type="dxa"/>
            <w:vAlign w:val="bottom"/>
          </w:tcPr>
          <w:p>
            <w:pPr>
              <w:ind w:left="80"/>
              <w:spacing w:after="0"/>
              <w:rPr>
                <w:sz w:val="20"/>
                <w:szCs w:val="20"/>
                <w:color w:val="auto"/>
              </w:rPr>
            </w:pPr>
            <w:r>
              <w:rPr>
                <w:rFonts w:ascii="Arial" w:cs="Arial" w:eastAsia="Arial" w:hAnsi="Arial"/>
                <w:sz w:val="15"/>
                <w:szCs w:val="15"/>
                <w:color w:val="28C0DA"/>
              </w:rPr>
              <w:t xml:space="preserve">● </w:t>
            </w:r>
            <w:r>
              <w:rPr>
                <w:rFonts w:ascii="Arial" w:cs="Arial" w:eastAsia="Arial" w:hAnsi="Arial"/>
                <w:sz w:val="15"/>
                <w:szCs w:val="15"/>
                <w:color w:val="000000"/>
              </w:rPr>
              <w:t>  Public management update at quarterly earnings calls</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40" w:type="dxa"/>
            <w:vAlign w:val="bottom"/>
          </w:tcPr>
          <w:p>
            <w:pPr>
              <w:ind w:left="60"/>
              <w:spacing w:after="0"/>
              <w:rPr>
                <w:sz w:val="20"/>
                <w:szCs w:val="20"/>
                <w:color w:val="auto"/>
              </w:rPr>
            </w:pPr>
            <w:r>
              <w:rPr>
                <w:rFonts w:ascii="Arial" w:cs="Arial" w:eastAsia="Arial" w:hAnsi="Arial"/>
                <w:sz w:val="15"/>
                <w:szCs w:val="15"/>
                <w:color w:val="28C0DA"/>
              </w:rPr>
              <w:t xml:space="preserve">● </w:t>
            </w:r>
            <w:r>
              <w:rPr>
                <w:rFonts w:ascii="Arial" w:cs="Arial" w:eastAsia="Arial" w:hAnsi="Arial"/>
                <w:sz w:val="15"/>
                <w:szCs w:val="15"/>
                <w:color w:val="000000"/>
              </w:rPr>
              <w:t>  Corporate and business strategy</w:t>
            </w:r>
          </w:p>
        </w:tc>
      </w:tr>
      <w:tr>
        <w:trPr>
          <w:trHeight w:val="237"/>
        </w:trPr>
        <w:tc>
          <w:tcPr>
            <w:tcW w:w="4700" w:type="dxa"/>
            <w:vAlign w:val="bottom"/>
          </w:tcPr>
          <w:p>
            <w:pPr>
              <w:ind w:left="80"/>
              <w:spacing w:after="0"/>
              <w:rPr>
                <w:sz w:val="20"/>
                <w:szCs w:val="20"/>
                <w:color w:val="auto"/>
              </w:rPr>
            </w:pPr>
            <w:r>
              <w:rPr>
                <w:rFonts w:ascii="Arial" w:cs="Arial" w:eastAsia="Arial" w:hAnsi="Arial"/>
                <w:sz w:val="15"/>
                <w:szCs w:val="15"/>
                <w:color w:val="28C0DA"/>
              </w:rPr>
              <w:t xml:space="preserve">● </w:t>
            </w:r>
            <w:r>
              <w:rPr>
                <w:rFonts w:ascii="Arial" w:cs="Arial" w:eastAsia="Arial" w:hAnsi="Arial"/>
                <w:sz w:val="15"/>
                <w:szCs w:val="15"/>
                <w:color w:val="000000"/>
              </w:rPr>
              <w:t>  Individual stockholder calls and meetings</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40" w:type="dxa"/>
            <w:vAlign w:val="bottom"/>
          </w:tcPr>
          <w:p>
            <w:pPr>
              <w:ind w:left="60"/>
              <w:spacing w:after="0"/>
              <w:rPr>
                <w:sz w:val="20"/>
                <w:szCs w:val="20"/>
                <w:color w:val="auto"/>
              </w:rPr>
            </w:pPr>
            <w:r>
              <w:rPr>
                <w:rFonts w:ascii="Arial" w:cs="Arial" w:eastAsia="Arial" w:hAnsi="Arial"/>
                <w:sz w:val="15"/>
                <w:szCs w:val="15"/>
                <w:color w:val="28C0DA"/>
              </w:rPr>
              <w:t xml:space="preserve">● </w:t>
            </w:r>
            <w:r>
              <w:rPr>
                <w:rFonts w:ascii="Arial" w:cs="Arial" w:eastAsia="Arial" w:hAnsi="Arial"/>
                <w:sz w:val="15"/>
                <w:szCs w:val="15"/>
                <w:color w:val="000000"/>
              </w:rPr>
              <w:t>  Board composition and leadership structure</w:t>
            </w:r>
          </w:p>
        </w:tc>
      </w:tr>
      <w:tr>
        <w:trPr>
          <w:trHeight w:val="279"/>
        </w:trPr>
        <w:tc>
          <w:tcPr>
            <w:tcW w:w="4700" w:type="dxa"/>
            <w:vAlign w:val="bottom"/>
          </w:tcPr>
          <w:p>
            <w:pPr>
              <w:ind w:left="80"/>
              <w:spacing w:after="0"/>
              <w:rPr>
                <w:sz w:val="20"/>
                <w:szCs w:val="20"/>
                <w:color w:val="auto"/>
              </w:rPr>
            </w:pPr>
            <w:r>
              <w:rPr>
                <w:rFonts w:ascii="Arial" w:cs="Arial" w:eastAsia="Arial" w:hAnsi="Arial"/>
                <w:sz w:val="15"/>
                <w:szCs w:val="15"/>
                <w:color w:val="28C0DA"/>
              </w:rPr>
              <w:t xml:space="preserve">● </w:t>
            </w:r>
            <w:r>
              <w:rPr>
                <w:rFonts w:ascii="Arial" w:cs="Arial" w:eastAsia="Arial" w:hAnsi="Arial"/>
                <w:sz w:val="15"/>
                <w:szCs w:val="15"/>
                <w:color w:val="000000"/>
              </w:rPr>
              <w:t>  Annual Meeting of Stockholders</w:t>
            </w:r>
          </w:p>
        </w:tc>
        <w:tc>
          <w:tcPr>
            <w:tcW w:w="6540" w:type="dxa"/>
            <w:vAlign w:val="bottom"/>
            <w:gridSpan w:val="3"/>
          </w:tcPr>
          <w:p>
            <w:pPr>
              <w:ind w:left="880"/>
              <w:spacing w:after="0" w:line="278" w:lineRule="exact"/>
              <w:rPr>
                <w:sz w:val="20"/>
                <w:szCs w:val="20"/>
                <w:color w:val="auto"/>
              </w:rPr>
            </w:pPr>
            <w:r>
              <w:rPr>
                <w:rFonts w:ascii="Arial" w:cs="Arial" w:eastAsia="Arial" w:hAnsi="Arial"/>
                <w:sz w:val="29"/>
                <w:szCs w:val="29"/>
                <w:color w:val="000000"/>
                <w:vertAlign w:val="subscript"/>
              </w:rPr>
              <w:t> </w:t>
            </w:r>
            <w:r>
              <w:rPr>
                <w:rFonts w:ascii="Arial" w:cs="Arial" w:eastAsia="Arial" w:hAnsi="Arial"/>
                <w:sz w:val="15"/>
                <w:szCs w:val="15"/>
                <w:color w:val="28C0DA"/>
              </w:rPr>
              <w:t xml:space="preserve">  ● </w:t>
            </w:r>
            <w:r>
              <w:rPr>
                <w:rFonts w:ascii="Arial" w:cs="Arial" w:eastAsia="Arial" w:hAnsi="Arial"/>
                <w:sz w:val="15"/>
                <w:szCs w:val="15"/>
                <w:color w:val="000000"/>
              </w:rPr>
              <w:t>  Corporate governance and industry trends, including ESG considerations</w:t>
            </w:r>
          </w:p>
        </w:tc>
      </w:tr>
    </w:tbl>
    <w:p>
      <w:pPr>
        <w:spacing w:after="0" w:line="1" w:lineRule="exact"/>
        <w:rPr>
          <w:sz w:val="20"/>
          <w:szCs w:val="20"/>
          <w:color w:val="auto"/>
        </w:rPr>
      </w:pPr>
    </w:p>
    <w:p>
      <w:pPr>
        <w:sectPr>
          <w:pgSz w:w="11900" w:h="16838" w:orient="portrait"/>
          <w:cols w:equalWidth="0" w:num="1">
            <w:col w:w="11240"/>
          </w:cols>
          <w:pgMar w:left="320" w:top="223" w:right="339" w:bottom="1440" w:gutter="0" w:footer="0" w:header="0"/>
        </w:sectPr>
      </w:pPr>
    </w:p>
    <w:p>
      <w:pPr>
        <w:ind w:left="260" w:right="600" w:hanging="177"/>
        <w:spacing w:after="0" w:line="259" w:lineRule="auto"/>
        <w:tabs>
          <w:tab w:leader="none" w:pos="212" w:val="left"/>
        </w:tabs>
        <w:numPr>
          <w:ilvl w:val="0"/>
          <w:numId w:val="40"/>
        </w:numPr>
        <w:rPr>
          <w:rFonts w:ascii="Arial" w:cs="Arial" w:eastAsia="Arial" w:hAnsi="Arial"/>
          <w:sz w:val="15"/>
          <w:szCs w:val="15"/>
          <w:color w:val="28C0DA"/>
        </w:rPr>
      </w:pPr>
      <w:r>
        <w:rPr>
          <w:rFonts w:ascii="Arial" w:cs="Arial" w:eastAsia="Arial" w:hAnsi="Arial"/>
          <w:sz w:val="15"/>
          <w:szCs w:val="15"/>
          <w:color w:val="auto"/>
        </w:rPr>
        <w:t>  Outreach, calls, and meetings with investors' corporate governance departments</w:t>
      </w:r>
    </w:p>
    <w:p>
      <w:pPr>
        <w:spacing w:after="0" w:line="26" w:lineRule="exact"/>
        <w:rPr>
          <w:rFonts w:ascii="Arial" w:cs="Arial" w:eastAsia="Arial" w:hAnsi="Arial"/>
          <w:sz w:val="15"/>
          <w:szCs w:val="15"/>
          <w:color w:val="28C0DA"/>
        </w:rPr>
      </w:pPr>
    </w:p>
    <w:p>
      <w:pPr>
        <w:ind w:left="260" w:hanging="177"/>
        <w:spacing w:after="0" w:line="278" w:lineRule="auto"/>
        <w:tabs>
          <w:tab w:leader="none" w:pos="212" w:val="left"/>
        </w:tabs>
        <w:numPr>
          <w:ilvl w:val="0"/>
          <w:numId w:val="40"/>
        </w:numPr>
        <w:rPr>
          <w:rFonts w:ascii="Arial" w:cs="Arial" w:eastAsia="Arial" w:hAnsi="Arial"/>
          <w:sz w:val="15"/>
          <w:szCs w:val="15"/>
          <w:color w:val="28C0DA"/>
        </w:rPr>
      </w:pPr>
      <w:r>
        <w:rPr>
          <w:rFonts w:ascii="Arial" w:cs="Arial" w:eastAsia="Arial" w:hAnsi="Arial"/>
          <w:sz w:val="15"/>
          <w:szCs w:val="15"/>
          <w:color w:val="auto"/>
        </w:rPr>
        <w:t>  Universal access to an email address for stockholders wishing to contact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353949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53949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30" w:hanging="130"/>
        <w:spacing w:after="0"/>
        <w:tabs>
          <w:tab w:leader="none" w:pos="130" w:val="left"/>
        </w:tabs>
        <w:numPr>
          <w:ilvl w:val="0"/>
          <w:numId w:val="41"/>
        </w:numPr>
        <w:rPr>
          <w:rFonts w:ascii="Arial" w:cs="Arial" w:eastAsia="Arial" w:hAnsi="Arial"/>
          <w:sz w:val="15"/>
          <w:szCs w:val="15"/>
          <w:color w:val="28C0DA"/>
        </w:rPr>
      </w:pPr>
      <w:r>
        <w:rPr>
          <w:rFonts w:ascii="Arial" w:cs="Arial" w:eastAsia="Arial" w:hAnsi="Arial"/>
          <w:sz w:val="15"/>
          <w:szCs w:val="15"/>
          <w:color w:val="auto"/>
        </w:rPr>
        <w:t>  Regulatory considerations</w:t>
      </w:r>
    </w:p>
    <w:p>
      <w:pPr>
        <w:spacing w:after="0" w:line="50" w:lineRule="exact"/>
        <w:rPr>
          <w:rFonts w:ascii="Arial" w:cs="Arial" w:eastAsia="Arial" w:hAnsi="Arial"/>
          <w:sz w:val="15"/>
          <w:szCs w:val="15"/>
          <w:color w:val="28C0DA"/>
        </w:rPr>
      </w:pPr>
    </w:p>
    <w:p>
      <w:pPr>
        <w:ind w:left="130" w:hanging="130"/>
        <w:spacing w:after="0"/>
        <w:tabs>
          <w:tab w:leader="none" w:pos="130" w:val="left"/>
        </w:tabs>
        <w:numPr>
          <w:ilvl w:val="0"/>
          <w:numId w:val="41"/>
        </w:numPr>
        <w:rPr>
          <w:rFonts w:ascii="Arial" w:cs="Arial" w:eastAsia="Arial" w:hAnsi="Arial"/>
          <w:sz w:val="14"/>
          <w:szCs w:val="14"/>
          <w:color w:val="28C0DA"/>
        </w:rPr>
      </w:pPr>
      <w:r>
        <w:rPr>
          <w:rFonts w:ascii="Arial" w:cs="Arial" w:eastAsia="Arial" w:hAnsi="Arial"/>
          <w:sz w:val="14"/>
          <w:szCs w:val="14"/>
          <w:color w:val="auto"/>
        </w:rPr>
        <w:t>  Respond to inquiries concerning broad range of topics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238760</wp:posOffset>
            </wp:positionV>
            <wp:extent cx="353187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531870" cy="7620"/>
                    </a:xfrm>
                    <a:prstGeom prst="rect">
                      <a:avLst/>
                    </a:prstGeom>
                    <a:noFill/>
                  </pic:spPr>
                </pic:pic>
              </a:graphicData>
            </a:graphic>
          </wp:anchor>
        </w:drawing>
      </w:r>
    </w:p>
    <w:p>
      <w:pPr>
        <w:spacing w:after="0" w:line="551" w:lineRule="exact"/>
        <w:rPr>
          <w:sz w:val="20"/>
          <w:szCs w:val="20"/>
          <w:color w:val="auto"/>
        </w:rPr>
      </w:pPr>
    </w:p>
    <w:p>
      <w:pPr>
        <w:sectPr>
          <w:pgSz w:w="11900" w:h="16838" w:orient="portrait"/>
          <w:cols w:equalWidth="0" w:num="2">
            <w:col w:w="5320" w:space="450"/>
            <w:col w:w="5470"/>
          </w:cols>
          <w:pgMar w:left="320" w:top="223" w:right="339" w:bottom="1440" w:gutter="0" w:footer="0" w:header="0"/>
          <w:type w:val="continuous"/>
        </w:sectPr>
      </w:pPr>
    </w:p>
    <w:p>
      <w:pPr>
        <w:ind w:right="20"/>
        <w:spacing w:after="0" w:line="278" w:lineRule="auto"/>
        <w:rPr>
          <w:sz w:val="20"/>
          <w:szCs w:val="20"/>
          <w:color w:val="auto"/>
        </w:rPr>
      </w:pPr>
      <w:r>
        <w:rPr>
          <w:rFonts w:ascii="Arial" w:cs="Arial" w:eastAsia="Arial" w:hAnsi="Arial"/>
          <w:sz w:val="15"/>
          <w:szCs w:val="15"/>
          <w:color w:val="auto"/>
        </w:rPr>
        <w:t>Over the last several years, we have sought new ways to interact and communicate with our stockholders and other key stakeholders. During the prior year, we held over 85 individual meetings with our investors to discuss the Company's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00" w:type="dxa"/>
            <w:vAlign w:val="bottom"/>
          </w:tcPr>
          <w:p>
            <w:pPr>
              <w:ind w:left="9500"/>
              <w:spacing w:after="0"/>
              <w:rPr>
                <w:sz w:val="20"/>
                <w:szCs w:val="20"/>
                <w:color w:val="auto"/>
              </w:rPr>
            </w:pPr>
            <w:r>
              <w:rPr>
                <w:rFonts w:ascii="Times New Roman" w:cs="Times New Roman" w:eastAsia="Times New Roman" w:hAnsi="Times New Roman"/>
                <w:sz w:val="13"/>
                <w:szCs w:val="13"/>
                <w:b w:val="1"/>
                <w:bCs w:val="1"/>
                <w:color w:val="00254F"/>
              </w:rPr>
              <w:t xml:space="preserve">2024 </w:t>
            </w:r>
            <w:r>
              <w:rPr>
                <w:rFonts w:ascii="Times New Roman" w:cs="Times New Roman" w:eastAsia="Times New Roman" w:hAnsi="Times New Roman"/>
                <w:sz w:val="13"/>
                <w:szCs w:val="13"/>
                <w:color w:val="00254F"/>
              </w:rPr>
              <w:t>Proxy Statement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244F"/>
              </w:rPr>
              <w:t>27</w:t>
            </w:r>
          </w:p>
        </w:tc>
      </w:tr>
      <w:tr>
        <w:trPr>
          <w:trHeight w:val="385"/>
        </w:trPr>
        <w:tc>
          <w:tcPr>
            <w:tcW w:w="10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3"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7"/>
          <w:szCs w:val="17"/>
          <w:u w:val="single" w:color="auto"/>
          <w:color w:val="0000EE"/>
        </w:rPr>
        <w:t>Table of Contents</w:t>
      </w:r>
    </w:p>
    <w:p>
      <w:pPr>
        <w:spacing w:after="0" w:line="371" w:lineRule="exact"/>
        <w:rPr>
          <w:sz w:val="20"/>
          <w:szCs w:val="20"/>
          <w:color w:val="auto"/>
        </w:rPr>
      </w:pPr>
    </w:p>
    <w:p>
      <w:pPr>
        <w:ind w:right="40"/>
        <w:spacing w:after="0" w:line="269" w:lineRule="auto"/>
        <w:rPr>
          <w:sz w:val="20"/>
          <w:szCs w:val="20"/>
          <w:color w:val="auto"/>
        </w:rPr>
      </w:pPr>
      <w:r>
        <w:rPr>
          <w:rFonts w:ascii="Arial" w:cs="Arial" w:eastAsia="Arial" w:hAnsi="Arial"/>
          <w:sz w:val="14"/>
          <w:szCs w:val="14"/>
          <w:color w:val="auto"/>
        </w:rPr>
        <w:t>performance and progress against our long-term strategy, as well as broader trends across the investment management industry. Participating in such meetings were representatives from our investor relations, finance, legal, and ESG departments, who provided a meaningful discussion about the Company's activities. In addition, during 2023 we initiated quarterly earnings calls with our CEO and President, our Chief Financial Officer (CFO) and Treasurer, and our Head of Global Investments and Chief Investment Officer (CIO), during which they provided investors an overview of the state of the Company and responded to questions. Approximately 200 external participants have participated in these earnings' calls each quarter. Additionally, in an effort to provide greater transparency around our efforts and progress related to our ESG initiatives, we also published our 2022 ESG Corporate Annual Report and our ESG Update for Stockholders. We also engage regularly with the investment firms that cover our stock, conducting over 75 calls or meetings during 2023 with these firms. We look forward to continuing to expand our stockholder engagement efforts.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54F"/>
        </w:rPr>
        <w:t>Stockholder Proposals</w:t>
      </w:r>
    </w:p>
    <w:p>
      <w:pPr>
        <w:spacing w:after="0" w:line="187" w:lineRule="exact"/>
        <w:rPr>
          <w:sz w:val="20"/>
          <w:szCs w:val="20"/>
          <w:color w:val="auto"/>
        </w:rPr>
      </w:pPr>
    </w:p>
    <w:p>
      <w:pPr>
        <w:ind w:right="100"/>
        <w:spacing w:after="0" w:line="255" w:lineRule="auto"/>
        <w:rPr>
          <w:sz w:val="20"/>
          <w:szCs w:val="20"/>
          <w:color w:val="auto"/>
        </w:rPr>
      </w:pPr>
      <w:r>
        <w:rPr>
          <w:rFonts w:ascii="Arial" w:cs="Arial" w:eastAsia="Arial" w:hAnsi="Arial"/>
          <w:sz w:val="15"/>
          <w:szCs w:val="15"/>
          <w:color w:val="auto"/>
        </w:rPr>
        <w:t>From time to time, we receive proposals from our stockholders intended for inclusion in our proxy statement. We typically work with Company management in reviewing these proposals and determining an appropriate course of action in response, including, where necessary, a statement of our position for or in opposition to the proposal from the stockholder. Often, in response, the Board will ask management to engage with a stockholder on their proposal, which has led to meaningful dialogue and assisted the Board in understanding the concerns of our stockholders.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54F"/>
        </w:rPr>
        <w:t>Stockholder Communications with the Board</w:t>
      </w:r>
    </w:p>
    <w:p>
      <w:pPr>
        <w:spacing w:after="0" w:line="187" w:lineRule="exact"/>
        <w:rPr>
          <w:sz w:val="20"/>
          <w:szCs w:val="20"/>
          <w:color w:val="auto"/>
        </w:rPr>
      </w:pPr>
    </w:p>
    <w:p>
      <w:pPr>
        <w:ind w:right="40"/>
        <w:spacing w:after="0" w:line="278" w:lineRule="auto"/>
        <w:rPr>
          <w:sz w:val="20"/>
          <w:szCs w:val="20"/>
          <w:color w:val="auto"/>
        </w:rPr>
      </w:pPr>
      <w:r>
        <w:rPr>
          <w:rFonts w:ascii="Arial" w:cs="Arial" w:eastAsia="Arial" w:hAnsi="Arial"/>
          <w:sz w:val="15"/>
          <w:szCs w:val="15"/>
          <w:color w:val="auto"/>
        </w:rPr>
        <w:t>Our directors are interested in hearing the opinions of our stockholders. The Nominating and Corporate Governance Committee has established the following procedures in order to facilitate communications between our stockholders and our Board:</w:t>
      </w:r>
    </w:p>
    <w:p>
      <w:pPr>
        <w:spacing w:after="0" w:line="125" w:lineRule="exact"/>
        <w:rPr>
          <w:sz w:val="20"/>
          <w:szCs w:val="20"/>
          <w:color w:val="auto"/>
        </w:rPr>
      </w:pPr>
    </w:p>
    <w:p>
      <w:pPr>
        <w:ind w:left="180" w:right="380" w:hanging="180"/>
        <w:spacing w:after="0" w:line="253" w:lineRule="auto"/>
        <w:tabs>
          <w:tab w:leader="none" w:pos="132" w:val="left"/>
        </w:tabs>
        <w:numPr>
          <w:ilvl w:val="0"/>
          <w:numId w:val="42"/>
        </w:numPr>
        <w:rPr>
          <w:rFonts w:ascii="Arial" w:cs="Arial" w:eastAsia="Arial" w:hAnsi="Arial"/>
          <w:sz w:val="15"/>
          <w:szCs w:val="15"/>
          <w:color w:val="28C0DA"/>
        </w:rPr>
      </w:pPr>
      <w:r>
        <w:rPr>
          <w:rFonts w:ascii="Arial" w:cs="Arial" w:eastAsia="Arial" w:hAnsi="Arial"/>
          <w:sz w:val="15"/>
          <w:szCs w:val="15"/>
          <w:color w:val="auto"/>
        </w:rPr>
        <w:t>  Stockholders may send correspondence, which should indicate that the sender is a stockholder, to our Board or to any individual director by mail to T. Rowe Price Group, Inc., c/o general counsel, PO Box 17134, Baltimore, MD 21297-1134, or by email to contact_the_board@troweprice.com or by internet at</w:t>
      </w:r>
    </w:p>
    <w:p>
      <w:pPr>
        <w:ind w:left="180"/>
        <w:spacing w:after="0"/>
        <w:rPr>
          <w:sz w:val="20"/>
          <w:szCs w:val="20"/>
          <w:color w:val="auto"/>
        </w:rPr>
      </w:pPr>
      <w:r>
        <w:rPr>
          <w:rFonts w:ascii="Arial" w:cs="Arial" w:eastAsia="Arial" w:hAnsi="Arial"/>
          <w:sz w:val="15"/>
          <w:szCs w:val="15"/>
          <w:color w:val="auto"/>
        </w:rPr>
        <w:t>investors.troweprice.com/investor-resources/contact-us.</w:t>
      </w:r>
    </w:p>
    <w:p>
      <w:pPr>
        <w:spacing w:after="0" w:line="234" w:lineRule="auto"/>
        <w:rPr>
          <w:sz w:val="20"/>
          <w:szCs w:val="20"/>
          <w:color w:val="auto"/>
        </w:rPr>
      </w:pPr>
      <w:r>
        <w:rPr>
          <w:rFonts w:ascii="Arial" w:cs="Arial" w:eastAsia="Arial" w:hAnsi="Arial"/>
          <w:sz w:val="8"/>
          <w:szCs w:val="8"/>
          <w:color w:val="auto"/>
        </w:rPr>
        <w:t> </w:t>
      </w:r>
    </w:p>
    <w:p>
      <w:pPr>
        <w:jc w:val="both"/>
        <w:ind w:left="180" w:right="180" w:hanging="180"/>
        <w:spacing w:after="0" w:line="260" w:lineRule="auto"/>
        <w:tabs>
          <w:tab w:leader="none" w:pos="132" w:val="left"/>
        </w:tabs>
        <w:numPr>
          <w:ilvl w:val="0"/>
          <w:numId w:val="43"/>
        </w:numPr>
        <w:rPr>
          <w:rFonts w:ascii="Arial" w:cs="Arial" w:eastAsia="Arial" w:hAnsi="Arial"/>
          <w:sz w:val="14"/>
          <w:szCs w:val="14"/>
          <w:color w:val="28C0DA"/>
        </w:rPr>
      </w:pPr>
      <w:r>
        <w:rPr>
          <w:rFonts w:ascii="Arial" w:cs="Arial" w:eastAsia="Arial" w:hAnsi="Arial"/>
          <w:sz w:val="14"/>
          <w:szCs w:val="14"/>
          <w:color w:val="auto"/>
        </w:rPr>
        <w:t>  Our general counsel will be responsible for the first review and logging of this correspondence. The general counsel will forward the communication to the director or directors to whom it is addressed unless it is a type of correspondence that the Nominating and Corporate Governance Committee has identified as correspondence</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that may be retained in our files and not sent to directors.</w:t>
      </w:r>
    </w:p>
    <w:p>
      <w:pPr>
        <w:spacing w:after="0" w:line="234" w:lineRule="auto"/>
        <w:rPr>
          <w:sz w:val="20"/>
          <w:szCs w:val="20"/>
          <w:color w:val="auto"/>
        </w:rPr>
      </w:pPr>
      <w:r>
        <w:rPr>
          <w:rFonts w:ascii="Arial" w:cs="Arial" w:eastAsia="Arial" w:hAnsi="Arial"/>
          <w:sz w:val="8"/>
          <w:szCs w:val="8"/>
          <w:color w:val="auto"/>
        </w:rPr>
        <w:t> </w:t>
      </w:r>
    </w:p>
    <w:p>
      <w:pPr>
        <w:ind w:left="140" w:hanging="140"/>
        <w:spacing w:after="0"/>
        <w:tabs>
          <w:tab w:leader="none" w:pos="140" w:val="left"/>
        </w:tabs>
        <w:numPr>
          <w:ilvl w:val="0"/>
          <w:numId w:val="44"/>
        </w:numPr>
        <w:rPr>
          <w:rFonts w:ascii="Arial" w:cs="Arial" w:eastAsia="Arial" w:hAnsi="Arial"/>
          <w:sz w:val="15"/>
          <w:szCs w:val="15"/>
          <w:color w:val="28C0DA"/>
        </w:rPr>
      </w:pPr>
      <w:r>
        <w:rPr>
          <w:rFonts w:ascii="Arial" w:cs="Arial" w:eastAsia="Arial" w:hAnsi="Arial"/>
          <w:sz w:val="15"/>
          <w:szCs w:val="15"/>
          <w:color w:val="auto"/>
        </w:rPr>
        <w:t>  The Nominating and Corporate Governance Committee has authorized the general counsel to retain and not send to directors the following types of communications:</w:t>
      </w:r>
    </w:p>
    <w:p>
      <w:pPr>
        <w:spacing w:after="0" w:line="234" w:lineRule="auto"/>
        <w:rPr>
          <w:sz w:val="20"/>
          <w:szCs w:val="20"/>
          <w:color w:val="auto"/>
        </w:rPr>
      </w:pPr>
      <w:r>
        <w:rPr>
          <w:rFonts w:ascii="Arial" w:cs="Arial" w:eastAsia="Arial" w:hAnsi="Arial"/>
          <w:sz w:val="8"/>
          <w:szCs w:val="8"/>
          <w:color w:val="auto"/>
        </w:rPr>
        <w:t> </w:t>
      </w:r>
    </w:p>
    <w:p>
      <w:pPr>
        <w:ind w:left="320" w:hanging="140"/>
        <w:spacing w:after="0"/>
        <w:tabs>
          <w:tab w:leader="none" w:pos="320" w:val="left"/>
        </w:tabs>
        <w:numPr>
          <w:ilvl w:val="0"/>
          <w:numId w:val="45"/>
        </w:numPr>
        <w:rPr>
          <w:rFonts w:ascii="Arial" w:cs="Arial" w:eastAsia="Arial" w:hAnsi="Arial"/>
          <w:sz w:val="15"/>
          <w:szCs w:val="15"/>
          <w:color w:val="28C0DA"/>
        </w:rPr>
      </w:pPr>
      <w:r>
        <w:rPr>
          <w:rFonts w:ascii="Arial" w:cs="Arial" w:eastAsia="Arial" w:hAnsi="Arial"/>
          <w:sz w:val="15"/>
          <w:szCs w:val="15"/>
          <w:color w:val="auto"/>
        </w:rPr>
        <w:t>  Advertising or promotional in nature (offering goods or services);</w:t>
      </w:r>
    </w:p>
    <w:p>
      <w:pPr>
        <w:ind w:left="300"/>
        <w:spacing w:after="0" w:line="234" w:lineRule="auto"/>
        <w:rPr>
          <w:sz w:val="20"/>
          <w:szCs w:val="20"/>
          <w:color w:val="auto"/>
        </w:rPr>
      </w:pPr>
      <w:r>
        <w:rPr>
          <w:rFonts w:ascii="Arial" w:cs="Arial" w:eastAsia="Arial" w:hAnsi="Arial"/>
          <w:sz w:val="8"/>
          <w:szCs w:val="8"/>
          <w:color w:val="auto"/>
        </w:rPr>
        <w:t> </w:t>
      </w:r>
    </w:p>
    <w:p>
      <w:pPr>
        <w:ind w:left="360" w:right="220" w:hanging="180"/>
        <w:spacing w:after="0" w:line="260" w:lineRule="auto"/>
        <w:tabs>
          <w:tab w:leader="none" w:pos="312" w:val="left"/>
        </w:tabs>
        <w:numPr>
          <w:ilvl w:val="0"/>
          <w:numId w:val="46"/>
        </w:numPr>
        <w:rPr>
          <w:rFonts w:ascii="Arial" w:cs="Arial" w:eastAsia="Arial" w:hAnsi="Arial"/>
          <w:sz w:val="14"/>
          <w:szCs w:val="14"/>
          <w:color w:val="28C0DA"/>
        </w:rPr>
      </w:pPr>
      <w:r>
        <w:rPr>
          <w:rFonts w:ascii="Arial" w:cs="Arial" w:eastAsia="Arial" w:hAnsi="Arial"/>
          <w:sz w:val="14"/>
          <w:szCs w:val="14"/>
          <w:color w:val="auto"/>
        </w:rPr>
        <w:t>  Complaints by clients with respect to ordinary course of business customer service and satisfaction issues; provided, however, that the general counsel will notify the chair of the Nominating and Corporate Governance Committee of any complaints that, in the opinion of the general counsel, warrant immediate committee</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attention by their nature or frequency; or</w:t>
      </w:r>
    </w:p>
    <w:p>
      <w:pPr>
        <w:ind w:left="300"/>
        <w:spacing w:after="0" w:line="234" w:lineRule="auto"/>
        <w:rPr>
          <w:sz w:val="20"/>
          <w:szCs w:val="20"/>
          <w:color w:val="auto"/>
        </w:rPr>
      </w:pPr>
      <w:r>
        <w:rPr>
          <w:rFonts w:ascii="Arial" w:cs="Arial" w:eastAsia="Arial" w:hAnsi="Arial"/>
          <w:sz w:val="8"/>
          <w:szCs w:val="8"/>
          <w:color w:val="auto"/>
        </w:rPr>
        <w:t> </w:t>
      </w:r>
    </w:p>
    <w:p>
      <w:pPr>
        <w:ind w:left="320" w:hanging="140"/>
        <w:spacing w:after="0"/>
        <w:tabs>
          <w:tab w:leader="none" w:pos="320" w:val="left"/>
        </w:tabs>
        <w:numPr>
          <w:ilvl w:val="0"/>
          <w:numId w:val="47"/>
        </w:numPr>
        <w:rPr>
          <w:rFonts w:ascii="Arial" w:cs="Arial" w:eastAsia="Arial" w:hAnsi="Arial"/>
          <w:sz w:val="15"/>
          <w:szCs w:val="15"/>
          <w:color w:val="28C0DA"/>
        </w:rPr>
      </w:pPr>
      <w:r>
        <w:rPr>
          <w:rFonts w:ascii="Arial" w:cs="Arial" w:eastAsia="Arial" w:hAnsi="Arial"/>
          <w:sz w:val="15"/>
          <w:szCs w:val="15"/>
          <w:color w:val="auto"/>
        </w:rPr>
        <w:t>  Those clearly unrelated to our business, industry, management, Board, or committee matters.</w:t>
      </w:r>
    </w:p>
    <w:p>
      <w:pPr>
        <w:spacing w:after="0" w:line="234" w:lineRule="auto"/>
        <w:rPr>
          <w:sz w:val="20"/>
          <w:szCs w:val="20"/>
          <w:color w:val="auto"/>
        </w:rPr>
      </w:pPr>
      <w:r>
        <w:rPr>
          <w:rFonts w:ascii="Arial" w:cs="Arial" w:eastAsia="Arial" w:hAnsi="Arial"/>
          <w:sz w:val="8"/>
          <w:szCs w:val="8"/>
          <w:color w:val="auto"/>
        </w:rPr>
        <w:t> </w:t>
      </w:r>
    </w:p>
    <w:p>
      <w:pPr>
        <w:ind w:left="180" w:right="40" w:hanging="180"/>
        <w:spacing w:after="0" w:line="260" w:lineRule="auto"/>
        <w:tabs>
          <w:tab w:leader="none" w:pos="132" w:val="left"/>
        </w:tabs>
        <w:numPr>
          <w:ilvl w:val="0"/>
          <w:numId w:val="48"/>
        </w:numPr>
        <w:rPr>
          <w:rFonts w:ascii="Arial" w:cs="Arial" w:eastAsia="Arial" w:hAnsi="Arial"/>
          <w:sz w:val="14"/>
          <w:szCs w:val="14"/>
          <w:color w:val="28C0DA"/>
        </w:rPr>
      </w:pPr>
      <w:r>
        <w:rPr>
          <w:rFonts w:ascii="Arial" w:cs="Arial" w:eastAsia="Arial" w:hAnsi="Arial"/>
          <w:sz w:val="14"/>
          <w:szCs w:val="14"/>
          <w:color w:val="auto"/>
        </w:rPr>
        <w:t>  These types of communications will be logged and filed but not circulated to directors. Except as described above, the general counsel will not screen communications sent to directors. The log of stockholder correspondence is available to members of the Nominating and Corporate Governance Committee for inspection. At least</w:t>
      </w:r>
    </w:p>
    <w:p>
      <w:pPr>
        <w:spacing w:after="0" w:line="1" w:lineRule="exact"/>
        <w:rPr>
          <w:sz w:val="20"/>
          <w:szCs w:val="20"/>
          <w:color w:val="auto"/>
        </w:rPr>
      </w:pPr>
    </w:p>
    <w:p>
      <w:pPr>
        <w:ind w:left="180" w:right="260"/>
        <w:spacing w:after="0" w:line="243" w:lineRule="auto"/>
        <w:rPr>
          <w:sz w:val="20"/>
          <w:szCs w:val="20"/>
          <w:color w:val="auto"/>
        </w:rPr>
      </w:pPr>
      <w:r>
        <w:rPr>
          <w:rFonts w:ascii="Arial" w:cs="Arial" w:eastAsia="Arial" w:hAnsi="Arial"/>
          <w:sz w:val="15"/>
          <w:szCs w:val="15"/>
          <w:color w:val="auto"/>
        </w:rPr>
        <w:t>once each year, the general counsel will provide to the Nominating and Corporate Governance Committee a summary of the communications received from stockholders, including the communications not sent to directors in accordance with screening procedures approved by the Nominating and Corporate Governance Committee.</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 </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By the Nominating and Corporate Governance Committee of the</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Board of Directors of T. Rowe Price Group, Inc.</w:t>
      </w:r>
    </w:p>
    <w:p>
      <w:pPr>
        <w:spacing w:after="0" w:line="163" w:lineRule="exact"/>
        <w:rPr>
          <w:sz w:val="20"/>
          <w:szCs w:val="20"/>
          <w:color w:val="auto"/>
        </w:rPr>
      </w:pPr>
    </w:p>
    <w:p>
      <w:pPr>
        <w:ind w:left="8440"/>
        <w:spacing w:after="0"/>
        <w:rPr>
          <w:sz w:val="20"/>
          <w:szCs w:val="20"/>
          <w:color w:val="auto"/>
        </w:rPr>
      </w:pPr>
      <w:r>
        <w:rPr>
          <w:rFonts w:ascii="Arial" w:cs="Arial" w:eastAsia="Arial" w:hAnsi="Arial"/>
          <w:sz w:val="15"/>
          <w:szCs w:val="15"/>
          <w:color w:val="auto"/>
        </w:rPr>
        <w:t>Dr. Freeman A. Hrabowski, III, Chair</w:t>
      </w:r>
    </w:p>
    <w:p>
      <w:pPr>
        <w:spacing w:after="0" w:line="16" w:lineRule="exact"/>
        <w:rPr>
          <w:sz w:val="20"/>
          <w:szCs w:val="20"/>
          <w:color w:val="auto"/>
        </w:rPr>
      </w:pPr>
    </w:p>
    <w:p>
      <w:pPr>
        <w:ind w:left="8440"/>
        <w:spacing w:after="0"/>
        <w:rPr>
          <w:sz w:val="20"/>
          <w:szCs w:val="20"/>
          <w:color w:val="auto"/>
        </w:rPr>
      </w:pPr>
      <w:r>
        <w:rPr>
          <w:rFonts w:ascii="Arial" w:cs="Arial" w:eastAsia="Arial" w:hAnsi="Arial"/>
          <w:sz w:val="15"/>
          <w:szCs w:val="15"/>
          <w:color w:val="auto"/>
        </w:rPr>
        <w:t>Eileen P. Rominger</w:t>
      </w:r>
    </w:p>
    <w:p>
      <w:pPr>
        <w:spacing w:after="0" w:line="2" w:lineRule="exact"/>
        <w:rPr>
          <w:sz w:val="20"/>
          <w:szCs w:val="20"/>
          <w:color w:val="auto"/>
        </w:rPr>
      </w:pPr>
    </w:p>
    <w:p>
      <w:pPr>
        <w:ind w:left="8440"/>
        <w:spacing w:after="0"/>
        <w:rPr>
          <w:sz w:val="20"/>
          <w:szCs w:val="20"/>
          <w:color w:val="auto"/>
        </w:rPr>
      </w:pPr>
      <w:r>
        <w:rPr>
          <w:rFonts w:ascii="Arial" w:cs="Arial" w:eastAsia="Arial" w:hAnsi="Arial"/>
          <w:sz w:val="15"/>
          <w:szCs w:val="15"/>
          <w:color w:val="auto"/>
        </w:rPr>
        <w:t>Robert J. Stevens</w:t>
      </w:r>
    </w:p>
    <w:p>
      <w:pPr>
        <w:spacing w:after="0" w:line="2" w:lineRule="exact"/>
        <w:rPr>
          <w:sz w:val="20"/>
          <w:szCs w:val="20"/>
          <w:color w:val="auto"/>
        </w:rPr>
      </w:pPr>
    </w:p>
    <w:p>
      <w:pPr>
        <w:ind w:left="8440"/>
        <w:spacing w:after="0"/>
        <w:rPr>
          <w:sz w:val="20"/>
          <w:szCs w:val="20"/>
          <w:color w:val="auto"/>
        </w:rPr>
      </w:pPr>
      <w:r>
        <w:rPr>
          <w:rFonts w:ascii="Arial" w:cs="Arial" w:eastAsia="Arial" w:hAnsi="Arial"/>
          <w:sz w:val="15"/>
          <w:szCs w:val="15"/>
          <w:color w:val="auto"/>
        </w:rPr>
        <w:t>Alan D. Wilson</w:t>
      </w:r>
    </w:p>
    <w:p>
      <w:pPr>
        <w:spacing w:after="0" w:line="15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3"/>
          <w:szCs w:val="13"/>
          <w:b w:val="1"/>
          <w:bCs w:val="1"/>
          <w:color w:val="00244F"/>
        </w:rPr>
        <w:t>28</w:t>
      </w:r>
      <w:r>
        <w:rPr>
          <w:sz w:val="20"/>
          <w:szCs w:val="20"/>
          <w:color w:val="auto"/>
        </w:rPr>
        <w:tab/>
      </w:r>
      <w:r>
        <w:rPr>
          <w:rFonts w:ascii="Times New Roman" w:cs="Times New Roman" w:eastAsia="Times New Roman" w:hAnsi="Times New Roman"/>
          <w:sz w:val="13"/>
          <w:szCs w:val="13"/>
          <w:b w:val="1"/>
          <w:bCs w:val="1"/>
          <w:color w:val="00244F"/>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42480"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0000EE"/>
        </w:rPr>
        <w:t>Table of Contents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254F"/>
        </w:rPr>
        <w:t>Compensation of Directors</w:t>
      </w:r>
    </w:p>
    <w:p>
      <w:pPr>
        <w:spacing w:after="0" w:line="200" w:lineRule="exact"/>
        <w:rPr>
          <w:sz w:val="20"/>
          <w:szCs w:val="20"/>
          <w:color w:val="auto"/>
        </w:rPr>
      </w:pPr>
    </w:p>
    <w:p>
      <w:pPr>
        <w:ind w:right="220"/>
        <w:spacing w:after="0" w:line="278" w:lineRule="auto"/>
        <w:rPr>
          <w:sz w:val="20"/>
          <w:szCs w:val="20"/>
          <w:color w:val="auto"/>
        </w:rPr>
      </w:pPr>
      <w:r>
        <w:rPr>
          <w:rFonts w:ascii="Arial" w:cs="Arial" w:eastAsia="Arial" w:hAnsi="Arial"/>
          <w:sz w:val="15"/>
          <w:szCs w:val="15"/>
          <w:color w:val="auto"/>
        </w:rPr>
        <w:t>The Nominating and Corporate Governance Committee is responsible for periodically reviewing non-employee director compensation and benefits and recommending changes, if appropriate, to the full Board. Our non-employee director compensation program is designed to accomplish a number of objectives:</w:t>
      </w:r>
    </w:p>
    <w:p>
      <w:pPr>
        <w:spacing w:after="0" w:line="125" w:lineRule="exact"/>
        <w:rPr>
          <w:sz w:val="20"/>
          <w:szCs w:val="20"/>
          <w:color w:val="auto"/>
        </w:rPr>
      </w:pPr>
    </w:p>
    <w:p>
      <w:pPr>
        <w:ind w:left="180" w:hanging="180"/>
        <w:spacing w:after="0"/>
        <w:tabs>
          <w:tab w:leader="none" w:pos="180" w:val="left"/>
        </w:tabs>
        <w:numPr>
          <w:ilvl w:val="0"/>
          <w:numId w:val="49"/>
        </w:numPr>
        <w:rPr>
          <w:rFonts w:ascii="Arial" w:cs="Arial" w:eastAsia="Arial" w:hAnsi="Arial"/>
          <w:sz w:val="15"/>
          <w:szCs w:val="15"/>
          <w:color w:val="28C0DA"/>
        </w:rPr>
      </w:pPr>
      <w:r>
        <w:rPr>
          <w:rFonts w:ascii="Arial" w:cs="Arial" w:eastAsia="Arial" w:hAnsi="Arial"/>
          <w:sz w:val="15"/>
          <w:szCs w:val="15"/>
          <w:color w:val="auto"/>
        </w:rPr>
        <w:t>Align the interests of our non-employee directors with those of our stockholders;</w:t>
      </w:r>
    </w:p>
    <w:p>
      <w:pPr>
        <w:spacing w:after="0" w:line="52" w:lineRule="exact"/>
        <w:rPr>
          <w:rFonts w:ascii="Arial" w:cs="Arial" w:eastAsia="Arial" w:hAnsi="Arial"/>
          <w:sz w:val="15"/>
          <w:szCs w:val="15"/>
          <w:color w:val="28C0DA"/>
        </w:rPr>
      </w:pPr>
    </w:p>
    <w:p>
      <w:pPr>
        <w:ind w:left="180" w:hanging="180"/>
        <w:spacing w:after="0"/>
        <w:tabs>
          <w:tab w:leader="none" w:pos="180" w:val="left"/>
        </w:tabs>
        <w:numPr>
          <w:ilvl w:val="0"/>
          <w:numId w:val="49"/>
        </w:numPr>
        <w:rPr>
          <w:rFonts w:ascii="Arial" w:cs="Arial" w:eastAsia="Arial" w:hAnsi="Arial"/>
          <w:sz w:val="15"/>
          <w:szCs w:val="15"/>
          <w:color w:val="28C0DA"/>
        </w:rPr>
      </w:pPr>
      <w:r>
        <w:rPr>
          <w:rFonts w:ascii="Arial" w:cs="Arial" w:eastAsia="Arial" w:hAnsi="Arial"/>
          <w:sz w:val="15"/>
          <w:szCs w:val="15"/>
          <w:color w:val="auto"/>
        </w:rPr>
        <w:t>Provide competitive compensation for service to the Board by our non-employee directors;</w:t>
      </w:r>
    </w:p>
    <w:p>
      <w:pPr>
        <w:spacing w:after="0" w:line="52" w:lineRule="exact"/>
        <w:rPr>
          <w:rFonts w:ascii="Arial" w:cs="Arial" w:eastAsia="Arial" w:hAnsi="Arial"/>
          <w:sz w:val="15"/>
          <w:szCs w:val="15"/>
          <w:color w:val="28C0DA"/>
        </w:rPr>
      </w:pPr>
    </w:p>
    <w:p>
      <w:pPr>
        <w:ind w:left="180" w:hanging="180"/>
        <w:spacing w:after="0"/>
        <w:tabs>
          <w:tab w:leader="none" w:pos="180" w:val="left"/>
        </w:tabs>
        <w:numPr>
          <w:ilvl w:val="0"/>
          <w:numId w:val="49"/>
        </w:numPr>
        <w:rPr>
          <w:rFonts w:ascii="Arial" w:cs="Arial" w:eastAsia="Arial" w:hAnsi="Arial"/>
          <w:sz w:val="15"/>
          <w:szCs w:val="15"/>
          <w:color w:val="28C0DA"/>
        </w:rPr>
      </w:pPr>
      <w:r>
        <w:rPr>
          <w:rFonts w:ascii="Arial" w:cs="Arial" w:eastAsia="Arial" w:hAnsi="Arial"/>
          <w:sz w:val="15"/>
          <w:szCs w:val="15"/>
          <w:color w:val="auto"/>
        </w:rPr>
        <w:t>Maintain appropriate consistency with our approach to compensation for our executive officers and senior employees; and</w:t>
      </w:r>
    </w:p>
    <w:p>
      <w:pPr>
        <w:spacing w:after="0" w:line="52" w:lineRule="exact"/>
        <w:rPr>
          <w:rFonts w:ascii="Arial" w:cs="Arial" w:eastAsia="Arial" w:hAnsi="Arial"/>
          <w:sz w:val="15"/>
          <w:szCs w:val="15"/>
          <w:color w:val="28C0DA"/>
        </w:rPr>
      </w:pPr>
    </w:p>
    <w:p>
      <w:pPr>
        <w:ind w:left="180" w:hanging="180"/>
        <w:spacing w:after="0"/>
        <w:tabs>
          <w:tab w:leader="none" w:pos="180" w:val="left"/>
        </w:tabs>
        <w:numPr>
          <w:ilvl w:val="0"/>
          <w:numId w:val="49"/>
        </w:numPr>
        <w:rPr>
          <w:rFonts w:ascii="Arial" w:cs="Arial" w:eastAsia="Arial" w:hAnsi="Arial"/>
          <w:sz w:val="15"/>
          <w:szCs w:val="15"/>
          <w:color w:val="28C0DA"/>
        </w:rPr>
      </w:pPr>
      <w:r>
        <w:rPr>
          <w:rFonts w:ascii="Arial" w:cs="Arial" w:eastAsia="Arial" w:hAnsi="Arial"/>
          <w:sz w:val="15"/>
          <w:szCs w:val="15"/>
          <w:color w:val="auto"/>
        </w:rPr>
        <w:t>Attract and retain a diverse mix of capable and highly qualified directors.</w:t>
      </w:r>
    </w:p>
    <w:p>
      <w:pPr>
        <w:spacing w:after="0" w:line="227" w:lineRule="exact"/>
        <w:rPr>
          <w:sz w:val="20"/>
          <w:szCs w:val="20"/>
          <w:color w:val="auto"/>
        </w:rPr>
      </w:pPr>
    </w:p>
    <w:p>
      <w:pPr>
        <w:ind w:right="20"/>
        <w:spacing w:after="0" w:line="252" w:lineRule="auto"/>
        <w:rPr>
          <w:sz w:val="20"/>
          <w:szCs w:val="20"/>
          <w:color w:val="auto"/>
        </w:rPr>
      </w:pPr>
      <w:r>
        <w:rPr>
          <w:rFonts w:ascii="Arial" w:cs="Arial" w:eastAsia="Arial" w:hAnsi="Arial"/>
          <w:sz w:val="15"/>
          <w:szCs w:val="15"/>
          <w:color w:val="auto"/>
        </w:rPr>
        <w:t>We provide both cash and equity compensation annually to our directors and believe that, over time, cash and equity compensation should reflect approximately 40% and 60%, respectively, of the total compensation paid to our directors. The cash compensation component is based primarily on an annual retainer coupled with fees for committee attendance, lead director role, and committee chair roles. The equity compensation component is in the form of full-value awards and the possibility of electing restricted stock units (RSUs), as further explained below. We believe our total compensation package and compensation structure is comparable to and in line with other major financial services companies.</w:t>
      </w:r>
    </w:p>
    <w:p>
      <w:pPr>
        <w:spacing w:after="0" w:line="144" w:lineRule="exact"/>
        <w:rPr>
          <w:sz w:val="20"/>
          <w:szCs w:val="20"/>
          <w:color w:val="auto"/>
        </w:rPr>
      </w:pPr>
    </w:p>
    <w:p>
      <w:pPr>
        <w:ind w:right="680"/>
        <w:spacing w:after="0" w:line="278" w:lineRule="auto"/>
        <w:rPr>
          <w:sz w:val="20"/>
          <w:szCs w:val="20"/>
          <w:color w:val="auto"/>
        </w:rPr>
      </w:pPr>
      <w:r>
        <w:rPr>
          <w:rFonts w:ascii="Arial" w:cs="Arial" w:eastAsia="Arial" w:hAnsi="Arial"/>
          <w:sz w:val="15"/>
          <w:szCs w:val="15"/>
          <w:color w:val="auto"/>
        </w:rPr>
        <w:t>The Nominating and Corporate Governance Committee periodically reviews and considers competitive market practices. In 2023, there were no changes to the compensation program for our non-employee directors.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Fees and Other Compensation in 2023</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All non-employee directors received the following in 2023:</w:t>
      </w:r>
    </w:p>
    <w:p>
      <w:pPr>
        <w:spacing w:after="0" w:line="177" w:lineRule="exact"/>
        <w:rPr>
          <w:sz w:val="20"/>
          <w:szCs w:val="20"/>
          <w:color w:val="auto"/>
        </w:rPr>
      </w:pPr>
    </w:p>
    <w:p>
      <w:pPr>
        <w:ind w:left="180" w:hanging="180"/>
        <w:spacing w:after="0"/>
        <w:tabs>
          <w:tab w:leader="none" w:pos="180" w:val="left"/>
        </w:tabs>
        <w:numPr>
          <w:ilvl w:val="0"/>
          <w:numId w:val="50"/>
        </w:numPr>
        <w:rPr>
          <w:rFonts w:ascii="Arial" w:cs="Arial" w:eastAsia="Arial" w:hAnsi="Arial"/>
          <w:sz w:val="15"/>
          <w:szCs w:val="15"/>
          <w:color w:val="28C0DA"/>
        </w:rPr>
      </w:pPr>
      <w:r>
        <w:rPr>
          <w:rFonts w:ascii="Arial" w:cs="Arial" w:eastAsia="Arial" w:hAnsi="Arial"/>
          <w:sz w:val="15"/>
          <w:szCs w:val="15"/>
          <w:color w:val="auto"/>
        </w:rPr>
        <w:t>An annual retainer of $100,000 for all non-employee directors;</w:t>
      </w:r>
    </w:p>
    <w:p>
      <w:pPr>
        <w:spacing w:after="0" w:line="52" w:lineRule="exact"/>
        <w:rPr>
          <w:rFonts w:ascii="Arial" w:cs="Arial" w:eastAsia="Arial" w:hAnsi="Arial"/>
          <w:sz w:val="15"/>
          <w:szCs w:val="15"/>
          <w:color w:val="28C0DA"/>
        </w:rPr>
      </w:pPr>
    </w:p>
    <w:p>
      <w:pPr>
        <w:ind w:left="180" w:hanging="180"/>
        <w:spacing w:after="0"/>
        <w:tabs>
          <w:tab w:leader="none" w:pos="180" w:val="left"/>
        </w:tabs>
        <w:numPr>
          <w:ilvl w:val="0"/>
          <w:numId w:val="50"/>
        </w:numPr>
        <w:rPr>
          <w:rFonts w:ascii="Arial" w:cs="Arial" w:eastAsia="Arial" w:hAnsi="Arial"/>
          <w:sz w:val="15"/>
          <w:szCs w:val="15"/>
          <w:color w:val="28C0DA"/>
        </w:rPr>
      </w:pPr>
      <w:r>
        <w:rPr>
          <w:rFonts w:ascii="Arial" w:cs="Arial" w:eastAsia="Arial" w:hAnsi="Arial"/>
          <w:sz w:val="15"/>
          <w:szCs w:val="15"/>
          <w:color w:val="auto"/>
        </w:rPr>
        <w:t>A fee of $150,000 for the non-executive chair;</w:t>
      </w:r>
    </w:p>
    <w:p>
      <w:pPr>
        <w:spacing w:after="0" w:line="52" w:lineRule="exact"/>
        <w:rPr>
          <w:rFonts w:ascii="Arial" w:cs="Arial" w:eastAsia="Arial" w:hAnsi="Arial"/>
          <w:sz w:val="15"/>
          <w:szCs w:val="15"/>
          <w:color w:val="28C0DA"/>
        </w:rPr>
      </w:pPr>
    </w:p>
    <w:p>
      <w:pPr>
        <w:ind w:left="180" w:hanging="180"/>
        <w:spacing w:after="0"/>
        <w:tabs>
          <w:tab w:leader="none" w:pos="180" w:val="left"/>
        </w:tabs>
        <w:numPr>
          <w:ilvl w:val="0"/>
          <w:numId w:val="50"/>
        </w:numPr>
        <w:rPr>
          <w:rFonts w:ascii="Arial" w:cs="Arial" w:eastAsia="Arial" w:hAnsi="Arial"/>
          <w:sz w:val="15"/>
          <w:szCs w:val="15"/>
          <w:color w:val="28C0DA"/>
        </w:rPr>
      </w:pPr>
      <w:r>
        <w:rPr>
          <w:rFonts w:ascii="Arial" w:cs="Arial" w:eastAsia="Arial" w:hAnsi="Arial"/>
          <w:sz w:val="15"/>
          <w:szCs w:val="15"/>
          <w:color w:val="auto"/>
        </w:rPr>
        <w:t>A fee of $1,500 for each committee meeting attended;</w:t>
      </w:r>
    </w:p>
    <w:p>
      <w:pPr>
        <w:spacing w:after="0" w:line="52" w:lineRule="exact"/>
        <w:rPr>
          <w:rFonts w:ascii="Arial" w:cs="Arial" w:eastAsia="Arial" w:hAnsi="Arial"/>
          <w:sz w:val="15"/>
          <w:szCs w:val="15"/>
          <w:color w:val="28C0DA"/>
        </w:rPr>
      </w:pPr>
    </w:p>
    <w:p>
      <w:pPr>
        <w:ind w:left="180" w:hanging="180"/>
        <w:spacing w:after="0"/>
        <w:tabs>
          <w:tab w:leader="none" w:pos="180" w:val="left"/>
        </w:tabs>
        <w:numPr>
          <w:ilvl w:val="0"/>
          <w:numId w:val="50"/>
        </w:numPr>
        <w:rPr>
          <w:rFonts w:ascii="Arial" w:cs="Arial" w:eastAsia="Arial" w:hAnsi="Arial"/>
          <w:sz w:val="15"/>
          <w:szCs w:val="15"/>
          <w:color w:val="28C0DA"/>
        </w:rPr>
      </w:pPr>
      <w:r>
        <w:rPr>
          <w:rFonts w:ascii="Arial" w:cs="Arial" w:eastAsia="Arial" w:hAnsi="Arial"/>
          <w:sz w:val="15"/>
          <w:szCs w:val="15"/>
          <w:color w:val="auto"/>
        </w:rPr>
        <w:t>A fee of $15,000 for the lead director;</w:t>
      </w:r>
    </w:p>
    <w:p>
      <w:pPr>
        <w:spacing w:after="0" w:line="52" w:lineRule="exact"/>
        <w:rPr>
          <w:rFonts w:ascii="Arial" w:cs="Arial" w:eastAsia="Arial" w:hAnsi="Arial"/>
          <w:sz w:val="15"/>
          <w:szCs w:val="15"/>
          <w:color w:val="28C0DA"/>
        </w:rPr>
      </w:pPr>
    </w:p>
    <w:p>
      <w:pPr>
        <w:ind w:left="180" w:hanging="180"/>
        <w:spacing w:after="0"/>
        <w:tabs>
          <w:tab w:leader="none" w:pos="180" w:val="left"/>
        </w:tabs>
        <w:numPr>
          <w:ilvl w:val="0"/>
          <w:numId w:val="50"/>
        </w:numPr>
        <w:rPr>
          <w:rFonts w:ascii="Arial" w:cs="Arial" w:eastAsia="Arial" w:hAnsi="Arial"/>
          <w:sz w:val="15"/>
          <w:szCs w:val="15"/>
          <w:color w:val="28C0DA"/>
        </w:rPr>
      </w:pPr>
      <w:r>
        <w:rPr>
          <w:rFonts w:ascii="Arial" w:cs="Arial" w:eastAsia="Arial" w:hAnsi="Arial"/>
          <w:sz w:val="15"/>
          <w:szCs w:val="15"/>
          <w:color w:val="auto"/>
        </w:rPr>
        <w:t>A fee of $20,000 and $5,000, for the chair of the Audit Committee and each Audit Committee member, respectively;</w:t>
      </w:r>
    </w:p>
    <w:p>
      <w:pPr>
        <w:spacing w:after="0" w:line="52" w:lineRule="exact"/>
        <w:rPr>
          <w:rFonts w:ascii="Arial" w:cs="Arial" w:eastAsia="Arial" w:hAnsi="Arial"/>
          <w:sz w:val="15"/>
          <w:szCs w:val="15"/>
          <w:color w:val="28C0DA"/>
        </w:rPr>
      </w:pPr>
    </w:p>
    <w:p>
      <w:pPr>
        <w:ind w:left="180" w:hanging="180"/>
        <w:spacing w:after="0"/>
        <w:tabs>
          <w:tab w:leader="none" w:pos="180" w:val="left"/>
        </w:tabs>
        <w:numPr>
          <w:ilvl w:val="0"/>
          <w:numId w:val="50"/>
        </w:numPr>
        <w:rPr>
          <w:rFonts w:ascii="Arial" w:cs="Arial" w:eastAsia="Arial" w:hAnsi="Arial"/>
          <w:sz w:val="15"/>
          <w:szCs w:val="15"/>
          <w:color w:val="28C0DA"/>
        </w:rPr>
      </w:pPr>
      <w:r>
        <w:rPr>
          <w:rFonts w:ascii="Arial" w:cs="Arial" w:eastAsia="Arial" w:hAnsi="Arial"/>
          <w:sz w:val="15"/>
          <w:szCs w:val="15"/>
          <w:color w:val="auto"/>
        </w:rPr>
        <w:t>A fee of $10,000 for the chair of the Compensation Committee;</w:t>
      </w:r>
    </w:p>
    <w:p>
      <w:pPr>
        <w:spacing w:after="0" w:line="52" w:lineRule="exact"/>
        <w:rPr>
          <w:rFonts w:ascii="Arial" w:cs="Arial" w:eastAsia="Arial" w:hAnsi="Arial"/>
          <w:sz w:val="15"/>
          <w:szCs w:val="15"/>
          <w:color w:val="28C0DA"/>
        </w:rPr>
      </w:pPr>
    </w:p>
    <w:p>
      <w:pPr>
        <w:ind w:left="180" w:hanging="180"/>
        <w:spacing w:after="0"/>
        <w:tabs>
          <w:tab w:leader="none" w:pos="180" w:val="left"/>
        </w:tabs>
        <w:numPr>
          <w:ilvl w:val="0"/>
          <w:numId w:val="50"/>
        </w:numPr>
        <w:rPr>
          <w:rFonts w:ascii="Arial" w:cs="Arial" w:eastAsia="Arial" w:hAnsi="Arial"/>
          <w:sz w:val="15"/>
          <w:szCs w:val="15"/>
          <w:color w:val="28C0DA"/>
        </w:rPr>
      </w:pPr>
      <w:r>
        <w:rPr>
          <w:rFonts w:ascii="Arial" w:cs="Arial" w:eastAsia="Arial" w:hAnsi="Arial"/>
          <w:sz w:val="15"/>
          <w:szCs w:val="15"/>
          <w:color w:val="auto"/>
        </w:rPr>
        <w:t>A fee of $10,000 for the chair of the Nominating and Corporate Governance Committee;</w:t>
      </w:r>
    </w:p>
    <w:p>
      <w:pPr>
        <w:spacing w:after="0" w:line="52" w:lineRule="exact"/>
        <w:rPr>
          <w:rFonts w:ascii="Arial" w:cs="Arial" w:eastAsia="Arial" w:hAnsi="Arial"/>
          <w:sz w:val="15"/>
          <w:szCs w:val="15"/>
          <w:color w:val="28C0DA"/>
        </w:rPr>
      </w:pPr>
    </w:p>
    <w:p>
      <w:pPr>
        <w:ind w:left="180" w:right="40" w:hanging="180"/>
        <w:spacing w:after="0" w:line="278" w:lineRule="auto"/>
        <w:tabs>
          <w:tab w:leader="none" w:pos="180" w:val="left"/>
        </w:tabs>
        <w:numPr>
          <w:ilvl w:val="0"/>
          <w:numId w:val="50"/>
        </w:numPr>
        <w:rPr>
          <w:rFonts w:ascii="Arial" w:cs="Arial" w:eastAsia="Arial" w:hAnsi="Arial"/>
          <w:sz w:val="15"/>
          <w:szCs w:val="15"/>
          <w:color w:val="28C0DA"/>
        </w:rPr>
      </w:pPr>
      <w:r>
        <w:rPr>
          <w:rFonts w:ascii="Arial" w:cs="Arial" w:eastAsia="Arial" w:hAnsi="Arial"/>
          <w:sz w:val="15"/>
          <w:szCs w:val="15"/>
          <w:color w:val="auto"/>
        </w:rPr>
        <w:t>Directors and all U.S. employees of Price Group and its subsidiaries are eligible to have our sponsored T. Rowe Price Foundation match personal gifts up to an annual limit to qualified charitable organizations. For 2023, non-employee directors were eligible to have up to $10,000 matched;</w:t>
      </w:r>
    </w:p>
    <w:p>
      <w:pPr>
        <w:ind w:left="180" w:right="240" w:hanging="180"/>
        <w:spacing w:after="0" w:line="278" w:lineRule="auto"/>
        <w:tabs>
          <w:tab w:leader="none" w:pos="180" w:val="left"/>
        </w:tabs>
        <w:numPr>
          <w:ilvl w:val="0"/>
          <w:numId w:val="50"/>
        </w:numPr>
        <w:rPr>
          <w:rFonts w:ascii="Arial" w:cs="Arial" w:eastAsia="Arial" w:hAnsi="Arial"/>
          <w:sz w:val="15"/>
          <w:szCs w:val="15"/>
          <w:color w:val="28C0DA"/>
        </w:rPr>
      </w:pPr>
      <w:r>
        <w:rPr>
          <w:rFonts w:ascii="Arial" w:cs="Arial" w:eastAsia="Arial" w:hAnsi="Arial"/>
          <w:sz w:val="15"/>
          <w:szCs w:val="15"/>
          <w:color w:val="auto"/>
        </w:rPr>
        <w:t>The reimbursement of reasonable out-of-pocket expenses incurred in connection with their travel to and from, and attendance at, each meeting of the Board and its committees and related activities, including director education courses and materials; and</w:t>
      </w:r>
    </w:p>
    <w:p>
      <w:pPr>
        <w:ind w:left="180" w:right="200" w:hanging="180"/>
        <w:spacing w:after="0" w:line="278" w:lineRule="auto"/>
        <w:tabs>
          <w:tab w:leader="none" w:pos="180" w:val="left"/>
        </w:tabs>
        <w:numPr>
          <w:ilvl w:val="0"/>
          <w:numId w:val="50"/>
        </w:numPr>
        <w:rPr>
          <w:rFonts w:ascii="Arial" w:cs="Arial" w:eastAsia="Arial" w:hAnsi="Arial"/>
          <w:sz w:val="15"/>
          <w:szCs w:val="15"/>
          <w:color w:val="28C0DA"/>
        </w:rPr>
      </w:pPr>
      <w:r>
        <w:rPr>
          <w:rFonts w:ascii="Arial" w:cs="Arial" w:eastAsia="Arial" w:hAnsi="Arial"/>
          <w:sz w:val="15"/>
          <w:szCs w:val="15"/>
          <w:color w:val="auto"/>
        </w:rPr>
        <w:t>The reimbursement of spousal travel to and from and participation in events held in connection with the annual joint Price Group and Price funds' boards of directors meeting.</w:t>
      </w:r>
    </w:p>
    <w:p>
      <w:pPr>
        <w:spacing w:after="0" w:line="175" w:lineRule="exact"/>
        <w:rPr>
          <w:sz w:val="20"/>
          <w:szCs w:val="20"/>
          <w:color w:val="auto"/>
        </w:rPr>
      </w:pPr>
    </w:p>
    <w:p>
      <w:pPr>
        <w:ind w:right="140"/>
        <w:spacing w:after="0" w:line="250" w:lineRule="auto"/>
        <w:rPr>
          <w:sz w:val="20"/>
          <w:szCs w:val="20"/>
          <w:color w:val="auto"/>
        </w:rPr>
      </w:pPr>
      <w:r>
        <w:rPr>
          <w:rFonts w:ascii="Arial" w:cs="Arial" w:eastAsia="Arial" w:hAnsi="Arial"/>
          <w:sz w:val="15"/>
          <w:szCs w:val="15"/>
          <w:color w:val="auto"/>
        </w:rPr>
        <w:t>The annual retainer and fees noted above are prorated for the period of time during the calendar year that each director held the position. Non-employee directors can elect to defer payment of their director fees until the next calendar year pursuant to the Outside Directors Deferred Compensation Plan or to defer payment of their director fees into vested RSUs pursuant to the 2017 Non-Employee Director Equity Plan, as amended (2017 Director Plan). The RSUs will be settled in shares of our common stock, or cash in the case of fractional shares, upon the director's separation from service. Any such election needs to be received prior to the beginning of the year they earn the cash compensation. Dr. Hrabowski elected to have his 2023 director fees deferred to 2024. Messrs. Donnelly, MacLellan, Stevens, and Wilson and Ms. Wijnberg elected to have their 2023 director fees deferred into vested RSUs.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Equity-Based Compensation in 2023</w:t>
      </w:r>
    </w:p>
    <w:p>
      <w:pPr>
        <w:spacing w:after="0" w:line="199" w:lineRule="exact"/>
        <w:rPr>
          <w:sz w:val="20"/>
          <w:szCs w:val="20"/>
          <w:color w:val="auto"/>
        </w:rPr>
      </w:pPr>
    </w:p>
    <w:p>
      <w:pPr>
        <w:ind w:right="380"/>
        <w:spacing w:after="0" w:line="261" w:lineRule="auto"/>
        <w:rPr>
          <w:sz w:val="20"/>
          <w:szCs w:val="20"/>
          <w:color w:val="auto"/>
        </w:rPr>
      </w:pPr>
      <w:r>
        <w:rPr>
          <w:rFonts w:ascii="Arial" w:cs="Arial" w:eastAsia="Arial" w:hAnsi="Arial"/>
          <w:sz w:val="15"/>
          <w:szCs w:val="15"/>
          <w:color w:val="auto"/>
        </w:rPr>
        <w:t>Pursuant to the 2017 Director Plan, each newly elected Board member is awarded an initial grant in the form, at their election, of restricted shares or RSUs having a value on the date of grant of $300,000 that vest one-year after the grant date. In each subsequent year, each non-employee director is awarded, at their election, restricted shares or RSUs having</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00" w:type="dxa"/>
            <w:vAlign w:val="bottom"/>
          </w:tcPr>
          <w:p>
            <w:pPr>
              <w:ind w:left="9500"/>
              <w:spacing w:after="0"/>
              <w:rPr>
                <w:sz w:val="20"/>
                <w:szCs w:val="20"/>
                <w:color w:val="auto"/>
              </w:rPr>
            </w:pPr>
            <w:r>
              <w:rPr>
                <w:rFonts w:ascii="Times New Roman" w:cs="Times New Roman" w:eastAsia="Times New Roman" w:hAnsi="Times New Roman"/>
                <w:sz w:val="13"/>
                <w:szCs w:val="13"/>
                <w:b w:val="1"/>
                <w:bCs w:val="1"/>
                <w:color w:val="auto"/>
              </w:rPr>
              <w:t xml:space="preserve">2024 </w:t>
            </w:r>
            <w:r>
              <w:rPr>
                <w:rFonts w:ascii="Times New Roman" w:cs="Times New Roman" w:eastAsia="Times New Roman" w:hAnsi="Times New Roman"/>
                <w:sz w:val="13"/>
                <w:szCs w:val="13"/>
                <w:color w:val="auto"/>
              </w:rPr>
              <w:t>Proxy Statement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244F"/>
              </w:rPr>
              <w:t>29</w:t>
            </w:r>
          </w:p>
        </w:tc>
      </w:tr>
      <w:tr>
        <w:trPr>
          <w:trHeight w:val="185"/>
        </w:trPr>
        <w:tc>
          <w:tcPr>
            <w:tcW w:w="10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r>
    </w:tbl>
    <w:p>
      <w:pPr>
        <w:sectPr>
          <w:pgSz w:w="11900" w:h="16838" w:orient="portrait"/>
          <w:cols w:equalWidth="0" w:num="1">
            <w:col w:w="11240"/>
          </w:cols>
          <w:pgMar w:left="320" w:top="310"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0000EE"/>
        </w:rPr>
        <w:t>Table of Contents</w:t>
      </w:r>
    </w:p>
    <w:p>
      <w:pPr>
        <w:spacing w:after="0" w:line="384" w:lineRule="exact"/>
        <w:rPr>
          <w:sz w:val="20"/>
          <w:szCs w:val="20"/>
          <w:color w:val="auto"/>
        </w:rPr>
      </w:pPr>
    </w:p>
    <w:p>
      <w:pPr>
        <w:ind w:right="120"/>
        <w:spacing w:after="0" w:line="255" w:lineRule="auto"/>
        <w:rPr>
          <w:sz w:val="20"/>
          <w:szCs w:val="20"/>
          <w:color w:val="auto"/>
        </w:rPr>
      </w:pPr>
      <w:r>
        <w:rPr>
          <w:rFonts w:ascii="Arial" w:cs="Arial" w:eastAsia="Arial" w:hAnsi="Arial"/>
          <w:sz w:val="15"/>
          <w:szCs w:val="15"/>
          <w:color w:val="auto"/>
        </w:rPr>
        <w:t>a value on the date of grant of $200,000 on the first business day after the Annual Meeting. Each of the award types vest upon the earliest of one year after the grant date, the day before the Annual Meeting held in the calendar year after the year in which the grant is made, the non-employee director's death or date on which the director becomes totally and permanently disabled, or the date on which a change in control occurs, provided the director continues to be a member of the Board on the applicable date.</w:t>
      </w:r>
    </w:p>
    <w:p>
      <w:pPr>
        <w:spacing w:after="0" w:line="154" w:lineRule="exact"/>
        <w:rPr>
          <w:sz w:val="20"/>
          <w:szCs w:val="20"/>
          <w:color w:val="auto"/>
        </w:rPr>
      </w:pPr>
    </w:p>
    <w:p>
      <w:pPr>
        <w:ind w:right="100"/>
        <w:spacing w:after="0" w:line="249" w:lineRule="auto"/>
        <w:rPr>
          <w:sz w:val="20"/>
          <w:szCs w:val="20"/>
          <w:color w:val="auto"/>
        </w:rPr>
      </w:pPr>
      <w:r>
        <w:rPr>
          <w:rFonts w:ascii="Arial" w:cs="Arial" w:eastAsia="Arial" w:hAnsi="Arial"/>
          <w:sz w:val="15"/>
          <w:szCs w:val="15"/>
          <w:color w:val="auto"/>
        </w:rPr>
        <w:t>Restricted shares entitle the holder to the rights of a stockholder, including voting, dividend, and distribution rights, but are nontransferable until they vest. Vested RSUs will be settled in shares of our common stock or cash, in the case of fractional shares, upon a non-employee director's separation from service. Non-employee directors holding RSUs are not entitled to voting, dividend, distribution, or other rights until the corresponding shares of our common stock are issued upon settlement; however, if and when we pay a cash dividend to our common stockholders, we will issue dividend equivalents in the form of additional RSUs. Under the 2017 Director Plan, dividends and dividend equivalents payable with respect to unvested restricted shares and unvested RSUs will be subject to the same vesting and risks of forfeiture as the restricted shares and RSUs to which they are attributable. The 2017 Director Plan includes a provision that accelerates the vesting of all outstanding awards in connection with a change in control of Price Group. Upon a change in control, any outstanding RSUs will be settled in cash or shares at the discretion of the Board.</w:t>
      </w:r>
    </w:p>
    <w:p>
      <w:pPr>
        <w:spacing w:after="0" w:line="160"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Since Mr. Stromberg would be entitled to receive an annual equity award as a non-executive director, and due to Mr. Stromberg's already significant equity ownership, the Board approved and the Company paid him a cash amount of $200,000 in lieu of participating in the annual equity award provided to non-employee directors.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Ownership and Retention Guidelines</w:t>
      </w:r>
    </w:p>
    <w:p>
      <w:pPr>
        <w:spacing w:after="0" w:line="211" w:lineRule="exact"/>
        <w:rPr>
          <w:sz w:val="20"/>
          <w:szCs w:val="20"/>
          <w:color w:val="auto"/>
        </w:rPr>
      </w:pPr>
    </w:p>
    <w:p>
      <w:pPr>
        <w:ind w:right="20"/>
        <w:spacing w:after="0" w:line="248" w:lineRule="auto"/>
        <w:rPr>
          <w:sz w:val="20"/>
          <w:szCs w:val="20"/>
          <w:color w:val="auto"/>
        </w:rPr>
      </w:pPr>
      <w:r>
        <w:rPr>
          <w:rFonts w:ascii="Arial" w:cs="Arial" w:eastAsia="Arial" w:hAnsi="Arial"/>
          <w:sz w:val="15"/>
          <w:szCs w:val="15"/>
          <w:color w:val="auto"/>
        </w:rPr>
        <w:t>Each non-employee director added to the Board prior to 2017 is required to hold shares of our common stock, within five years of their appointment to the Board, having a value equal to three times the applicable cash retainer at the time they joined. Directors who were new to the Board in 2017 or thereafter have an ownership goal of five times the annual cash retainer in effect on the date they join the Board. For purposes of the calculation, unvested restricted shares and outstanding RSUs are counted, but unexercised stock options are not. Once this ownership goal is achieved, the number of shares required to be held becomes fixed and must be maintained until the end of the director's service on the Board. Until the ownership goal is achieved, the director is expected to retain "net gain shares" resulting from the exercise of stock options or vesting of restricted stock or RSUs granted under the applicable director plan. Net gain shares are the shares remaining after payment of the stock option exercise price and taxes owed with respect to the exercise or vesting event. All of our directors, other than Ms. Smith and Mr. Donnelly who joined in 2023 and have additional time to achieve their respective ownership goals, have achieved and maintain the ownership goal as of the date of this proxy statement.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2023 Director Compensation</w:t>
      </w:r>
      <w:r>
        <w:rPr>
          <w:rFonts w:ascii="Times New Roman" w:cs="Times New Roman" w:eastAsia="Times New Roman" w:hAnsi="Times New Roman"/>
          <w:sz w:val="11"/>
          <w:szCs w:val="11"/>
          <w:b w:val="1"/>
          <w:bCs w:val="1"/>
          <w:color w:val="auto"/>
        </w:rPr>
        <w:t>1</w:t>
      </w:r>
    </w:p>
    <w:p>
      <w:pPr>
        <w:spacing w:after="0" w:line="211" w:lineRule="exact"/>
        <w:rPr>
          <w:sz w:val="20"/>
          <w:szCs w:val="20"/>
          <w:color w:val="auto"/>
        </w:rPr>
      </w:pPr>
    </w:p>
    <w:p>
      <w:pPr>
        <w:jc w:val="both"/>
        <w:ind w:right="200"/>
        <w:spacing w:after="0" w:line="261" w:lineRule="auto"/>
        <w:rPr>
          <w:sz w:val="20"/>
          <w:szCs w:val="20"/>
          <w:color w:val="auto"/>
        </w:rPr>
      </w:pPr>
      <w:r>
        <w:rPr>
          <w:rFonts w:ascii="Arial" w:cs="Arial" w:eastAsia="Arial" w:hAnsi="Arial"/>
          <w:sz w:val="15"/>
          <w:szCs w:val="15"/>
          <w:color w:val="auto"/>
        </w:rPr>
        <w:t>The following table sets forth information regarding the compensation earned by, or paid to, directors who served on our Board during 2023. As officers of Price Group, Mr. Sharps and Mr. August did not receive separate directors' fees so they have been omitted from this table. Mr. Sharps and Mr. August each appear in our Summary Compensation Table as NEOs.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w w:val="96"/>
              </w:rPr>
              <w:t>NAME</w:t>
            </w:r>
          </w:p>
        </w:tc>
        <w:tc>
          <w:tcPr>
            <w:tcW w:w="63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12"/>
                <w:szCs w:val="12"/>
                <w:b w:val="1"/>
                <w:bCs w:val="1"/>
                <w:color w:val="auto"/>
              </w:rPr>
              <w:t>FEES EARNED</w:t>
            </w:r>
          </w:p>
        </w:tc>
        <w:tc>
          <w:tcPr>
            <w:tcW w:w="320" w:type="dxa"/>
            <w:vAlign w:val="bottom"/>
          </w:tcPr>
          <w:p>
            <w:pPr>
              <w:spacing w:after="0"/>
              <w:rPr>
                <w:sz w:val="16"/>
                <w:szCs w:val="16"/>
                <w:color w:val="auto"/>
              </w:rPr>
            </w:pPr>
          </w:p>
        </w:tc>
        <w:tc>
          <w:tcPr>
            <w:tcW w:w="720" w:type="dxa"/>
            <w:vAlign w:val="bottom"/>
            <w:tcBorders>
              <w:right w:val="single" w:sz="8" w:color="auto"/>
            </w:tcBorders>
            <w:gridSpan w:val="2"/>
          </w:tcPr>
          <w:p>
            <w:pPr>
              <w:ind w:left="140"/>
              <w:spacing w:after="0"/>
              <w:rPr>
                <w:sz w:val="20"/>
                <w:szCs w:val="20"/>
                <w:color w:val="auto"/>
              </w:rPr>
            </w:pPr>
            <w:r>
              <w:rPr>
                <w:rFonts w:ascii="Arial" w:cs="Arial" w:eastAsia="Arial" w:hAnsi="Arial"/>
                <w:sz w:val="12"/>
                <w:szCs w:val="12"/>
                <w:b w:val="1"/>
                <w:bCs w:val="1"/>
                <w:color w:val="auto"/>
              </w:rPr>
              <w:t>STOCK</w:t>
            </w:r>
          </w:p>
        </w:tc>
        <w:tc>
          <w:tcPr>
            <w:tcW w:w="1220" w:type="dxa"/>
            <w:vAlign w:val="bottom"/>
            <w:tcBorders>
              <w:right w:val="single" w:sz="8" w:color="auto"/>
            </w:tcBorders>
            <w:gridSpan w:val="3"/>
          </w:tcPr>
          <w:p>
            <w:pPr>
              <w:ind w:left="360"/>
              <w:spacing w:after="0"/>
              <w:rPr>
                <w:sz w:val="20"/>
                <w:szCs w:val="20"/>
                <w:color w:val="auto"/>
              </w:rPr>
            </w:pPr>
            <w:r>
              <w:rPr>
                <w:rFonts w:ascii="Arial" w:cs="Arial" w:eastAsia="Arial" w:hAnsi="Arial"/>
                <w:sz w:val="12"/>
                <w:szCs w:val="12"/>
                <w:b w:val="1"/>
                <w:bCs w:val="1"/>
                <w:color w:val="auto"/>
              </w:rPr>
              <w:t>ALL OTHER</w:t>
            </w:r>
          </w:p>
        </w:tc>
        <w:tc>
          <w:tcPr>
            <w:tcW w:w="10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75"/>
        </w:trPr>
        <w:tc>
          <w:tcPr>
            <w:tcW w:w="440" w:type="dxa"/>
            <w:vAlign w:val="bottom"/>
            <w:tcBorders>
              <w:bottom w:val="single" w:sz="8" w:color="auto"/>
            </w:tcBorders>
            <w:vMerge w:val="continue"/>
          </w:tcPr>
          <w:p>
            <w:pPr>
              <w:spacing w:after="0"/>
              <w:rPr>
                <w:sz w:val="15"/>
                <w:szCs w:val="15"/>
                <w:color w:val="auto"/>
              </w:rPr>
            </w:pPr>
          </w:p>
        </w:tc>
        <w:tc>
          <w:tcPr>
            <w:tcW w:w="6380" w:type="dxa"/>
            <w:vAlign w:val="bottom"/>
            <w:tcBorders>
              <w:bottom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OR PAID IN CASH</w:t>
            </w:r>
          </w:p>
        </w:tc>
        <w:tc>
          <w:tcPr>
            <w:tcW w:w="140" w:type="dxa"/>
            <w:vAlign w:val="bottom"/>
            <w:tcBorders>
              <w:right w:val="single" w:sz="8" w:color="auto"/>
            </w:tcBorders>
          </w:tcPr>
          <w:p>
            <w:pPr>
              <w:spacing w:after="0"/>
              <w:rPr>
                <w:sz w:val="15"/>
                <w:szCs w:val="15"/>
                <w:color w:val="auto"/>
              </w:rPr>
            </w:pPr>
          </w:p>
        </w:tc>
        <w:tc>
          <w:tcPr>
            <w:tcW w:w="920" w:type="dxa"/>
            <w:vAlign w:val="bottom"/>
            <w:tcBorders>
              <w:bottom w:val="single" w:sz="8" w:color="auto"/>
            </w:tcBorders>
            <w:gridSpan w:val="2"/>
          </w:tcPr>
          <w:p>
            <w:pPr>
              <w:ind w:left="220"/>
              <w:spacing w:after="0" w:line="175" w:lineRule="exact"/>
              <w:rPr>
                <w:sz w:val="20"/>
                <w:szCs w:val="20"/>
                <w:color w:val="auto"/>
              </w:rPr>
            </w:pPr>
            <w:r>
              <w:rPr>
                <w:rFonts w:ascii="Arial" w:cs="Arial" w:eastAsia="Arial" w:hAnsi="Arial"/>
                <w:sz w:val="12"/>
                <w:szCs w:val="12"/>
                <w:b w:val="1"/>
                <w:bCs w:val="1"/>
                <w:color w:val="auto"/>
                <w:w w:val="94"/>
              </w:rPr>
              <w:t>AWARDS</w:t>
            </w:r>
            <w:r>
              <w:rPr>
                <w:rFonts w:ascii="Arial" w:cs="Arial" w:eastAsia="Arial" w:hAnsi="Arial"/>
                <w:sz w:val="19"/>
                <w:szCs w:val="19"/>
                <w:b w:val="1"/>
                <w:bCs w:val="1"/>
                <w:color w:val="auto"/>
                <w:w w:val="94"/>
                <w:vertAlign w:val="superscript"/>
              </w:rPr>
              <w:t>3,4</w:t>
            </w:r>
          </w:p>
        </w:tc>
        <w:tc>
          <w:tcPr>
            <w:tcW w:w="120" w:type="dxa"/>
            <w:vAlign w:val="bottom"/>
            <w:tcBorders>
              <w:right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spacing w:after="0" w:line="175" w:lineRule="exact"/>
              <w:rPr>
                <w:sz w:val="20"/>
                <w:szCs w:val="20"/>
                <w:color w:val="auto"/>
              </w:rPr>
            </w:pPr>
            <w:r>
              <w:rPr>
                <w:rFonts w:ascii="Arial" w:cs="Arial" w:eastAsia="Arial" w:hAnsi="Arial"/>
                <w:sz w:val="12"/>
                <w:szCs w:val="12"/>
                <w:b w:val="1"/>
                <w:bCs w:val="1"/>
                <w:color w:val="auto"/>
                <w:w w:val="95"/>
              </w:rPr>
              <w:t>COMPENSATION</w:t>
            </w:r>
            <w:r>
              <w:rPr>
                <w:rFonts w:ascii="Arial" w:cs="Arial" w:eastAsia="Arial" w:hAnsi="Arial"/>
                <w:sz w:val="19"/>
                <w:szCs w:val="19"/>
                <w:b w:val="1"/>
                <w:bCs w:val="1"/>
                <w:color w:val="auto"/>
                <w:w w:val="95"/>
                <w:vertAlign w:val="superscript"/>
              </w:rPr>
              <w:t>5</w:t>
            </w:r>
          </w:p>
        </w:tc>
        <w:tc>
          <w:tcPr>
            <w:tcW w:w="140" w:type="dxa"/>
            <w:vAlign w:val="bottom"/>
            <w:tcBorders>
              <w:righ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682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00254F"/>
              </w:rPr>
              <w:t>Mark S. Bartlett</w:t>
            </w:r>
          </w:p>
        </w:tc>
        <w:tc>
          <w:tcPr>
            <w:tcW w:w="120" w:type="dxa"/>
            <w:vAlign w:val="bottom"/>
            <w:tcBorders>
              <w:bottom w:val="single" w:sz="8" w:color="EEEFEE"/>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9"/>
              </w:rPr>
              <w:t>136,500</w:t>
            </w:r>
          </w:p>
        </w:tc>
        <w:tc>
          <w:tcPr>
            <w:tcW w:w="140" w:type="dxa"/>
            <w:vAlign w:val="bottom"/>
            <w:tcBorders>
              <w:bottom w:val="single" w:sz="8" w:color="EEEFEE"/>
            </w:tcBorders>
          </w:tcPr>
          <w:p>
            <w:pPr>
              <w:spacing w:after="0"/>
              <w:rPr>
                <w:sz w:val="18"/>
                <w:szCs w:val="18"/>
                <w:color w:val="auto"/>
              </w:rPr>
            </w:pPr>
          </w:p>
        </w:tc>
        <w:tc>
          <w:tcPr>
            <w:tcW w:w="32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200,047</w:t>
            </w:r>
          </w:p>
        </w:tc>
        <w:tc>
          <w:tcPr>
            <w:tcW w:w="120" w:type="dxa"/>
            <w:vAlign w:val="bottom"/>
            <w:tcBorders>
              <w:bottom w:val="single" w:sz="8" w:color="EEEFEE"/>
            </w:tcBorders>
          </w:tcPr>
          <w:p>
            <w:pPr>
              <w:spacing w:after="0"/>
              <w:rPr>
                <w:sz w:val="18"/>
                <w:szCs w:val="18"/>
                <w:color w:val="auto"/>
              </w:rPr>
            </w:pPr>
          </w:p>
        </w:tc>
        <w:tc>
          <w:tcPr>
            <w:tcW w:w="580" w:type="dxa"/>
            <w:vAlign w:val="bottom"/>
            <w:tcBorders>
              <w:bottom w:val="single" w:sz="8" w:color="auto"/>
            </w:tcBorders>
          </w:tcPr>
          <w:p>
            <w:pPr>
              <w:jc w:val="center"/>
              <w:ind w:left="407"/>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10,000</w:t>
            </w:r>
          </w:p>
        </w:tc>
        <w:tc>
          <w:tcPr>
            <w:tcW w:w="140" w:type="dxa"/>
            <w:vAlign w:val="bottom"/>
            <w:tcBorders>
              <w:bottom w:val="single" w:sz="8" w:color="EEEFEE"/>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346,547</w:t>
            </w:r>
          </w:p>
        </w:tc>
        <w:tc>
          <w:tcPr>
            <w:tcW w:w="0" w:type="dxa"/>
            <w:vAlign w:val="bottom"/>
          </w:tcPr>
          <w:p>
            <w:pPr>
              <w:spacing w:after="0"/>
              <w:rPr>
                <w:sz w:val="1"/>
                <w:szCs w:val="1"/>
                <w:color w:val="auto"/>
              </w:rPr>
            </w:pPr>
          </w:p>
        </w:tc>
      </w:tr>
      <w:tr>
        <w:trPr>
          <w:trHeight w:val="221"/>
        </w:trPr>
        <w:tc>
          <w:tcPr>
            <w:tcW w:w="6820" w:type="dxa"/>
            <w:vAlign w:val="bottom"/>
            <w:tcBorders>
              <w:bottom w:val="single" w:sz="8" w:color="auto"/>
            </w:tcBorders>
            <w:gridSpan w:val="2"/>
            <w:shd w:val="clear" w:color="auto" w:fill="EEEFEE"/>
          </w:tcPr>
          <w:p>
            <w:pPr>
              <w:ind w:left="80"/>
              <w:spacing w:after="0"/>
              <w:rPr>
                <w:sz w:val="20"/>
                <w:szCs w:val="20"/>
                <w:color w:val="auto"/>
              </w:rPr>
            </w:pPr>
            <w:r>
              <w:rPr>
                <w:rFonts w:ascii="Arial" w:cs="Arial" w:eastAsia="Arial" w:hAnsi="Arial"/>
                <w:sz w:val="15"/>
                <w:szCs w:val="15"/>
                <w:b w:val="1"/>
                <w:bCs w:val="1"/>
                <w:color w:val="00254F"/>
              </w:rPr>
              <w:t>Mary K. Bush</w:t>
            </w:r>
            <w:r>
              <w:rPr>
                <w:rFonts w:ascii="Arial" w:cs="Arial" w:eastAsia="Arial" w:hAnsi="Arial"/>
                <w:sz w:val="19"/>
                <w:szCs w:val="19"/>
                <w:b w:val="1"/>
                <w:bCs w:val="1"/>
                <w:color w:val="00254F"/>
                <w:vertAlign w:val="superscript"/>
              </w:rPr>
              <w:t>2</w:t>
            </w:r>
          </w:p>
        </w:tc>
        <w:tc>
          <w:tcPr>
            <w:tcW w:w="120" w:type="dxa"/>
            <w:vAlign w:val="bottom"/>
            <w:tcBorders>
              <w:right w:val="single" w:sz="8" w:color="EEEFEE"/>
            </w:tcBorders>
            <w:shd w:val="clear" w:color="auto" w:fill="EEEFEE"/>
          </w:tcPr>
          <w:p>
            <w:pPr>
              <w:spacing w:after="0"/>
              <w:rPr>
                <w:sz w:val="19"/>
                <w:szCs w:val="19"/>
                <w:color w:val="auto"/>
              </w:rPr>
            </w:pPr>
          </w:p>
        </w:tc>
        <w:tc>
          <w:tcPr>
            <w:tcW w:w="62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47,667</w:t>
            </w:r>
          </w:p>
        </w:tc>
        <w:tc>
          <w:tcPr>
            <w:tcW w:w="140" w:type="dxa"/>
            <w:vAlign w:val="bottom"/>
            <w:tcBorders>
              <w:right w:val="single" w:sz="8" w:color="EEEFEE"/>
            </w:tcBorders>
            <w:shd w:val="clear" w:color="auto" w:fill="EEEFEE"/>
          </w:tcPr>
          <w:p>
            <w:pPr>
              <w:spacing w:after="0"/>
              <w:rPr>
                <w:sz w:val="19"/>
                <w:szCs w:val="19"/>
                <w:color w:val="auto"/>
              </w:rPr>
            </w:pPr>
          </w:p>
        </w:tc>
        <w:tc>
          <w:tcPr>
            <w:tcW w:w="320" w:type="dxa"/>
            <w:vAlign w:val="bottom"/>
            <w:tcBorders>
              <w:bottom w:val="single" w:sz="8" w:color="auto"/>
            </w:tcBorders>
            <w:shd w:val="clear" w:color="auto" w:fill="EEEFEE"/>
          </w:tcPr>
          <w:p>
            <w:pPr>
              <w:ind w:left="220"/>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18,960</w:t>
            </w:r>
          </w:p>
        </w:tc>
        <w:tc>
          <w:tcPr>
            <w:tcW w:w="120" w:type="dxa"/>
            <w:vAlign w:val="bottom"/>
            <w:tcBorders>
              <w:right w:val="single" w:sz="8" w:color="EEEFEE"/>
            </w:tcBorders>
            <w:shd w:val="clear" w:color="auto" w:fill="EEEFEE"/>
          </w:tcPr>
          <w:p>
            <w:pPr>
              <w:spacing w:after="0"/>
              <w:rPr>
                <w:sz w:val="19"/>
                <w:szCs w:val="19"/>
                <w:color w:val="auto"/>
              </w:rPr>
            </w:pPr>
          </w:p>
        </w:tc>
        <w:tc>
          <w:tcPr>
            <w:tcW w:w="580" w:type="dxa"/>
            <w:vAlign w:val="bottom"/>
            <w:tcBorders>
              <w:bottom w:val="single" w:sz="8" w:color="auto"/>
            </w:tcBorders>
            <w:shd w:val="clear" w:color="auto" w:fill="EEEFEE"/>
          </w:tcPr>
          <w:p>
            <w:pPr>
              <w:jc w:val="center"/>
              <w:ind w:left="407"/>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w w:val="95"/>
              </w:rPr>
              <w:t>10,000</w:t>
            </w:r>
          </w:p>
        </w:tc>
        <w:tc>
          <w:tcPr>
            <w:tcW w:w="140" w:type="dxa"/>
            <w:vAlign w:val="bottom"/>
            <w:tcBorders>
              <w:right w:val="single" w:sz="8" w:color="EEEFEE"/>
            </w:tcBorders>
            <w:shd w:val="clear" w:color="auto" w:fill="EEEFEE"/>
          </w:tcPr>
          <w:p>
            <w:pPr>
              <w:spacing w:after="0"/>
              <w:rPr>
                <w:sz w:val="19"/>
                <w:szCs w:val="19"/>
                <w:color w:val="auto"/>
              </w:rPr>
            </w:pPr>
          </w:p>
        </w:tc>
        <w:tc>
          <w:tcPr>
            <w:tcW w:w="10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76,627</w:t>
            </w:r>
          </w:p>
        </w:tc>
        <w:tc>
          <w:tcPr>
            <w:tcW w:w="0" w:type="dxa"/>
            <w:vAlign w:val="bottom"/>
          </w:tcPr>
          <w:p>
            <w:pPr>
              <w:spacing w:after="0"/>
              <w:rPr>
                <w:sz w:val="1"/>
                <w:szCs w:val="1"/>
                <w:color w:val="auto"/>
              </w:rPr>
            </w:pPr>
          </w:p>
        </w:tc>
      </w:tr>
      <w:tr>
        <w:trPr>
          <w:trHeight w:val="214"/>
        </w:trPr>
        <w:tc>
          <w:tcPr>
            <w:tcW w:w="682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00254F"/>
              </w:rPr>
              <w:t>Dina Dublon</w:t>
            </w:r>
          </w:p>
        </w:tc>
        <w:tc>
          <w:tcPr>
            <w:tcW w:w="120" w:type="dxa"/>
            <w:vAlign w:val="bottom"/>
            <w:tcBorders>
              <w:bottom w:val="single" w:sz="8" w:color="EEEFEE"/>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9"/>
              </w:rPr>
              <w:t>121,500</w:t>
            </w:r>
          </w:p>
        </w:tc>
        <w:tc>
          <w:tcPr>
            <w:tcW w:w="140" w:type="dxa"/>
            <w:vAlign w:val="bottom"/>
            <w:tcBorders>
              <w:bottom w:val="single" w:sz="8" w:color="EEEFEE"/>
            </w:tcBorders>
          </w:tcPr>
          <w:p>
            <w:pPr>
              <w:spacing w:after="0"/>
              <w:rPr>
                <w:sz w:val="18"/>
                <w:szCs w:val="18"/>
                <w:color w:val="auto"/>
              </w:rPr>
            </w:pPr>
          </w:p>
        </w:tc>
        <w:tc>
          <w:tcPr>
            <w:tcW w:w="32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240,802</w:t>
            </w:r>
          </w:p>
        </w:tc>
        <w:tc>
          <w:tcPr>
            <w:tcW w:w="120" w:type="dxa"/>
            <w:vAlign w:val="bottom"/>
            <w:tcBorders>
              <w:bottom w:val="single" w:sz="8" w:color="EEEFEE"/>
            </w:tcBorders>
          </w:tcPr>
          <w:p>
            <w:pPr>
              <w:spacing w:after="0"/>
              <w:rPr>
                <w:sz w:val="18"/>
                <w:szCs w:val="18"/>
                <w:color w:val="auto"/>
              </w:rPr>
            </w:pPr>
          </w:p>
        </w:tc>
        <w:tc>
          <w:tcPr>
            <w:tcW w:w="580" w:type="dxa"/>
            <w:vAlign w:val="bottom"/>
            <w:tcBorders>
              <w:bottom w:val="single" w:sz="8" w:color="auto"/>
            </w:tcBorders>
          </w:tcPr>
          <w:p>
            <w:pPr>
              <w:jc w:val="center"/>
              <w:ind w:left="407"/>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10,000</w:t>
            </w:r>
          </w:p>
        </w:tc>
        <w:tc>
          <w:tcPr>
            <w:tcW w:w="140" w:type="dxa"/>
            <w:vAlign w:val="bottom"/>
            <w:tcBorders>
              <w:bottom w:val="single" w:sz="8" w:color="EEEFEE"/>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372,302</w:t>
            </w:r>
          </w:p>
        </w:tc>
        <w:tc>
          <w:tcPr>
            <w:tcW w:w="0" w:type="dxa"/>
            <w:vAlign w:val="bottom"/>
          </w:tcPr>
          <w:p>
            <w:pPr>
              <w:spacing w:after="0"/>
              <w:rPr>
                <w:sz w:val="1"/>
                <w:szCs w:val="1"/>
                <w:color w:val="auto"/>
              </w:rPr>
            </w:pPr>
          </w:p>
        </w:tc>
      </w:tr>
      <w:tr>
        <w:trPr>
          <w:trHeight w:val="217"/>
        </w:trPr>
        <w:tc>
          <w:tcPr>
            <w:tcW w:w="6820" w:type="dxa"/>
            <w:vAlign w:val="bottom"/>
            <w:tcBorders>
              <w:bottom w:val="single" w:sz="8" w:color="auto"/>
            </w:tcBorders>
            <w:gridSpan w:val="2"/>
            <w:shd w:val="clear" w:color="auto" w:fill="EEEFEE"/>
          </w:tcPr>
          <w:p>
            <w:pPr>
              <w:ind w:left="80"/>
              <w:spacing w:after="0"/>
              <w:rPr>
                <w:sz w:val="20"/>
                <w:szCs w:val="20"/>
                <w:color w:val="auto"/>
              </w:rPr>
            </w:pPr>
            <w:r>
              <w:rPr>
                <w:rFonts w:ascii="Arial" w:cs="Arial" w:eastAsia="Arial" w:hAnsi="Arial"/>
                <w:sz w:val="15"/>
                <w:szCs w:val="15"/>
                <w:b w:val="1"/>
                <w:bCs w:val="1"/>
                <w:color w:val="00254F"/>
              </w:rPr>
              <w:t>William P. Donnelly</w:t>
            </w:r>
          </w:p>
        </w:tc>
        <w:tc>
          <w:tcPr>
            <w:tcW w:w="120" w:type="dxa"/>
            <w:vAlign w:val="bottom"/>
            <w:tcBorders>
              <w:right w:val="single" w:sz="8" w:color="EEEFEE"/>
            </w:tcBorders>
            <w:shd w:val="clear" w:color="auto" w:fill="EEEFEE"/>
          </w:tcPr>
          <w:p>
            <w:pPr>
              <w:spacing w:after="0"/>
              <w:rPr>
                <w:sz w:val="18"/>
                <w:szCs w:val="18"/>
                <w:color w:val="auto"/>
              </w:rPr>
            </w:pPr>
          </w:p>
        </w:tc>
        <w:tc>
          <w:tcPr>
            <w:tcW w:w="62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right w:val="single" w:sz="8" w:color="EEEFEE"/>
            </w:tcBorders>
            <w:shd w:val="clear" w:color="auto" w:fill="EEEFEE"/>
          </w:tcPr>
          <w:p>
            <w:pPr>
              <w:spacing w:after="0"/>
              <w:rPr>
                <w:sz w:val="18"/>
                <w:szCs w:val="18"/>
                <w:color w:val="auto"/>
              </w:rPr>
            </w:pPr>
          </w:p>
        </w:tc>
        <w:tc>
          <w:tcPr>
            <w:tcW w:w="320" w:type="dxa"/>
            <w:vAlign w:val="bottom"/>
            <w:tcBorders>
              <w:bottom w:val="single" w:sz="8" w:color="auto"/>
            </w:tcBorders>
            <w:shd w:val="clear" w:color="auto" w:fill="EEEFEE"/>
          </w:tcPr>
          <w:p>
            <w:pPr>
              <w:ind w:left="220"/>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w w:val="95"/>
              </w:rPr>
              <w:t>324,382</w:t>
            </w:r>
          </w:p>
        </w:tc>
        <w:tc>
          <w:tcPr>
            <w:tcW w:w="120" w:type="dxa"/>
            <w:vAlign w:val="bottom"/>
            <w:tcBorders>
              <w:right w:val="single" w:sz="8" w:color="EEEFEE"/>
            </w:tcBorders>
            <w:shd w:val="clear" w:color="auto" w:fill="EEEFEE"/>
          </w:tcPr>
          <w:p>
            <w:pPr>
              <w:spacing w:after="0"/>
              <w:rPr>
                <w:sz w:val="18"/>
                <w:szCs w:val="18"/>
                <w:color w:val="auto"/>
              </w:rPr>
            </w:pPr>
          </w:p>
        </w:tc>
        <w:tc>
          <w:tcPr>
            <w:tcW w:w="580" w:type="dxa"/>
            <w:vAlign w:val="bottom"/>
            <w:tcBorders>
              <w:bottom w:val="single" w:sz="8" w:color="auto"/>
            </w:tcBorders>
            <w:shd w:val="clear" w:color="auto" w:fill="EEEFEE"/>
          </w:tcPr>
          <w:p>
            <w:pPr>
              <w:jc w:val="center"/>
              <w:ind w:left="407"/>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w w:val="95"/>
              </w:rPr>
              <w:t>10,000</w:t>
            </w:r>
          </w:p>
        </w:tc>
        <w:tc>
          <w:tcPr>
            <w:tcW w:w="140" w:type="dxa"/>
            <w:vAlign w:val="bottom"/>
            <w:tcBorders>
              <w:right w:val="single" w:sz="8" w:color="EEEFEE"/>
            </w:tcBorders>
            <w:shd w:val="clear" w:color="auto" w:fill="EEEFEE"/>
          </w:tcPr>
          <w:p>
            <w:pPr>
              <w:spacing w:after="0"/>
              <w:rPr>
                <w:sz w:val="18"/>
                <w:szCs w:val="18"/>
                <w:color w:val="auto"/>
              </w:rPr>
            </w:pPr>
          </w:p>
        </w:tc>
        <w:tc>
          <w:tcPr>
            <w:tcW w:w="10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w w:val="95"/>
              </w:rPr>
              <w:t>334,382</w:t>
            </w:r>
          </w:p>
        </w:tc>
        <w:tc>
          <w:tcPr>
            <w:tcW w:w="0" w:type="dxa"/>
            <w:vAlign w:val="bottom"/>
          </w:tcPr>
          <w:p>
            <w:pPr>
              <w:spacing w:after="0"/>
              <w:rPr>
                <w:sz w:val="1"/>
                <w:szCs w:val="1"/>
                <w:color w:val="auto"/>
              </w:rPr>
            </w:pPr>
          </w:p>
        </w:tc>
      </w:tr>
      <w:tr>
        <w:trPr>
          <w:trHeight w:val="217"/>
        </w:trPr>
        <w:tc>
          <w:tcPr>
            <w:tcW w:w="682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00254F"/>
              </w:rPr>
              <w:t>Dr. Freeman A. Hrabowski, III</w:t>
            </w:r>
          </w:p>
        </w:tc>
        <w:tc>
          <w:tcPr>
            <w:tcW w:w="120" w:type="dxa"/>
            <w:vAlign w:val="bottom"/>
            <w:tcBorders>
              <w:bottom w:val="single" w:sz="8" w:color="EEEFEE"/>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9"/>
              </w:rPr>
              <w:t>125,000</w:t>
            </w:r>
          </w:p>
        </w:tc>
        <w:tc>
          <w:tcPr>
            <w:tcW w:w="140" w:type="dxa"/>
            <w:vAlign w:val="bottom"/>
            <w:tcBorders>
              <w:bottom w:val="single" w:sz="8" w:color="EEEFEE"/>
            </w:tcBorders>
          </w:tcPr>
          <w:p>
            <w:pPr>
              <w:spacing w:after="0"/>
              <w:rPr>
                <w:sz w:val="18"/>
                <w:szCs w:val="18"/>
                <w:color w:val="auto"/>
              </w:rPr>
            </w:pPr>
          </w:p>
        </w:tc>
        <w:tc>
          <w:tcPr>
            <w:tcW w:w="32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297,749</w:t>
            </w:r>
          </w:p>
        </w:tc>
        <w:tc>
          <w:tcPr>
            <w:tcW w:w="120" w:type="dxa"/>
            <w:vAlign w:val="bottom"/>
            <w:tcBorders>
              <w:bottom w:val="single" w:sz="8" w:color="EEEFEE"/>
            </w:tcBorders>
          </w:tcPr>
          <w:p>
            <w:pPr>
              <w:spacing w:after="0"/>
              <w:rPr>
                <w:sz w:val="18"/>
                <w:szCs w:val="18"/>
                <w:color w:val="auto"/>
              </w:rPr>
            </w:pPr>
          </w:p>
        </w:tc>
        <w:tc>
          <w:tcPr>
            <w:tcW w:w="580" w:type="dxa"/>
            <w:vAlign w:val="bottom"/>
            <w:tcBorders>
              <w:bottom w:val="single" w:sz="8" w:color="auto"/>
            </w:tcBorders>
          </w:tcPr>
          <w:p>
            <w:pPr>
              <w:jc w:val="center"/>
              <w:ind w:left="407"/>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10,000</w:t>
            </w:r>
          </w:p>
        </w:tc>
        <w:tc>
          <w:tcPr>
            <w:tcW w:w="140" w:type="dxa"/>
            <w:vAlign w:val="bottom"/>
            <w:tcBorders>
              <w:bottom w:val="single" w:sz="8" w:color="EEEFEE"/>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432,749</w:t>
            </w:r>
          </w:p>
        </w:tc>
        <w:tc>
          <w:tcPr>
            <w:tcW w:w="0" w:type="dxa"/>
            <w:vAlign w:val="bottom"/>
          </w:tcPr>
          <w:p>
            <w:pPr>
              <w:spacing w:after="0"/>
              <w:rPr>
                <w:sz w:val="1"/>
                <w:szCs w:val="1"/>
                <w:color w:val="auto"/>
              </w:rPr>
            </w:pPr>
          </w:p>
        </w:tc>
      </w:tr>
      <w:tr>
        <w:trPr>
          <w:trHeight w:val="217"/>
        </w:trPr>
        <w:tc>
          <w:tcPr>
            <w:tcW w:w="6820" w:type="dxa"/>
            <w:vAlign w:val="bottom"/>
            <w:tcBorders>
              <w:bottom w:val="single" w:sz="8" w:color="auto"/>
            </w:tcBorders>
            <w:gridSpan w:val="2"/>
            <w:shd w:val="clear" w:color="auto" w:fill="EEEFEE"/>
          </w:tcPr>
          <w:p>
            <w:pPr>
              <w:ind w:left="80"/>
              <w:spacing w:after="0"/>
              <w:rPr>
                <w:sz w:val="20"/>
                <w:szCs w:val="20"/>
                <w:color w:val="auto"/>
              </w:rPr>
            </w:pPr>
            <w:r>
              <w:rPr>
                <w:rFonts w:ascii="Arial" w:cs="Arial" w:eastAsia="Arial" w:hAnsi="Arial"/>
                <w:sz w:val="15"/>
                <w:szCs w:val="15"/>
                <w:b w:val="1"/>
                <w:bCs w:val="1"/>
                <w:color w:val="00254F"/>
              </w:rPr>
              <w:t>Robert F. MacLellan</w:t>
            </w:r>
          </w:p>
        </w:tc>
        <w:tc>
          <w:tcPr>
            <w:tcW w:w="120" w:type="dxa"/>
            <w:vAlign w:val="bottom"/>
            <w:tcBorders>
              <w:right w:val="single" w:sz="8" w:color="EEEFEE"/>
            </w:tcBorders>
            <w:shd w:val="clear" w:color="auto" w:fill="EEEFEE"/>
          </w:tcPr>
          <w:p>
            <w:pPr>
              <w:spacing w:after="0"/>
              <w:rPr>
                <w:sz w:val="18"/>
                <w:szCs w:val="18"/>
                <w:color w:val="auto"/>
              </w:rPr>
            </w:pPr>
          </w:p>
        </w:tc>
        <w:tc>
          <w:tcPr>
            <w:tcW w:w="62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right w:val="single" w:sz="8" w:color="EEEFEE"/>
            </w:tcBorders>
            <w:shd w:val="clear" w:color="auto" w:fill="EEEFEE"/>
          </w:tcPr>
          <w:p>
            <w:pPr>
              <w:spacing w:after="0"/>
              <w:rPr>
                <w:sz w:val="18"/>
                <w:szCs w:val="18"/>
                <w:color w:val="auto"/>
              </w:rPr>
            </w:pPr>
          </w:p>
        </w:tc>
        <w:tc>
          <w:tcPr>
            <w:tcW w:w="320" w:type="dxa"/>
            <w:vAlign w:val="bottom"/>
            <w:tcBorders>
              <w:bottom w:val="single" w:sz="8" w:color="auto"/>
            </w:tcBorders>
            <w:shd w:val="clear" w:color="auto" w:fill="EEEFEE"/>
          </w:tcPr>
          <w:p>
            <w:pPr>
              <w:ind w:left="220"/>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w w:val="95"/>
              </w:rPr>
              <w:t>376,701</w:t>
            </w:r>
          </w:p>
        </w:tc>
        <w:tc>
          <w:tcPr>
            <w:tcW w:w="120" w:type="dxa"/>
            <w:vAlign w:val="bottom"/>
            <w:tcBorders>
              <w:right w:val="single" w:sz="8" w:color="EEEFEE"/>
            </w:tcBorders>
            <w:shd w:val="clear" w:color="auto" w:fill="EEEFEE"/>
          </w:tcPr>
          <w:p>
            <w:pPr>
              <w:spacing w:after="0"/>
              <w:rPr>
                <w:sz w:val="18"/>
                <w:szCs w:val="18"/>
                <w:color w:val="auto"/>
              </w:rPr>
            </w:pPr>
          </w:p>
        </w:tc>
        <w:tc>
          <w:tcPr>
            <w:tcW w:w="580" w:type="dxa"/>
            <w:vAlign w:val="bottom"/>
            <w:tcBorders>
              <w:bottom w:val="single" w:sz="8" w:color="auto"/>
            </w:tcBorders>
            <w:shd w:val="clear" w:color="auto" w:fill="EEEFEE"/>
          </w:tcPr>
          <w:p>
            <w:pPr>
              <w:jc w:val="center"/>
              <w:ind w:left="407"/>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9,883</w:t>
            </w:r>
          </w:p>
        </w:tc>
        <w:tc>
          <w:tcPr>
            <w:tcW w:w="140" w:type="dxa"/>
            <w:vAlign w:val="bottom"/>
            <w:tcBorders>
              <w:right w:val="single" w:sz="8" w:color="EEEFEE"/>
            </w:tcBorders>
            <w:shd w:val="clear" w:color="auto" w:fill="EEEFEE"/>
          </w:tcPr>
          <w:p>
            <w:pPr>
              <w:spacing w:after="0"/>
              <w:rPr>
                <w:sz w:val="18"/>
                <w:szCs w:val="18"/>
                <w:color w:val="auto"/>
              </w:rPr>
            </w:pPr>
          </w:p>
        </w:tc>
        <w:tc>
          <w:tcPr>
            <w:tcW w:w="10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w w:val="95"/>
              </w:rPr>
              <w:t>386,584</w:t>
            </w:r>
          </w:p>
        </w:tc>
        <w:tc>
          <w:tcPr>
            <w:tcW w:w="0" w:type="dxa"/>
            <w:vAlign w:val="bottom"/>
          </w:tcPr>
          <w:p>
            <w:pPr>
              <w:spacing w:after="0"/>
              <w:rPr>
                <w:sz w:val="1"/>
                <w:szCs w:val="1"/>
                <w:color w:val="auto"/>
              </w:rPr>
            </w:pPr>
          </w:p>
        </w:tc>
      </w:tr>
      <w:tr>
        <w:trPr>
          <w:trHeight w:val="217"/>
        </w:trPr>
        <w:tc>
          <w:tcPr>
            <w:tcW w:w="682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00254F"/>
              </w:rPr>
              <w:t>Eileen P. Rominger</w:t>
            </w:r>
          </w:p>
        </w:tc>
        <w:tc>
          <w:tcPr>
            <w:tcW w:w="120" w:type="dxa"/>
            <w:vAlign w:val="bottom"/>
            <w:tcBorders>
              <w:bottom w:val="single" w:sz="8" w:color="EEEFEE"/>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9"/>
              </w:rPr>
              <w:t>118,583</w:t>
            </w:r>
          </w:p>
        </w:tc>
        <w:tc>
          <w:tcPr>
            <w:tcW w:w="140" w:type="dxa"/>
            <w:vAlign w:val="bottom"/>
            <w:tcBorders>
              <w:bottom w:val="single" w:sz="8" w:color="EEEFEE"/>
            </w:tcBorders>
          </w:tcPr>
          <w:p>
            <w:pPr>
              <w:spacing w:after="0"/>
              <w:rPr>
                <w:sz w:val="18"/>
                <w:szCs w:val="18"/>
                <w:color w:val="auto"/>
              </w:rPr>
            </w:pPr>
          </w:p>
        </w:tc>
        <w:tc>
          <w:tcPr>
            <w:tcW w:w="32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200,047</w:t>
            </w:r>
          </w:p>
        </w:tc>
        <w:tc>
          <w:tcPr>
            <w:tcW w:w="120" w:type="dxa"/>
            <w:vAlign w:val="bottom"/>
            <w:tcBorders>
              <w:bottom w:val="single" w:sz="8" w:color="EEEFEE"/>
            </w:tcBorders>
          </w:tcPr>
          <w:p>
            <w:pPr>
              <w:spacing w:after="0"/>
              <w:rPr>
                <w:sz w:val="18"/>
                <w:szCs w:val="18"/>
                <w:color w:val="auto"/>
              </w:rPr>
            </w:pPr>
          </w:p>
        </w:tc>
        <w:tc>
          <w:tcPr>
            <w:tcW w:w="580" w:type="dxa"/>
            <w:vAlign w:val="bottom"/>
            <w:tcBorders>
              <w:bottom w:val="single" w:sz="8" w:color="auto"/>
            </w:tcBorders>
          </w:tcPr>
          <w:p>
            <w:pPr>
              <w:jc w:val="center"/>
              <w:ind w:left="407"/>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10,000</w:t>
            </w:r>
          </w:p>
        </w:tc>
        <w:tc>
          <w:tcPr>
            <w:tcW w:w="140" w:type="dxa"/>
            <w:vAlign w:val="bottom"/>
            <w:tcBorders>
              <w:bottom w:val="single" w:sz="8" w:color="EEEFEE"/>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328,630</w:t>
            </w:r>
          </w:p>
        </w:tc>
        <w:tc>
          <w:tcPr>
            <w:tcW w:w="0" w:type="dxa"/>
            <w:vAlign w:val="bottom"/>
          </w:tcPr>
          <w:p>
            <w:pPr>
              <w:spacing w:after="0"/>
              <w:rPr>
                <w:sz w:val="1"/>
                <w:szCs w:val="1"/>
                <w:color w:val="auto"/>
              </w:rPr>
            </w:pPr>
          </w:p>
        </w:tc>
      </w:tr>
      <w:tr>
        <w:trPr>
          <w:trHeight w:val="217"/>
        </w:trPr>
        <w:tc>
          <w:tcPr>
            <w:tcW w:w="6820" w:type="dxa"/>
            <w:vAlign w:val="bottom"/>
            <w:tcBorders>
              <w:bottom w:val="single" w:sz="8" w:color="auto"/>
            </w:tcBorders>
            <w:gridSpan w:val="2"/>
            <w:shd w:val="clear" w:color="auto" w:fill="EEEFEE"/>
          </w:tcPr>
          <w:p>
            <w:pPr>
              <w:ind w:left="80"/>
              <w:spacing w:after="0"/>
              <w:rPr>
                <w:sz w:val="20"/>
                <w:szCs w:val="20"/>
                <w:color w:val="auto"/>
              </w:rPr>
            </w:pPr>
            <w:r>
              <w:rPr>
                <w:rFonts w:ascii="Arial" w:cs="Arial" w:eastAsia="Arial" w:hAnsi="Arial"/>
                <w:sz w:val="15"/>
                <w:szCs w:val="15"/>
                <w:b w:val="1"/>
                <w:bCs w:val="1"/>
                <w:color w:val="00254F"/>
              </w:rPr>
              <w:t>Cynthia F. Smith</w:t>
            </w:r>
          </w:p>
        </w:tc>
        <w:tc>
          <w:tcPr>
            <w:tcW w:w="120" w:type="dxa"/>
            <w:vAlign w:val="bottom"/>
            <w:tcBorders>
              <w:right w:val="single" w:sz="8" w:color="EEEFEE"/>
            </w:tcBorders>
            <w:shd w:val="clear" w:color="auto" w:fill="EEEFEE"/>
          </w:tcPr>
          <w:p>
            <w:pPr>
              <w:spacing w:after="0"/>
              <w:rPr>
                <w:sz w:val="18"/>
                <w:szCs w:val="18"/>
                <w:color w:val="auto"/>
              </w:rPr>
            </w:pPr>
          </w:p>
        </w:tc>
        <w:tc>
          <w:tcPr>
            <w:tcW w:w="62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49,750</w:t>
            </w:r>
          </w:p>
        </w:tc>
        <w:tc>
          <w:tcPr>
            <w:tcW w:w="140" w:type="dxa"/>
            <w:vAlign w:val="bottom"/>
            <w:tcBorders>
              <w:right w:val="single" w:sz="8" w:color="EEEFEE"/>
            </w:tcBorders>
            <w:shd w:val="clear" w:color="auto" w:fill="EEEFEE"/>
          </w:tcPr>
          <w:p>
            <w:pPr>
              <w:spacing w:after="0"/>
              <w:rPr>
                <w:sz w:val="18"/>
                <w:szCs w:val="18"/>
                <w:color w:val="auto"/>
              </w:rPr>
            </w:pPr>
          </w:p>
        </w:tc>
        <w:tc>
          <w:tcPr>
            <w:tcW w:w="320" w:type="dxa"/>
            <w:vAlign w:val="bottom"/>
            <w:tcBorders>
              <w:bottom w:val="single" w:sz="8" w:color="auto"/>
            </w:tcBorders>
            <w:shd w:val="clear" w:color="auto" w:fill="EEEFEE"/>
          </w:tcPr>
          <w:p>
            <w:pPr>
              <w:ind w:left="220"/>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w w:val="95"/>
              </w:rPr>
              <w:t>300,061</w:t>
            </w:r>
          </w:p>
        </w:tc>
        <w:tc>
          <w:tcPr>
            <w:tcW w:w="120" w:type="dxa"/>
            <w:vAlign w:val="bottom"/>
            <w:tcBorders>
              <w:right w:val="single" w:sz="8" w:color="EEEFEE"/>
            </w:tcBorders>
            <w:shd w:val="clear" w:color="auto" w:fill="EEEFEE"/>
          </w:tcPr>
          <w:p>
            <w:pPr>
              <w:spacing w:after="0"/>
              <w:rPr>
                <w:sz w:val="18"/>
                <w:szCs w:val="18"/>
                <w:color w:val="auto"/>
              </w:rPr>
            </w:pPr>
          </w:p>
        </w:tc>
        <w:tc>
          <w:tcPr>
            <w:tcW w:w="580" w:type="dxa"/>
            <w:vAlign w:val="bottom"/>
            <w:tcBorders>
              <w:bottom w:val="single" w:sz="8" w:color="auto"/>
            </w:tcBorders>
            <w:shd w:val="clear" w:color="auto" w:fill="EEEFEE"/>
          </w:tcPr>
          <w:p>
            <w:pPr>
              <w:jc w:val="center"/>
              <w:ind w:left="407"/>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right w:val="single" w:sz="8" w:color="EEEFEE"/>
            </w:tcBorders>
            <w:shd w:val="clear" w:color="auto" w:fill="EEEFEE"/>
          </w:tcPr>
          <w:p>
            <w:pPr>
              <w:spacing w:after="0"/>
              <w:rPr>
                <w:sz w:val="18"/>
                <w:szCs w:val="18"/>
                <w:color w:val="auto"/>
              </w:rPr>
            </w:pPr>
          </w:p>
        </w:tc>
        <w:tc>
          <w:tcPr>
            <w:tcW w:w="10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w w:val="95"/>
              </w:rPr>
              <w:t>349,811</w:t>
            </w:r>
          </w:p>
        </w:tc>
        <w:tc>
          <w:tcPr>
            <w:tcW w:w="0" w:type="dxa"/>
            <w:vAlign w:val="bottom"/>
          </w:tcPr>
          <w:p>
            <w:pPr>
              <w:spacing w:after="0"/>
              <w:rPr>
                <w:sz w:val="1"/>
                <w:szCs w:val="1"/>
                <w:color w:val="auto"/>
              </w:rPr>
            </w:pPr>
          </w:p>
        </w:tc>
      </w:tr>
      <w:tr>
        <w:trPr>
          <w:trHeight w:val="217"/>
        </w:trPr>
        <w:tc>
          <w:tcPr>
            <w:tcW w:w="682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00254F"/>
              </w:rPr>
              <w:t>Robert J. Stevens</w:t>
            </w:r>
          </w:p>
        </w:tc>
        <w:tc>
          <w:tcPr>
            <w:tcW w:w="120" w:type="dxa"/>
            <w:vAlign w:val="bottom"/>
            <w:tcBorders>
              <w:bottom w:val="single" w:sz="8" w:color="EEEFEE"/>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EEEFEE"/>
            </w:tcBorders>
          </w:tcPr>
          <w:p>
            <w:pPr>
              <w:spacing w:after="0"/>
              <w:rPr>
                <w:sz w:val="18"/>
                <w:szCs w:val="18"/>
                <w:color w:val="auto"/>
              </w:rPr>
            </w:pPr>
          </w:p>
        </w:tc>
        <w:tc>
          <w:tcPr>
            <w:tcW w:w="32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376,769</w:t>
            </w:r>
          </w:p>
        </w:tc>
        <w:tc>
          <w:tcPr>
            <w:tcW w:w="120" w:type="dxa"/>
            <w:vAlign w:val="bottom"/>
            <w:tcBorders>
              <w:bottom w:val="single" w:sz="8" w:color="EEEFEE"/>
            </w:tcBorders>
          </w:tcPr>
          <w:p>
            <w:pPr>
              <w:spacing w:after="0"/>
              <w:rPr>
                <w:sz w:val="18"/>
                <w:szCs w:val="18"/>
                <w:color w:val="auto"/>
              </w:rPr>
            </w:pPr>
          </w:p>
        </w:tc>
        <w:tc>
          <w:tcPr>
            <w:tcW w:w="580" w:type="dxa"/>
            <w:vAlign w:val="bottom"/>
            <w:tcBorders>
              <w:bottom w:val="single" w:sz="8" w:color="auto"/>
            </w:tcBorders>
          </w:tcPr>
          <w:p>
            <w:pPr>
              <w:jc w:val="center"/>
              <w:ind w:left="407"/>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EEEFEE"/>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376,769</w:t>
            </w:r>
          </w:p>
        </w:tc>
        <w:tc>
          <w:tcPr>
            <w:tcW w:w="0" w:type="dxa"/>
            <w:vAlign w:val="bottom"/>
          </w:tcPr>
          <w:p>
            <w:pPr>
              <w:spacing w:after="0"/>
              <w:rPr>
                <w:sz w:val="1"/>
                <w:szCs w:val="1"/>
                <w:color w:val="auto"/>
              </w:rPr>
            </w:pPr>
          </w:p>
        </w:tc>
      </w:tr>
      <w:tr>
        <w:trPr>
          <w:trHeight w:val="217"/>
        </w:trPr>
        <w:tc>
          <w:tcPr>
            <w:tcW w:w="6820" w:type="dxa"/>
            <w:vAlign w:val="bottom"/>
            <w:tcBorders>
              <w:bottom w:val="single" w:sz="8" w:color="auto"/>
            </w:tcBorders>
            <w:gridSpan w:val="2"/>
            <w:shd w:val="clear" w:color="auto" w:fill="EEEFEE"/>
          </w:tcPr>
          <w:p>
            <w:pPr>
              <w:ind w:left="80"/>
              <w:spacing w:after="0"/>
              <w:rPr>
                <w:sz w:val="20"/>
                <w:szCs w:val="20"/>
                <w:color w:val="auto"/>
              </w:rPr>
            </w:pPr>
            <w:r>
              <w:rPr>
                <w:rFonts w:ascii="Arial" w:cs="Arial" w:eastAsia="Arial" w:hAnsi="Arial"/>
                <w:sz w:val="15"/>
                <w:szCs w:val="15"/>
                <w:b w:val="1"/>
                <w:bCs w:val="1"/>
                <w:color w:val="00254F"/>
              </w:rPr>
              <w:t>William J. Stromberg</w:t>
            </w:r>
          </w:p>
        </w:tc>
        <w:tc>
          <w:tcPr>
            <w:tcW w:w="120" w:type="dxa"/>
            <w:vAlign w:val="bottom"/>
            <w:tcBorders>
              <w:right w:val="single" w:sz="8" w:color="EEEFEE"/>
            </w:tcBorders>
            <w:shd w:val="clear" w:color="auto" w:fill="EEEFEE"/>
          </w:tcPr>
          <w:p>
            <w:pPr>
              <w:spacing w:after="0"/>
              <w:rPr>
                <w:sz w:val="18"/>
                <w:szCs w:val="18"/>
                <w:color w:val="auto"/>
              </w:rPr>
            </w:pPr>
          </w:p>
        </w:tc>
        <w:tc>
          <w:tcPr>
            <w:tcW w:w="62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w w:val="99"/>
              </w:rPr>
              <w:t>450,000</w:t>
            </w:r>
          </w:p>
        </w:tc>
        <w:tc>
          <w:tcPr>
            <w:tcW w:w="140" w:type="dxa"/>
            <w:vAlign w:val="bottom"/>
            <w:tcBorders>
              <w:right w:val="single" w:sz="8" w:color="EEEFEE"/>
            </w:tcBorders>
            <w:shd w:val="clear" w:color="auto" w:fill="EEEFEE"/>
          </w:tcPr>
          <w:p>
            <w:pPr>
              <w:spacing w:after="0"/>
              <w:rPr>
                <w:sz w:val="18"/>
                <w:szCs w:val="18"/>
                <w:color w:val="auto"/>
              </w:rPr>
            </w:pPr>
          </w:p>
        </w:tc>
        <w:tc>
          <w:tcPr>
            <w:tcW w:w="320" w:type="dxa"/>
            <w:vAlign w:val="bottom"/>
            <w:tcBorders>
              <w:bottom w:val="single" w:sz="8" w:color="auto"/>
            </w:tcBorders>
            <w:shd w:val="clear" w:color="auto" w:fill="EEEFEE"/>
          </w:tcPr>
          <w:p>
            <w:pPr>
              <w:ind w:left="220"/>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right w:val="single" w:sz="8" w:color="EEEFEE"/>
            </w:tcBorders>
            <w:shd w:val="clear" w:color="auto" w:fill="EEEFEE"/>
          </w:tcPr>
          <w:p>
            <w:pPr>
              <w:spacing w:after="0"/>
              <w:rPr>
                <w:sz w:val="18"/>
                <w:szCs w:val="18"/>
                <w:color w:val="auto"/>
              </w:rPr>
            </w:pPr>
          </w:p>
        </w:tc>
        <w:tc>
          <w:tcPr>
            <w:tcW w:w="580" w:type="dxa"/>
            <w:vAlign w:val="bottom"/>
            <w:tcBorders>
              <w:bottom w:val="single" w:sz="8" w:color="auto"/>
            </w:tcBorders>
            <w:shd w:val="clear" w:color="auto" w:fill="EEEFEE"/>
          </w:tcPr>
          <w:p>
            <w:pPr>
              <w:jc w:val="center"/>
              <w:ind w:left="407"/>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right w:val="single" w:sz="8" w:color="EEEFEE"/>
            </w:tcBorders>
            <w:shd w:val="clear" w:color="auto" w:fill="EEEFEE"/>
          </w:tcPr>
          <w:p>
            <w:pPr>
              <w:spacing w:after="0"/>
              <w:rPr>
                <w:sz w:val="18"/>
                <w:szCs w:val="18"/>
                <w:color w:val="auto"/>
              </w:rPr>
            </w:pPr>
          </w:p>
        </w:tc>
        <w:tc>
          <w:tcPr>
            <w:tcW w:w="10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w w:val="95"/>
              </w:rPr>
              <w:t>450,000</w:t>
            </w:r>
          </w:p>
        </w:tc>
        <w:tc>
          <w:tcPr>
            <w:tcW w:w="0" w:type="dxa"/>
            <w:vAlign w:val="bottom"/>
          </w:tcPr>
          <w:p>
            <w:pPr>
              <w:spacing w:after="0"/>
              <w:rPr>
                <w:sz w:val="1"/>
                <w:szCs w:val="1"/>
                <w:color w:val="auto"/>
              </w:rPr>
            </w:pPr>
          </w:p>
        </w:tc>
      </w:tr>
      <w:tr>
        <w:trPr>
          <w:trHeight w:val="221"/>
        </w:trPr>
        <w:tc>
          <w:tcPr>
            <w:tcW w:w="682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00254F"/>
              </w:rPr>
              <w:t>Richard R. Verma</w:t>
            </w:r>
            <w:r>
              <w:rPr>
                <w:rFonts w:ascii="Arial" w:cs="Arial" w:eastAsia="Arial" w:hAnsi="Arial"/>
                <w:sz w:val="19"/>
                <w:szCs w:val="19"/>
                <w:b w:val="1"/>
                <w:bCs w:val="1"/>
                <w:color w:val="00254F"/>
                <w:vertAlign w:val="superscript"/>
              </w:rPr>
              <w:t>2</w:t>
            </w:r>
          </w:p>
        </w:tc>
        <w:tc>
          <w:tcPr>
            <w:tcW w:w="120" w:type="dxa"/>
            <w:vAlign w:val="bottom"/>
            <w:tcBorders>
              <w:bottom w:val="single" w:sz="8" w:color="EEEFEE"/>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28,000</w:t>
            </w:r>
          </w:p>
        </w:tc>
        <w:tc>
          <w:tcPr>
            <w:tcW w:w="140" w:type="dxa"/>
            <w:vAlign w:val="bottom"/>
            <w:tcBorders>
              <w:bottom w:val="single" w:sz="8" w:color="EEEFEE"/>
            </w:tcBorders>
          </w:tcPr>
          <w:p>
            <w:pPr>
              <w:spacing w:after="0"/>
              <w:rPr>
                <w:sz w:val="19"/>
                <w:szCs w:val="19"/>
                <w:color w:val="auto"/>
              </w:rPr>
            </w:pPr>
          </w:p>
        </w:tc>
        <w:tc>
          <w:tcPr>
            <w:tcW w:w="32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EEEFEE"/>
            </w:tcBorders>
          </w:tcPr>
          <w:p>
            <w:pPr>
              <w:spacing w:after="0"/>
              <w:rPr>
                <w:sz w:val="19"/>
                <w:szCs w:val="19"/>
                <w:color w:val="auto"/>
              </w:rPr>
            </w:pPr>
          </w:p>
        </w:tc>
        <w:tc>
          <w:tcPr>
            <w:tcW w:w="580" w:type="dxa"/>
            <w:vAlign w:val="bottom"/>
            <w:tcBorders>
              <w:bottom w:val="single" w:sz="8" w:color="auto"/>
            </w:tcBorders>
          </w:tcPr>
          <w:p>
            <w:pPr>
              <w:jc w:val="center"/>
              <w:ind w:left="407"/>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10,000</w:t>
            </w:r>
          </w:p>
        </w:tc>
        <w:tc>
          <w:tcPr>
            <w:tcW w:w="140" w:type="dxa"/>
            <w:vAlign w:val="bottom"/>
            <w:tcBorders>
              <w:bottom w:val="single" w:sz="8" w:color="EEEFEE"/>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38,000</w:t>
            </w:r>
          </w:p>
        </w:tc>
        <w:tc>
          <w:tcPr>
            <w:tcW w:w="0" w:type="dxa"/>
            <w:vAlign w:val="bottom"/>
          </w:tcPr>
          <w:p>
            <w:pPr>
              <w:spacing w:after="0"/>
              <w:rPr>
                <w:sz w:val="1"/>
                <w:szCs w:val="1"/>
                <w:color w:val="auto"/>
              </w:rPr>
            </w:pPr>
          </w:p>
        </w:tc>
      </w:tr>
      <w:tr>
        <w:trPr>
          <w:trHeight w:val="214"/>
        </w:trPr>
        <w:tc>
          <w:tcPr>
            <w:tcW w:w="6820" w:type="dxa"/>
            <w:vAlign w:val="bottom"/>
            <w:tcBorders>
              <w:bottom w:val="single" w:sz="8" w:color="auto"/>
            </w:tcBorders>
            <w:gridSpan w:val="2"/>
            <w:shd w:val="clear" w:color="auto" w:fill="EEEFEE"/>
          </w:tcPr>
          <w:p>
            <w:pPr>
              <w:ind w:left="80"/>
              <w:spacing w:after="0"/>
              <w:rPr>
                <w:sz w:val="20"/>
                <w:szCs w:val="20"/>
                <w:color w:val="auto"/>
              </w:rPr>
            </w:pPr>
            <w:r>
              <w:rPr>
                <w:rFonts w:ascii="Arial" w:cs="Arial" w:eastAsia="Arial" w:hAnsi="Arial"/>
                <w:sz w:val="15"/>
                <w:szCs w:val="15"/>
                <w:b w:val="1"/>
                <w:bCs w:val="1"/>
                <w:color w:val="00254F"/>
              </w:rPr>
              <w:t>Sandra S. Wijnberg</w:t>
            </w:r>
          </w:p>
        </w:tc>
        <w:tc>
          <w:tcPr>
            <w:tcW w:w="120" w:type="dxa"/>
            <w:vAlign w:val="bottom"/>
            <w:tcBorders>
              <w:right w:val="single" w:sz="8" w:color="EEEFEE"/>
            </w:tcBorders>
            <w:shd w:val="clear" w:color="auto" w:fill="EEEFEE"/>
          </w:tcPr>
          <w:p>
            <w:pPr>
              <w:spacing w:after="0"/>
              <w:rPr>
                <w:sz w:val="18"/>
                <w:szCs w:val="18"/>
                <w:color w:val="auto"/>
              </w:rPr>
            </w:pPr>
          </w:p>
        </w:tc>
        <w:tc>
          <w:tcPr>
            <w:tcW w:w="62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right w:val="single" w:sz="8" w:color="EEEFEE"/>
            </w:tcBorders>
            <w:shd w:val="clear" w:color="auto" w:fill="EEEFEE"/>
          </w:tcPr>
          <w:p>
            <w:pPr>
              <w:spacing w:after="0"/>
              <w:rPr>
                <w:sz w:val="18"/>
                <w:szCs w:val="18"/>
                <w:color w:val="auto"/>
              </w:rPr>
            </w:pPr>
          </w:p>
        </w:tc>
        <w:tc>
          <w:tcPr>
            <w:tcW w:w="320" w:type="dxa"/>
            <w:vAlign w:val="bottom"/>
            <w:tcBorders>
              <w:bottom w:val="single" w:sz="8" w:color="auto"/>
            </w:tcBorders>
            <w:shd w:val="clear" w:color="auto" w:fill="EEEFEE"/>
          </w:tcPr>
          <w:p>
            <w:pPr>
              <w:ind w:left="220"/>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w w:val="95"/>
              </w:rPr>
              <w:t>362,680</w:t>
            </w:r>
          </w:p>
        </w:tc>
        <w:tc>
          <w:tcPr>
            <w:tcW w:w="120" w:type="dxa"/>
            <w:vAlign w:val="bottom"/>
            <w:tcBorders>
              <w:right w:val="single" w:sz="8" w:color="EEEFEE"/>
            </w:tcBorders>
            <w:shd w:val="clear" w:color="auto" w:fill="EEEFEE"/>
          </w:tcPr>
          <w:p>
            <w:pPr>
              <w:spacing w:after="0"/>
              <w:rPr>
                <w:sz w:val="18"/>
                <w:szCs w:val="18"/>
                <w:color w:val="auto"/>
              </w:rPr>
            </w:pPr>
          </w:p>
        </w:tc>
        <w:tc>
          <w:tcPr>
            <w:tcW w:w="580" w:type="dxa"/>
            <w:vAlign w:val="bottom"/>
            <w:tcBorders>
              <w:bottom w:val="single" w:sz="8" w:color="auto"/>
            </w:tcBorders>
            <w:shd w:val="clear" w:color="auto" w:fill="EEEFEE"/>
          </w:tcPr>
          <w:p>
            <w:pPr>
              <w:jc w:val="center"/>
              <w:ind w:left="407"/>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w w:val="95"/>
              </w:rPr>
              <w:t>10,000</w:t>
            </w:r>
          </w:p>
        </w:tc>
        <w:tc>
          <w:tcPr>
            <w:tcW w:w="140" w:type="dxa"/>
            <w:vAlign w:val="bottom"/>
            <w:tcBorders>
              <w:right w:val="single" w:sz="8" w:color="EEEFEE"/>
            </w:tcBorders>
            <w:shd w:val="clear" w:color="auto" w:fill="EEEFEE"/>
          </w:tcPr>
          <w:p>
            <w:pPr>
              <w:spacing w:after="0"/>
              <w:rPr>
                <w:sz w:val="18"/>
                <w:szCs w:val="18"/>
                <w:color w:val="auto"/>
              </w:rPr>
            </w:pPr>
          </w:p>
        </w:tc>
        <w:tc>
          <w:tcPr>
            <w:tcW w:w="10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w w:val="95"/>
              </w:rPr>
              <w:t>372,680</w:t>
            </w:r>
          </w:p>
        </w:tc>
        <w:tc>
          <w:tcPr>
            <w:tcW w:w="0" w:type="dxa"/>
            <w:vAlign w:val="bottom"/>
          </w:tcPr>
          <w:p>
            <w:pPr>
              <w:spacing w:after="0"/>
              <w:rPr>
                <w:sz w:val="1"/>
                <w:szCs w:val="1"/>
                <w:color w:val="auto"/>
              </w:rPr>
            </w:pPr>
          </w:p>
        </w:tc>
      </w:tr>
      <w:tr>
        <w:trPr>
          <w:trHeight w:val="217"/>
        </w:trPr>
        <w:tc>
          <w:tcPr>
            <w:tcW w:w="682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00254F"/>
              </w:rPr>
              <w:t>Alan D. Wilson</w:t>
            </w:r>
          </w:p>
        </w:tc>
        <w:tc>
          <w:tcPr>
            <w:tcW w:w="12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32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458,152</w:t>
            </w:r>
          </w:p>
        </w:tc>
        <w:tc>
          <w:tcPr>
            <w:tcW w:w="120" w:type="dxa"/>
            <w:vAlign w:val="bottom"/>
          </w:tcPr>
          <w:p>
            <w:pPr>
              <w:spacing w:after="0"/>
              <w:rPr>
                <w:sz w:val="18"/>
                <w:szCs w:val="18"/>
                <w:color w:val="auto"/>
              </w:rPr>
            </w:pPr>
          </w:p>
        </w:tc>
        <w:tc>
          <w:tcPr>
            <w:tcW w:w="580" w:type="dxa"/>
            <w:vAlign w:val="bottom"/>
            <w:tcBorders>
              <w:bottom w:val="single" w:sz="8" w:color="auto"/>
            </w:tcBorders>
          </w:tcPr>
          <w:p>
            <w:pPr>
              <w:jc w:val="center"/>
              <w:ind w:left="407"/>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458,152</w:t>
            </w:r>
          </w:p>
        </w:tc>
        <w:tc>
          <w:tcPr>
            <w:tcW w:w="0" w:type="dxa"/>
            <w:vAlign w:val="bottom"/>
          </w:tcPr>
          <w:p>
            <w:pPr>
              <w:spacing w:after="0"/>
              <w:rPr>
                <w:sz w:val="1"/>
                <w:szCs w:val="1"/>
                <w:color w:val="auto"/>
              </w:rPr>
            </w:pPr>
          </w:p>
        </w:tc>
      </w:tr>
      <w:tr>
        <w:trPr>
          <w:trHeight w:val="336"/>
        </w:trPr>
        <w:tc>
          <w:tcPr>
            <w:tcW w:w="440" w:type="dxa"/>
            <w:vAlign w:val="bottom"/>
          </w:tcPr>
          <w:p>
            <w:pPr>
              <w:spacing w:after="0"/>
              <w:rPr>
                <w:sz w:val="20"/>
                <w:szCs w:val="20"/>
                <w:color w:val="auto"/>
              </w:rPr>
            </w:pPr>
            <w:r>
              <w:rPr>
                <w:rFonts w:ascii="Times New Roman" w:cs="Times New Roman" w:eastAsia="Times New Roman" w:hAnsi="Times New Roman"/>
                <w:sz w:val="13"/>
                <w:szCs w:val="13"/>
                <w:b w:val="1"/>
                <w:bCs w:val="1"/>
                <w:color w:val="00244F"/>
              </w:rPr>
              <w:t>30</w:t>
            </w:r>
          </w:p>
        </w:tc>
        <w:tc>
          <w:tcPr>
            <w:tcW w:w="65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00244F"/>
              </w:rPr>
              <w:t>T. Rowe Price Group</w:t>
            </w: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40" w:type="dxa"/>
            <w:vAlign w:val="bottom"/>
            <w:tcBorders>
              <w:bottom w:val="single" w:sz="8" w:color="auto"/>
            </w:tcBorders>
          </w:tcPr>
          <w:p>
            <w:pPr>
              <w:spacing w:after="0"/>
              <w:rPr>
                <w:sz w:val="16"/>
                <w:szCs w:val="16"/>
                <w:color w:val="auto"/>
              </w:rPr>
            </w:pPr>
          </w:p>
        </w:tc>
        <w:tc>
          <w:tcPr>
            <w:tcW w:w="6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4324985</wp:posOffset>
            </wp:positionH>
            <wp:positionV relativeFrom="paragraph">
              <wp:posOffset>-2157730</wp:posOffset>
            </wp:positionV>
            <wp:extent cx="71120" cy="1504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120" cy="150495"/>
                    </a:xfrm>
                    <a:prstGeom prst="rect">
                      <a:avLst/>
                    </a:prstGeom>
                    <a:noFill/>
                  </pic:spPr>
                </pic:pic>
              </a:graphicData>
            </a:graphic>
          </wp:anchor>
        </w:drawing>
        <w:drawing>
          <wp:anchor simplePos="0" relativeHeight="251657728" behindDoc="1" locked="0" layoutInCell="0" allowOverlap="1">
            <wp:simplePos x="0" y="0"/>
            <wp:positionH relativeFrom="column">
              <wp:posOffset>5182235</wp:posOffset>
            </wp:positionH>
            <wp:positionV relativeFrom="paragraph">
              <wp:posOffset>-2157730</wp:posOffset>
            </wp:positionV>
            <wp:extent cx="71120" cy="1504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120" cy="150495"/>
                    </a:xfrm>
                    <a:prstGeom prst="rect">
                      <a:avLst/>
                    </a:prstGeom>
                    <a:noFill/>
                  </pic:spPr>
                </pic:pic>
              </a:graphicData>
            </a:graphic>
          </wp:anchor>
        </w:drawing>
        <w:drawing>
          <wp:anchor simplePos="0" relativeHeight="251657728" behindDoc="1" locked="0" layoutInCell="0" allowOverlap="1">
            <wp:simplePos x="0" y="0"/>
            <wp:positionH relativeFrom="column">
              <wp:posOffset>5848985</wp:posOffset>
            </wp:positionH>
            <wp:positionV relativeFrom="paragraph">
              <wp:posOffset>-2157730</wp:posOffset>
            </wp:positionV>
            <wp:extent cx="71120" cy="1504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120" cy="150495"/>
                    </a:xfrm>
                    <a:prstGeom prst="rect">
                      <a:avLst/>
                    </a:prstGeom>
                    <a:noFill/>
                  </pic:spPr>
                </pic:pic>
              </a:graphicData>
            </a:graphic>
          </wp:anchor>
        </w:drawing>
        <w:drawing>
          <wp:anchor simplePos="0" relativeHeight="251657728" behindDoc="1" locked="0" layoutInCell="0" allowOverlap="1">
            <wp:simplePos x="0" y="0"/>
            <wp:positionH relativeFrom="column">
              <wp:posOffset>6618605</wp:posOffset>
            </wp:positionH>
            <wp:positionV relativeFrom="paragraph">
              <wp:posOffset>-2157730</wp:posOffset>
            </wp:positionV>
            <wp:extent cx="71120" cy="1504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120" cy="15049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-1856105</wp:posOffset>
            </wp:positionV>
            <wp:extent cx="71120" cy="1504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120" cy="150495"/>
                    </a:xfrm>
                    <a:prstGeom prst="rect">
                      <a:avLst/>
                    </a:prstGeom>
                    <a:noFill/>
                  </pic:spPr>
                </pic:pic>
              </a:graphicData>
            </a:graphic>
          </wp:anchor>
        </w:drawing>
        <w:drawing>
          <wp:anchor simplePos="0" relativeHeight="251657728" behindDoc="1" locked="0" layoutInCell="0" allowOverlap="1">
            <wp:simplePos x="0" y="0"/>
            <wp:positionH relativeFrom="column">
              <wp:posOffset>5182235</wp:posOffset>
            </wp:positionH>
            <wp:positionV relativeFrom="paragraph">
              <wp:posOffset>-1856105</wp:posOffset>
            </wp:positionV>
            <wp:extent cx="71120" cy="1504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120" cy="150495"/>
                    </a:xfrm>
                    <a:prstGeom prst="rect">
                      <a:avLst/>
                    </a:prstGeom>
                    <a:noFill/>
                  </pic:spPr>
                </pic:pic>
              </a:graphicData>
            </a:graphic>
          </wp:anchor>
        </w:drawing>
        <w:drawing>
          <wp:anchor simplePos="0" relativeHeight="251657728" behindDoc="1" locked="0" layoutInCell="0" allowOverlap="1">
            <wp:simplePos x="0" y="0"/>
            <wp:positionH relativeFrom="column">
              <wp:posOffset>5848985</wp:posOffset>
            </wp:positionH>
            <wp:positionV relativeFrom="paragraph">
              <wp:posOffset>-1856105</wp:posOffset>
            </wp:positionV>
            <wp:extent cx="71120" cy="1504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120" cy="150495"/>
                    </a:xfrm>
                    <a:prstGeom prst="rect">
                      <a:avLst/>
                    </a:prstGeom>
                    <a:noFill/>
                  </pic:spPr>
                </pic:pic>
              </a:graphicData>
            </a:graphic>
          </wp:anchor>
        </w:drawing>
        <w:drawing>
          <wp:anchor simplePos="0" relativeHeight="251657728" behindDoc="1" locked="0" layoutInCell="0" allowOverlap="1">
            <wp:simplePos x="0" y="0"/>
            <wp:positionH relativeFrom="column">
              <wp:posOffset>6618605</wp:posOffset>
            </wp:positionH>
            <wp:positionV relativeFrom="paragraph">
              <wp:posOffset>-1856105</wp:posOffset>
            </wp:positionV>
            <wp:extent cx="71120" cy="1504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120" cy="15049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-1555115</wp:posOffset>
            </wp:positionV>
            <wp:extent cx="71120" cy="1504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120" cy="150495"/>
                    </a:xfrm>
                    <a:prstGeom prst="rect">
                      <a:avLst/>
                    </a:prstGeom>
                    <a:noFill/>
                  </pic:spPr>
                </pic:pic>
              </a:graphicData>
            </a:graphic>
          </wp:anchor>
        </w:drawing>
        <w:drawing>
          <wp:anchor simplePos="0" relativeHeight="251657728" behindDoc="1" locked="0" layoutInCell="0" allowOverlap="1">
            <wp:simplePos x="0" y="0"/>
            <wp:positionH relativeFrom="column">
              <wp:posOffset>5182235</wp:posOffset>
            </wp:positionH>
            <wp:positionV relativeFrom="paragraph">
              <wp:posOffset>-1555115</wp:posOffset>
            </wp:positionV>
            <wp:extent cx="71120" cy="1504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120" cy="150495"/>
                    </a:xfrm>
                    <a:prstGeom prst="rect">
                      <a:avLst/>
                    </a:prstGeom>
                    <a:noFill/>
                  </pic:spPr>
                </pic:pic>
              </a:graphicData>
            </a:graphic>
          </wp:anchor>
        </w:drawing>
        <w:drawing>
          <wp:anchor simplePos="0" relativeHeight="251657728" behindDoc="1" locked="0" layoutInCell="0" allowOverlap="1">
            <wp:simplePos x="0" y="0"/>
            <wp:positionH relativeFrom="column">
              <wp:posOffset>5848985</wp:posOffset>
            </wp:positionH>
            <wp:positionV relativeFrom="paragraph">
              <wp:posOffset>-1555115</wp:posOffset>
            </wp:positionV>
            <wp:extent cx="71120" cy="1504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120" cy="150495"/>
                    </a:xfrm>
                    <a:prstGeom prst="rect">
                      <a:avLst/>
                    </a:prstGeom>
                    <a:noFill/>
                  </pic:spPr>
                </pic:pic>
              </a:graphicData>
            </a:graphic>
          </wp:anchor>
        </w:drawing>
        <w:drawing>
          <wp:anchor simplePos="0" relativeHeight="251657728" behindDoc="1" locked="0" layoutInCell="0" allowOverlap="1">
            <wp:simplePos x="0" y="0"/>
            <wp:positionH relativeFrom="column">
              <wp:posOffset>6618605</wp:posOffset>
            </wp:positionH>
            <wp:positionV relativeFrom="paragraph">
              <wp:posOffset>-1555115</wp:posOffset>
            </wp:positionV>
            <wp:extent cx="71120" cy="1504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120" cy="15049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-1253490</wp:posOffset>
            </wp:positionV>
            <wp:extent cx="71120" cy="1504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120" cy="150495"/>
                    </a:xfrm>
                    <a:prstGeom prst="rect">
                      <a:avLst/>
                    </a:prstGeom>
                    <a:noFill/>
                  </pic:spPr>
                </pic:pic>
              </a:graphicData>
            </a:graphic>
          </wp:anchor>
        </w:drawing>
        <w:drawing>
          <wp:anchor simplePos="0" relativeHeight="251657728" behindDoc="1" locked="0" layoutInCell="0" allowOverlap="1">
            <wp:simplePos x="0" y="0"/>
            <wp:positionH relativeFrom="column">
              <wp:posOffset>5182235</wp:posOffset>
            </wp:positionH>
            <wp:positionV relativeFrom="paragraph">
              <wp:posOffset>-1253490</wp:posOffset>
            </wp:positionV>
            <wp:extent cx="71120" cy="1504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120" cy="150495"/>
                    </a:xfrm>
                    <a:prstGeom prst="rect">
                      <a:avLst/>
                    </a:prstGeom>
                    <a:noFill/>
                  </pic:spPr>
                </pic:pic>
              </a:graphicData>
            </a:graphic>
          </wp:anchor>
        </w:drawing>
        <w:drawing>
          <wp:anchor simplePos="0" relativeHeight="251657728" behindDoc="1" locked="0" layoutInCell="0" allowOverlap="1">
            <wp:simplePos x="0" y="0"/>
            <wp:positionH relativeFrom="column">
              <wp:posOffset>5848985</wp:posOffset>
            </wp:positionH>
            <wp:positionV relativeFrom="paragraph">
              <wp:posOffset>-1253490</wp:posOffset>
            </wp:positionV>
            <wp:extent cx="71120" cy="1504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120" cy="150495"/>
                    </a:xfrm>
                    <a:prstGeom prst="rect">
                      <a:avLst/>
                    </a:prstGeom>
                    <a:noFill/>
                  </pic:spPr>
                </pic:pic>
              </a:graphicData>
            </a:graphic>
          </wp:anchor>
        </w:drawing>
        <w:drawing>
          <wp:anchor simplePos="0" relativeHeight="251657728" behindDoc="1" locked="0" layoutInCell="0" allowOverlap="1">
            <wp:simplePos x="0" y="0"/>
            <wp:positionH relativeFrom="column">
              <wp:posOffset>6618605</wp:posOffset>
            </wp:positionH>
            <wp:positionV relativeFrom="paragraph">
              <wp:posOffset>-1253490</wp:posOffset>
            </wp:positionV>
            <wp:extent cx="71120" cy="1504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120" cy="15049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-951865</wp:posOffset>
            </wp:positionV>
            <wp:extent cx="71120" cy="1504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120" cy="150495"/>
                    </a:xfrm>
                    <a:prstGeom prst="rect">
                      <a:avLst/>
                    </a:prstGeom>
                    <a:noFill/>
                  </pic:spPr>
                </pic:pic>
              </a:graphicData>
            </a:graphic>
          </wp:anchor>
        </w:drawing>
        <w:drawing>
          <wp:anchor simplePos="0" relativeHeight="251657728" behindDoc="1" locked="0" layoutInCell="0" allowOverlap="1">
            <wp:simplePos x="0" y="0"/>
            <wp:positionH relativeFrom="column">
              <wp:posOffset>5182235</wp:posOffset>
            </wp:positionH>
            <wp:positionV relativeFrom="paragraph">
              <wp:posOffset>-951865</wp:posOffset>
            </wp:positionV>
            <wp:extent cx="71120" cy="1504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120" cy="150495"/>
                    </a:xfrm>
                    <a:prstGeom prst="rect">
                      <a:avLst/>
                    </a:prstGeom>
                    <a:noFill/>
                  </pic:spPr>
                </pic:pic>
              </a:graphicData>
            </a:graphic>
          </wp:anchor>
        </w:drawing>
        <w:drawing>
          <wp:anchor simplePos="0" relativeHeight="251657728" behindDoc="1" locked="0" layoutInCell="0" allowOverlap="1">
            <wp:simplePos x="0" y="0"/>
            <wp:positionH relativeFrom="column">
              <wp:posOffset>5848985</wp:posOffset>
            </wp:positionH>
            <wp:positionV relativeFrom="paragraph">
              <wp:posOffset>-951865</wp:posOffset>
            </wp:positionV>
            <wp:extent cx="71120" cy="1504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120" cy="150495"/>
                    </a:xfrm>
                    <a:prstGeom prst="rect">
                      <a:avLst/>
                    </a:prstGeom>
                    <a:noFill/>
                  </pic:spPr>
                </pic:pic>
              </a:graphicData>
            </a:graphic>
          </wp:anchor>
        </w:drawing>
        <w:drawing>
          <wp:anchor simplePos="0" relativeHeight="251657728" behindDoc="1" locked="0" layoutInCell="0" allowOverlap="1">
            <wp:simplePos x="0" y="0"/>
            <wp:positionH relativeFrom="column">
              <wp:posOffset>6618605</wp:posOffset>
            </wp:positionH>
            <wp:positionV relativeFrom="paragraph">
              <wp:posOffset>-951865</wp:posOffset>
            </wp:positionV>
            <wp:extent cx="71120" cy="1504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120" cy="15049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-650240</wp:posOffset>
            </wp:positionV>
            <wp:extent cx="71120" cy="1504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120" cy="150495"/>
                    </a:xfrm>
                    <a:prstGeom prst="rect">
                      <a:avLst/>
                    </a:prstGeom>
                    <a:noFill/>
                  </pic:spPr>
                </pic:pic>
              </a:graphicData>
            </a:graphic>
          </wp:anchor>
        </w:drawing>
        <w:drawing>
          <wp:anchor simplePos="0" relativeHeight="251657728" behindDoc="1" locked="0" layoutInCell="0" allowOverlap="1">
            <wp:simplePos x="0" y="0"/>
            <wp:positionH relativeFrom="column">
              <wp:posOffset>5182235</wp:posOffset>
            </wp:positionH>
            <wp:positionV relativeFrom="paragraph">
              <wp:posOffset>-650240</wp:posOffset>
            </wp:positionV>
            <wp:extent cx="71120" cy="1504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120" cy="150495"/>
                    </a:xfrm>
                    <a:prstGeom prst="rect">
                      <a:avLst/>
                    </a:prstGeom>
                    <a:noFill/>
                  </pic:spPr>
                </pic:pic>
              </a:graphicData>
            </a:graphic>
          </wp:anchor>
        </w:drawing>
        <w:drawing>
          <wp:anchor simplePos="0" relativeHeight="251657728" behindDoc="1" locked="0" layoutInCell="0" allowOverlap="1">
            <wp:simplePos x="0" y="0"/>
            <wp:positionH relativeFrom="column">
              <wp:posOffset>5848985</wp:posOffset>
            </wp:positionH>
            <wp:positionV relativeFrom="paragraph">
              <wp:posOffset>-650240</wp:posOffset>
            </wp:positionV>
            <wp:extent cx="71120" cy="1504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120" cy="150495"/>
                    </a:xfrm>
                    <a:prstGeom prst="rect">
                      <a:avLst/>
                    </a:prstGeom>
                    <a:noFill/>
                  </pic:spPr>
                </pic:pic>
              </a:graphicData>
            </a:graphic>
          </wp:anchor>
        </w:drawing>
        <w:drawing>
          <wp:anchor simplePos="0" relativeHeight="251657728" behindDoc="1" locked="0" layoutInCell="0" allowOverlap="1">
            <wp:simplePos x="0" y="0"/>
            <wp:positionH relativeFrom="column">
              <wp:posOffset>6618605</wp:posOffset>
            </wp:positionH>
            <wp:positionV relativeFrom="paragraph">
              <wp:posOffset>-650240</wp:posOffset>
            </wp:positionV>
            <wp:extent cx="71120" cy="1504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120" cy="15049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u w:val="single" w:color="auto"/>
          <w:color w:val="0000EE"/>
        </w:rPr>
        <w:t>Table of Contents</w:t>
      </w:r>
    </w:p>
    <w:p>
      <w:pPr>
        <w:sectPr>
          <w:pgSz w:w="11900" w:h="16838" w:orient="portrait"/>
          <w:cols w:equalWidth="0" w:num="1">
            <w:col w:w="11240"/>
          </w:cols>
          <w:pgMar w:left="320" w:top="223" w:right="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7"/>
          <w:szCs w:val="7"/>
          <w:color w:val="auto"/>
        </w:rPr>
        <w:t>1</w:t>
      </w:r>
    </w:p>
    <w:p>
      <w:pPr>
        <w:spacing w:after="0" w:line="119" w:lineRule="exact"/>
        <w:rPr>
          <w:sz w:val="20"/>
          <w:szCs w:val="20"/>
          <w:color w:val="auto"/>
        </w:rPr>
      </w:pPr>
    </w:p>
    <w:p>
      <w:pPr>
        <w:spacing w:after="0"/>
        <w:rPr>
          <w:sz w:val="20"/>
          <w:szCs w:val="20"/>
          <w:color w:val="auto"/>
        </w:rPr>
      </w:pPr>
      <w:r>
        <w:rPr>
          <w:rFonts w:ascii="Arial" w:cs="Arial" w:eastAsia="Arial" w:hAnsi="Arial"/>
          <w:sz w:val="7"/>
          <w:szCs w:val="7"/>
          <w:color w:val="auto"/>
        </w:rPr>
        <w:t>2</w:t>
      </w:r>
    </w:p>
    <w:p>
      <w:pPr>
        <w:spacing w:after="0" w:line="119" w:lineRule="exact"/>
        <w:rPr>
          <w:sz w:val="20"/>
          <w:szCs w:val="20"/>
          <w:color w:val="auto"/>
        </w:rPr>
      </w:pPr>
    </w:p>
    <w:p>
      <w:pPr>
        <w:spacing w:after="0"/>
        <w:rPr>
          <w:sz w:val="20"/>
          <w:szCs w:val="20"/>
          <w:color w:val="auto"/>
        </w:rPr>
      </w:pPr>
      <w:r>
        <w:rPr>
          <w:rFonts w:ascii="Arial" w:cs="Arial" w:eastAsia="Arial" w:hAnsi="Arial"/>
          <w:sz w:val="7"/>
          <w:szCs w:val="7"/>
          <w:color w:val="auto"/>
        </w:rPr>
        <w:t>3</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3"/>
          <w:szCs w:val="13"/>
          <w:color w:val="auto"/>
        </w:rPr>
        <w:t>Includes only those columns relating to compensation awarded to, earned by, or paid to non-employee directors for their services in 2023. All other columns have been omitted.</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Represents the fees earned by Ms. Bush before her retirement at the 2023 Annual Meeting and by Mr. Verma prior to his resignation in March 2023.</w:t>
      </w:r>
    </w:p>
    <w:p>
      <w:pPr>
        <w:spacing w:after="0" w:line="50" w:lineRule="exact"/>
        <w:rPr>
          <w:sz w:val="20"/>
          <w:szCs w:val="20"/>
          <w:color w:val="auto"/>
        </w:rPr>
      </w:pPr>
    </w:p>
    <w:p>
      <w:pPr>
        <w:ind w:right="40"/>
        <w:spacing w:after="0" w:line="248" w:lineRule="auto"/>
        <w:rPr>
          <w:sz w:val="20"/>
          <w:szCs w:val="20"/>
          <w:color w:val="auto"/>
        </w:rPr>
      </w:pPr>
      <w:r>
        <w:rPr>
          <w:rFonts w:ascii="Arial" w:cs="Arial" w:eastAsia="Arial" w:hAnsi="Arial"/>
          <w:sz w:val="13"/>
          <w:szCs w:val="13"/>
          <w:color w:val="auto"/>
        </w:rPr>
        <w:t>The following table represents the equity awards granted in 2023 to certain of the non-employee directors named above. Represents the full grant date fair value of RSUs granted in accordance with FASB ASC Topic 718. The fair value was computed using the market price per share of Price Group common stock on the date of grant multiplied by the target number of units, as this was considered the probable outcome. In accordance with the 2017 Director Plan, each non-employee director was awarded a grant date value of $200,000. In addition, pursuant to our 2017 Director Plan, some directors elected to have their fees, which are typically paid semi annually, deferred into RSUs. The holders of RSUs also receive dividend equivalents in the form of additional vested RSUs on each of the Company's quarterly dividend payment dates. The award value or dividend equivalent value was converted to awards or RSUs, using the closing stock price of our common stock on the date of grant. Fractional shares were rounded up to the nearest whole share.</w:t>
      </w:r>
    </w:p>
    <w:p>
      <w:pPr>
        <w:spacing w:after="0" w:line="162" w:lineRule="exact"/>
        <w:rPr>
          <w:sz w:val="20"/>
          <w:szCs w:val="20"/>
          <w:color w:val="auto"/>
        </w:rPr>
      </w:pPr>
    </w:p>
    <w:p>
      <w:pPr>
        <w:sectPr>
          <w:pgSz w:w="11900" w:h="16838" w:orient="portrait"/>
          <w:cols w:equalWidth="0" w:num="2">
            <w:col w:w="40" w:space="260"/>
            <w:col w:w="10940"/>
          </w:cols>
          <w:pgMar w:left="320" w:top="223" w:right="339" w:bottom="1440" w:gutter="0" w:footer="0" w:header="0"/>
          <w:type w:val="continuous"/>
        </w:sectPr>
      </w:pPr>
    </w:p>
    <w:tbl>
      <w:tblPr>
        <w:tblLayout w:type="fixed"/>
        <w:tblInd w:w="0"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NUMBER OF</w:t>
            </w:r>
          </w:p>
        </w:tc>
        <w:tc>
          <w:tcPr>
            <w:tcW w:w="120" w:type="dxa"/>
            <w:vAlign w:val="bottom"/>
            <w:tcBorders>
              <w:right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40" w:type="dxa"/>
            <w:vAlign w:val="bottom"/>
            <w:gridSpan w:val="4"/>
          </w:tcPr>
          <w:p>
            <w:pPr>
              <w:jc w:val="right"/>
              <w:ind w:right="120"/>
              <w:spacing w:after="0"/>
              <w:rPr>
                <w:sz w:val="20"/>
                <w:szCs w:val="20"/>
                <w:color w:val="auto"/>
              </w:rPr>
            </w:pPr>
            <w:r>
              <w:rPr>
                <w:rFonts w:ascii="Arial" w:cs="Arial" w:eastAsia="Arial" w:hAnsi="Arial"/>
                <w:sz w:val="12"/>
                <w:szCs w:val="12"/>
                <w:b w:val="1"/>
                <w:bCs w:val="1"/>
                <w:color w:val="auto"/>
              </w:rPr>
              <w:t>GRANT DATE</w:t>
            </w:r>
          </w:p>
        </w:tc>
        <w:tc>
          <w:tcPr>
            <w:tcW w:w="0" w:type="dxa"/>
            <w:vAlign w:val="bottom"/>
          </w:tcPr>
          <w:p>
            <w:pPr>
              <w:spacing w:after="0"/>
              <w:rPr>
                <w:sz w:val="1"/>
                <w:szCs w:val="1"/>
                <w:color w:val="auto"/>
              </w:rPr>
            </w:pPr>
          </w:p>
        </w:tc>
      </w:tr>
      <w:tr>
        <w:trPr>
          <w:trHeight w:val="125"/>
        </w:trPr>
        <w:tc>
          <w:tcPr>
            <w:tcW w:w="30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960" w:type="dxa"/>
            <w:vAlign w:val="bottom"/>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NUMBER OF</w:t>
            </w:r>
          </w:p>
        </w:tc>
        <w:tc>
          <w:tcPr>
            <w:tcW w:w="1240" w:type="dxa"/>
            <w:vAlign w:val="bottom"/>
            <w:gridSpan w:val="4"/>
          </w:tcPr>
          <w:p>
            <w:pPr>
              <w:jc w:val="right"/>
              <w:ind w:right="120"/>
              <w:spacing w:after="0" w:line="125" w:lineRule="exact"/>
              <w:rPr>
                <w:sz w:val="20"/>
                <w:szCs w:val="20"/>
                <w:color w:val="auto"/>
              </w:rPr>
            </w:pPr>
            <w:r>
              <w:rPr>
                <w:rFonts w:ascii="Arial" w:cs="Arial" w:eastAsia="Arial" w:hAnsi="Arial"/>
                <w:sz w:val="12"/>
                <w:szCs w:val="12"/>
                <w:b w:val="1"/>
                <w:bCs w:val="1"/>
                <w:color w:val="auto"/>
              </w:rPr>
              <w:t>FAIR VALUE OF</w:t>
            </w:r>
          </w:p>
        </w:tc>
        <w:tc>
          <w:tcPr>
            <w:tcW w:w="0" w:type="dxa"/>
            <w:vAlign w:val="bottom"/>
          </w:tcPr>
          <w:p>
            <w:pPr>
              <w:spacing w:after="0"/>
              <w:rPr>
                <w:sz w:val="1"/>
                <w:szCs w:val="1"/>
                <w:color w:val="auto"/>
              </w:rPr>
            </w:pPr>
          </w:p>
        </w:tc>
      </w:tr>
      <w:tr>
        <w:trPr>
          <w:trHeight w:val="125"/>
        </w:trPr>
        <w:tc>
          <w:tcPr>
            <w:tcW w:w="300" w:type="dxa"/>
            <w:vAlign w:val="bottom"/>
          </w:tcPr>
          <w:p>
            <w:pPr>
              <w:spacing w:after="0"/>
              <w:rPr>
                <w:sz w:val="10"/>
                <w:szCs w:val="10"/>
                <w:color w:val="auto"/>
              </w:rPr>
            </w:pPr>
          </w:p>
        </w:tc>
        <w:tc>
          <w:tcPr>
            <w:tcW w:w="6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DIRECTOR</w:t>
            </w:r>
          </w:p>
        </w:tc>
        <w:tc>
          <w:tcPr>
            <w:tcW w:w="140" w:type="dxa"/>
            <w:vAlign w:val="bottom"/>
            <w:tcBorders>
              <w:right w:val="single" w:sz="8" w:color="auto"/>
            </w:tcBorders>
          </w:tcPr>
          <w:p>
            <w:pPr>
              <w:spacing w:after="0"/>
              <w:rPr>
                <w:sz w:val="10"/>
                <w:szCs w:val="10"/>
                <w:color w:val="auto"/>
              </w:rPr>
            </w:pPr>
          </w:p>
        </w:tc>
        <w:tc>
          <w:tcPr>
            <w:tcW w:w="960" w:type="dxa"/>
            <w:vAlign w:val="bottom"/>
            <w:vMerge w:val="restart"/>
          </w:tcPr>
          <w:p>
            <w:pPr>
              <w:jc w:val="right"/>
              <w:ind w:right="34"/>
              <w:spacing w:after="0"/>
              <w:rPr>
                <w:sz w:val="20"/>
                <w:szCs w:val="20"/>
                <w:color w:val="auto"/>
              </w:rPr>
            </w:pPr>
            <w:r>
              <w:rPr>
                <w:rFonts w:ascii="Arial" w:cs="Arial" w:eastAsia="Arial" w:hAnsi="Arial"/>
                <w:sz w:val="12"/>
                <w:szCs w:val="12"/>
                <w:b w:val="1"/>
                <w:bCs w:val="1"/>
                <w:color w:val="auto"/>
              </w:rPr>
              <w:t>GRANT DATE</w:t>
            </w:r>
          </w:p>
        </w:tc>
        <w:tc>
          <w:tcPr>
            <w:tcW w:w="120" w:type="dxa"/>
            <w:vAlign w:val="bottom"/>
            <w:tcBorders>
              <w:right w:val="single" w:sz="8" w:color="auto"/>
            </w:tcBorders>
          </w:tcPr>
          <w:p>
            <w:pPr>
              <w:spacing w:after="0"/>
              <w:rPr>
                <w:sz w:val="10"/>
                <w:szCs w:val="10"/>
                <w:color w:val="auto"/>
              </w:rPr>
            </w:pPr>
          </w:p>
        </w:tc>
        <w:tc>
          <w:tcPr>
            <w:tcW w:w="96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RESTRICTED</w:t>
            </w:r>
          </w:p>
        </w:tc>
        <w:tc>
          <w:tcPr>
            <w:tcW w:w="12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gridSpan w:val="2"/>
            <w:vMerge w:val="continue"/>
          </w:tcPr>
          <w:p>
            <w:pPr>
              <w:spacing w:after="0"/>
              <w:rPr>
                <w:sz w:val="10"/>
                <w:szCs w:val="10"/>
                <w:color w:val="auto"/>
              </w:rPr>
            </w:pPr>
          </w:p>
        </w:tc>
        <w:tc>
          <w:tcPr>
            <w:tcW w:w="1240" w:type="dxa"/>
            <w:vAlign w:val="bottom"/>
            <w:gridSpan w:val="4"/>
          </w:tcPr>
          <w:p>
            <w:pPr>
              <w:jc w:val="right"/>
              <w:ind w:right="120"/>
              <w:spacing w:after="0" w:line="125" w:lineRule="exact"/>
              <w:rPr>
                <w:sz w:val="20"/>
                <w:szCs w:val="20"/>
                <w:color w:val="auto"/>
              </w:rPr>
            </w:pPr>
            <w:r>
              <w:rPr>
                <w:rFonts w:ascii="Arial" w:cs="Arial" w:eastAsia="Arial" w:hAnsi="Arial"/>
                <w:sz w:val="12"/>
                <w:szCs w:val="12"/>
                <w:b w:val="1"/>
                <w:bCs w:val="1"/>
                <w:color w:val="auto"/>
              </w:rPr>
              <w:t>STOCK AND</w:t>
            </w:r>
          </w:p>
        </w:tc>
        <w:tc>
          <w:tcPr>
            <w:tcW w:w="0" w:type="dxa"/>
            <w:vAlign w:val="bottom"/>
          </w:tcPr>
          <w:p>
            <w:pPr>
              <w:spacing w:after="0"/>
              <w:rPr>
                <w:sz w:val="1"/>
                <w:szCs w:val="1"/>
                <w:color w:val="auto"/>
              </w:rPr>
            </w:pPr>
          </w:p>
        </w:tc>
      </w:tr>
      <w:tr>
        <w:trPr>
          <w:trHeight w:val="160"/>
        </w:trPr>
        <w:tc>
          <w:tcPr>
            <w:tcW w:w="300" w:type="dxa"/>
            <w:vAlign w:val="bottom"/>
          </w:tcPr>
          <w:p>
            <w:pPr>
              <w:spacing w:after="0"/>
              <w:rPr>
                <w:sz w:val="13"/>
                <w:szCs w:val="13"/>
                <w:color w:val="auto"/>
              </w:rPr>
            </w:pPr>
          </w:p>
        </w:tc>
        <w:tc>
          <w:tcPr>
            <w:tcW w:w="6440" w:type="dxa"/>
            <w:vAlign w:val="bottom"/>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b w:val="1"/>
                <w:bCs w:val="1"/>
                <w:color w:val="auto"/>
              </w:rPr>
              <w:t>SHARES</w:t>
            </w:r>
          </w:p>
        </w:tc>
        <w:tc>
          <w:tcPr>
            <w:tcW w:w="12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b w:val="1"/>
                <w:bCs w:val="1"/>
                <w:color w:val="auto"/>
              </w:rPr>
              <w:t>RSUs</w:t>
            </w:r>
          </w:p>
        </w:tc>
        <w:tc>
          <w:tcPr>
            <w:tcW w:w="1240" w:type="dxa"/>
            <w:vAlign w:val="bottom"/>
            <w:gridSpan w:val="4"/>
          </w:tcPr>
          <w:p>
            <w:pPr>
              <w:jc w:val="right"/>
              <w:ind w:right="120"/>
              <w:spacing w:after="0"/>
              <w:rPr>
                <w:sz w:val="20"/>
                <w:szCs w:val="20"/>
                <w:color w:val="auto"/>
              </w:rPr>
            </w:pPr>
            <w:r>
              <w:rPr>
                <w:rFonts w:ascii="Arial" w:cs="Arial" w:eastAsia="Arial" w:hAnsi="Arial"/>
                <w:sz w:val="12"/>
                <w:szCs w:val="12"/>
                <w:b w:val="1"/>
                <w:bCs w:val="1"/>
                <w:color w:val="auto"/>
              </w:rPr>
              <w:t>OPTION AWARDS</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4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64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00254F"/>
              </w:rPr>
              <w:t>Mark S. Bartlett</w:t>
            </w:r>
          </w:p>
        </w:tc>
        <w:tc>
          <w:tcPr>
            <w:tcW w:w="140" w:type="dxa"/>
            <w:vAlign w:val="bottom"/>
            <w:tcBorders>
              <w:bottom w:val="single" w:sz="8" w:color="EEEFEE"/>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5/10/2023</w:t>
            </w:r>
          </w:p>
        </w:tc>
        <w:tc>
          <w:tcPr>
            <w:tcW w:w="120" w:type="dxa"/>
            <w:vAlign w:val="bottom"/>
            <w:tcBorders>
              <w:bottom w:val="single" w:sz="8" w:color="EEEFEE"/>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1,890</w:t>
            </w:r>
          </w:p>
        </w:tc>
        <w:tc>
          <w:tcPr>
            <w:tcW w:w="120" w:type="dxa"/>
            <w:vAlign w:val="bottom"/>
            <w:tcBorders>
              <w:bottom w:val="single" w:sz="8" w:color="EEEFEE"/>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EEEFEE"/>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3"/>
                <w:szCs w:val="13"/>
                <w:color w:val="auto"/>
                <w:w w:val="97"/>
              </w:rPr>
              <w:t>200,047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6440" w:type="dxa"/>
            <w:vAlign w:val="bottom"/>
            <w:tcBorders>
              <w:bottom w:val="single" w:sz="8" w:color="auto"/>
            </w:tcBorders>
            <w:shd w:val="clear" w:color="auto" w:fill="EEEFEE"/>
          </w:tcPr>
          <w:p>
            <w:pPr>
              <w:ind w:left="80"/>
              <w:spacing w:after="0"/>
              <w:rPr>
                <w:sz w:val="20"/>
                <w:szCs w:val="20"/>
                <w:color w:val="auto"/>
              </w:rPr>
            </w:pPr>
            <w:r>
              <w:rPr>
                <w:rFonts w:ascii="Arial" w:cs="Arial" w:eastAsia="Arial" w:hAnsi="Arial"/>
                <w:sz w:val="13"/>
                <w:szCs w:val="13"/>
                <w:b w:val="1"/>
                <w:bCs w:val="1"/>
                <w:color w:val="00254F"/>
              </w:rPr>
              <w:t>Mary K. Bush</w:t>
            </w:r>
          </w:p>
        </w:tc>
        <w:tc>
          <w:tcPr>
            <w:tcW w:w="140" w:type="dxa"/>
            <w:vAlign w:val="bottom"/>
            <w:tcBorders>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3/30/2023</w:t>
            </w:r>
          </w:p>
        </w:tc>
        <w:tc>
          <w:tcPr>
            <w:tcW w:w="120" w:type="dxa"/>
            <w:vAlign w:val="bottom"/>
            <w:tcBorders>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spacing w:after="0"/>
              <w:rPr>
                <w:sz w:val="16"/>
                <w:szCs w:val="16"/>
                <w:color w:val="auto"/>
              </w:rPr>
            </w:pPr>
          </w:p>
        </w:tc>
        <w:tc>
          <w:tcPr>
            <w:tcW w:w="120" w:type="dxa"/>
            <w:vAlign w:val="bottom"/>
            <w:tcBorders>
              <w:right w:val="single" w:sz="8" w:color="EEEFEE"/>
            </w:tcBorders>
            <w:shd w:val="clear" w:color="auto" w:fill="EEEFEE"/>
          </w:tcPr>
          <w:p>
            <w:pPr>
              <w:spacing w:after="0"/>
              <w:rPr>
                <w:sz w:val="16"/>
                <w:szCs w:val="16"/>
                <w:color w:val="auto"/>
              </w:rPr>
            </w:pPr>
          </w:p>
        </w:tc>
        <w:tc>
          <w:tcPr>
            <w:tcW w:w="8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172</w:t>
            </w:r>
          </w:p>
        </w:tc>
        <w:tc>
          <w:tcPr>
            <w:tcW w:w="120" w:type="dxa"/>
            <w:vAlign w:val="bottom"/>
            <w:tcBorders>
              <w:right w:val="single" w:sz="8" w:color="EEEFEE"/>
            </w:tcBorders>
            <w:shd w:val="clear" w:color="auto" w:fill="EEEFEE"/>
          </w:tcPr>
          <w:p>
            <w:pPr>
              <w:spacing w:after="0"/>
              <w:rPr>
                <w:sz w:val="16"/>
                <w:szCs w:val="16"/>
                <w:color w:val="auto"/>
              </w:rPr>
            </w:pPr>
          </w:p>
        </w:tc>
        <w:tc>
          <w:tcPr>
            <w:tcW w:w="6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shd w:val="clear" w:color="auto" w:fill="EEEFEE"/>
          </w:tcPr>
          <w:p>
            <w:pPr>
              <w:jc w:val="right"/>
              <w:ind w:right="33"/>
              <w:spacing w:after="0"/>
              <w:rPr>
                <w:sz w:val="20"/>
                <w:szCs w:val="20"/>
                <w:color w:val="auto"/>
              </w:rPr>
            </w:pPr>
            <w:r>
              <w:rPr>
                <w:rFonts w:ascii="Arial" w:cs="Arial" w:eastAsia="Arial" w:hAnsi="Arial"/>
                <w:sz w:val="13"/>
                <w:szCs w:val="13"/>
                <w:color w:val="auto"/>
              </w:rPr>
              <w:t>18,960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6440" w:type="dxa"/>
            <w:vAlign w:val="bottom"/>
          </w:tcPr>
          <w:p>
            <w:pPr>
              <w:ind w:left="80"/>
              <w:spacing w:after="0"/>
              <w:rPr>
                <w:sz w:val="20"/>
                <w:szCs w:val="20"/>
                <w:color w:val="auto"/>
              </w:rPr>
            </w:pPr>
            <w:r>
              <w:rPr>
                <w:rFonts w:ascii="Arial" w:cs="Arial" w:eastAsia="Arial" w:hAnsi="Arial"/>
                <w:sz w:val="13"/>
                <w:szCs w:val="13"/>
                <w:b w:val="1"/>
                <w:bCs w:val="1"/>
                <w:color w:val="00254F"/>
              </w:rPr>
              <w:t>William P. Donnelly</w:t>
            </w:r>
          </w:p>
        </w:tc>
        <w:tc>
          <w:tcPr>
            <w:tcW w:w="1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11/2/2023</w:t>
            </w: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3,182</w:t>
            </w:r>
          </w:p>
        </w:tc>
        <w:tc>
          <w:tcPr>
            <w:tcW w:w="12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3"/>
                <w:szCs w:val="13"/>
                <w:color w:val="auto"/>
                <w:w w:val="97"/>
              </w:rPr>
              <w:t>300,000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6440" w:type="dxa"/>
            <w:vAlign w:val="bottom"/>
            <w:tcBorders>
              <w:bottom w:val="single" w:sz="8" w:color="auto"/>
            </w:tcBorders>
          </w:tcPr>
          <w:p>
            <w:pPr>
              <w:spacing w:after="0"/>
              <w:rPr>
                <w:sz w:val="16"/>
                <w:szCs w:val="16"/>
                <w:color w:val="auto"/>
              </w:rPr>
            </w:pPr>
          </w:p>
        </w:tc>
        <w:tc>
          <w:tcPr>
            <w:tcW w:w="140" w:type="dxa"/>
            <w:vAlign w:val="bottom"/>
            <w:tcBorders>
              <w:bottom w:val="single" w:sz="8" w:color="EEEFEE"/>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12/29/2023</w:t>
            </w:r>
          </w:p>
        </w:tc>
        <w:tc>
          <w:tcPr>
            <w:tcW w:w="120" w:type="dxa"/>
            <w:vAlign w:val="bottom"/>
            <w:tcBorders>
              <w:bottom w:val="single" w:sz="8" w:color="EEEFEE"/>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EEEFEE"/>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227</w:t>
            </w:r>
          </w:p>
        </w:tc>
        <w:tc>
          <w:tcPr>
            <w:tcW w:w="120" w:type="dxa"/>
            <w:vAlign w:val="bottom"/>
            <w:tcBorders>
              <w:bottom w:val="single" w:sz="8" w:color="EEEFEE"/>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3"/>
                <w:szCs w:val="13"/>
                <w:color w:val="auto"/>
              </w:rPr>
              <w:t>24,382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0" w:type="dxa"/>
            <w:vAlign w:val="bottom"/>
          </w:tcPr>
          <w:p>
            <w:pPr>
              <w:spacing w:after="0"/>
              <w:rPr>
                <w:sz w:val="16"/>
                <w:szCs w:val="16"/>
                <w:color w:val="auto"/>
              </w:rPr>
            </w:pPr>
          </w:p>
        </w:tc>
        <w:tc>
          <w:tcPr>
            <w:tcW w:w="6440" w:type="dxa"/>
            <w:vAlign w:val="bottom"/>
            <w:tcBorders>
              <w:bottom w:val="single" w:sz="8" w:color="EEEFEE"/>
            </w:tcBorders>
            <w:shd w:val="clear" w:color="auto" w:fill="EEEFEE"/>
          </w:tcPr>
          <w:p>
            <w:pPr>
              <w:ind w:left="80"/>
              <w:spacing w:after="0"/>
              <w:rPr>
                <w:sz w:val="20"/>
                <w:szCs w:val="20"/>
                <w:color w:val="auto"/>
              </w:rPr>
            </w:pPr>
            <w:r>
              <w:rPr>
                <w:rFonts w:ascii="Arial" w:cs="Arial" w:eastAsia="Arial" w:hAnsi="Arial"/>
                <w:sz w:val="13"/>
                <w:szCs w:val="13"/>
                <w:b w:val="1"/>
                <w:bCs w:val="1"/>
                <w:color w:val="00254F"/>
              </w:rPr>
              <w:t>Dina Dublon</w:t>
            </w:r>
          </w:p>
        </w:tc>
        <w:tc>
          <w:tcPr>
            <w:tcW w:w="140" w:type="dxa"/>
            <w:vAlign w:val="bottom"/>
            <w:tcBorders>
              <w:bottom w:val="single" w:sz="8" w:color="EEEFEE"/>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3/30/2023</w:t>
            </w: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spacing w:after="0"/>
              <w:rPr>
                <w:sz w:val="16"/>
                <w:szCs w:val="16"/>
                <w:color w:val="auto"/>
              </w:rPr>
            </w:pP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8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91</w:t>
            </w: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6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shd w:val="clear" w:color="auto" w:fill="EEEFEE"/>
          </w:tcPr>
          <w:p>
            <w:pPr>
              <w:jc w:val="right"/>
              <w:ind w:right="33"/>
              <w:spacing w:after="0"/>
              <w:rPr>
                <w:sz w:val="20"/>
                <w:szCs w:val="20"/>
                <w:color w:val="auto"/>
              </w:rPr>
            </w:pPr>
            <w:r>
              <w:rPr>
                <w:rFonts w:ascii="Arial" w:cs="Arial" w:eastAsia="Arial" w:hAnsi="Arial"/>
                <w:sz w:val="13"/>
                <w:szCs w:val="13"/>
                <w:color w:val="auto"/>
              </w:rPr>
              <w:t>10,020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6440" w:type="dxa"/>
            <w:vAlign w:val="bottom"/>
            <w:tcBorders>
              <w:bottom w:val="single" w:sz="8" w:color="EEEFEE"/>
            </w:tcBorders>
            <w:shd w:val="clear" w:color="auto" w:fill="EEEFEE"/>
          </w:tcPr>
          <w:p>
            <w:pPr>
              <w:spacing w:after="0"/>
              <w:rPr>
                <w:sz w:val="16"/>
                <w:szCs w:val="16"/>
                <w:color w:val="auto"/>
              </w:rPr>
            </w:pPr>
          </w:p>
        </w:tc>
        <w:tc>
          <w:tcPr>
            <w:tcW w:w="140" w:type="dxa"/>
            <w:vAlign w:val="bottom"/>
            <w:tcBorders>
              <w:bottom w:val="single" w:sz="8" w:color="EEEFEE"/>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5/10/2023</w:t>
            </w: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1,890</w:t>
            </w: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840" w:type="dxa"/>
            <w:vAlign w:val="bottom"/>
            <w:tcBorders>
              <w:bottom w:val="single" w:sz="8" w:color="auto"/>
            </w:tcBorders>
            <w:shd w:val="clear" w:color="auto" w:fill="EEEFEE"/>
          </w:tcPr>
          <w:p>
            <w:pPr>
              <w:spacing w:after="0"/>
              <w:rPr>
                <w:sz w:val="16"/>
                <w:szCs w:val="16"/>
                <w:color w:val="auto"/>
              </w:rPr>
            </w:pP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6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shd w:val="clear" w:color="auto" w:fill="EEEFEE"/>
          </w:tcPr>
          <w:p>
            <w:pPr>
              <w:jc w:val="right"/>
              <w:ind w:right="33"/>
              <w:spacing w:after="0"/>
              <w:rPr>
                <w:sz w:val="20"/>
                <w:szCs w:val="20"/>
                <w:color w:val="auto"/>
              </w:rPr>
            </w:pPr>
            <w:r>
              <w:rPr>
                <w:rFonts w:ascii="Arial" w:cs="Arial" w:eastAsia="Arial" w:hAnsi="Arial"/>
                <w:sz w:val="13"/>
                <w:szCs w:val="13"/>
                <w:color w:val="auto"/>
                <w:w w:val="97"/>
              </w:rPr>
              <w:t>200,047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6440" w:type="dxa"/>
            <w:vAlign w:val="bottom"/>
            <w:tcBorders>
              <w:bottom w:val="single" w:sz="8" w:color="EEEFEE"/>
            </w:tcBorders>
            <w:shd w:val="clear" w:color="auto" w:fill="EEEFEE"/>
          </w:tcPr>
          <w:p>
            <w:pPr>
              <w:spacing w:after="0"/>
              <w:rPr>
                <w:sz w:val="16"/>
                <w:szCs w:val="16"/>
                <w:color w:val="auto"/>
              </w:rPr>
            </w:pPr>
          </w:p>
        </w:tc>
        <w:tc>
          <w:tcPr>
            <w:tcW w:w="140" w:type="dxa"/>
            <w:vAlign w:val="bottom"/>
            <w:tcBorders>
              <w:bottom w:val="single" w:sz="8" w:color="EEEFEE"/>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6/29/2023</w:t>
            </w: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spacing w:after="0"/>
              <w:rPr>
                <w:sz w:val="16"/>
                <w:szCs w:val="16"/>
                <w:color w:val="auto"/>
              </w:rPr>
            </w:pP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8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91</w:t>
            </w: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6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shd w:val="clear" w:color="auto" w:fill="EEEFEE"/>
          </w:tcPr>
          <w:p>
            <w:pPr>
              <w:jc w:val="right"/>
              <w:ind w:right="33"/>
              <w:spacing w:after="0"/>
              <w:rPr>
                <w:sz w:val="20"/>
                <w:szCs w:val="20"/>
                <w:color w:val="auto"/>
              </w:rPr>
            </w:pPr>
            <w:r>
              <w:rPr>
                <w:rFonts w:ascii="Arial" w:cs="Arial" w:eastAsia="Arial" w:hAnsi="Arial"/>
                <w:sz w:val="13"/>
                <w:szCs w:val="13"/>
                <w:color w:val="auto"/>
              </w:rPr>
              <w:t>10,131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6440" w:type="dxa"/>
            <w:vAlign w:val="bottom"/>
            <w:tcBorders>
              <w:bottom w:val="single" w:sz="8" w:color="EEEFEE"/>
            </w:tcBorders>
            <w:shd w:val="clear" w:color="auto" w:fill="EEEFEE"/>
          </w:tcPr>
          <w:p>
            <w:pPr>
              <w:spacing w:after="0"/>
              <w:rPr>
                <w:sz w:val="16"/>
                <w:szCs w:val="16"/>
                <w:color w:val="auto"/>
              </w:rPr>
            </w:pPr>
          </w:p>
        </w:tc>
        <w:tc>
          <w:tcPr>
            <w:tcW w:w="140" w:type="dxa"/>
            <w:vAlign w:val="bottom"/>
            <w:tcBorders>
              <w:bottom w:val="single" w:sz="8" w:color="EEEFEE"/>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9/28/2023</w:t>
            </w: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spacing w:after="0"/>
              <w:rPr>
                <w:sz w:val="16"/>
                <w:szCs w:val="16"/>
                <w:color w:val="auto"/>
              </w:rPr>
            </w:pP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8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98</w:t>
            </w: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6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shd w:val="clear" w:color="auto" w:fill="EEEFEE"/>
          </w:tcPr>
          <w:p>
            <w:pPr>
              <w:jc w:val="right"/>
              <w:ind w:right="33"/>
              <w:spacing w:after="0"/>
              <w:rPr>
                <w:sz w:val="20"/>
                <w:szCs w:val="20"/>
                <w:color w:val="auto"/>
              </w:rPr>
            </w:pPr>
            <w:r>
              <w:rPr>
                <w:rFonts w:ascii="Arial" w:cs="Arial" w:eastAsia="Arial" w:hAnsi="Arial"/>
                <w:sz w:val="13"/>
                <w:szCs w:val="13"/>
                <w:color w:val="auto"/>
              </w:rPr>
              <w:t>10,242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6440" w:type="dxa"/>
            <w:vAlign w:val="bottom"/>
            <w:tcBorders>
              <w:bottom w:val="single" w:sz="8" w:color="auto"/>
            </w:tcBorders>
            <w:shd w:val="clear" w:color="auto" w:fill="EEEFEE"/>
          </w:tcPr>
          <w:p>
            <w:pPr>
              <w:spacing w:after="0"/>
              <w:rPr>
                <w:sz w:val="16"/>
                <w:szCs w:val="16"/>
                <w:color w:val="auto"/>
              </w:rPr>
            </w:pPr>
          </w:p>
        </w:tc>
        <w:tc>
          <w:tcPr>
            <w:tcW w:w="140" w:type="dxa"/>
            <w:vAlign w:val="bottom"/>
            <w:tcBorders>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12/29/2023</w:t>
            </w:r>
          </w:p>
        </w:tc>
        <w:tc>
          <w:tcPr>
            <w:tcW w:w="120" w:type="dxa"/>
            <w:vAlign w:val="bottom"/>
            <w:tcBorders>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spacing w:after="0"/>
              <w:rPr>
                <w:sz w:val="16"/>
                <w:szCs w:val="16"/>
                <w:color w:val="auto"/>
              </w:rPr>
            </w:pPr>
          </w:p>
        </w:tc>
        <w:tc>
          <w:tcPr>
            <w:tcW w:w="120" w:type="dxa"/>
            <w:vAlign w:val="bottom"/>
            <w:tcBorders>
              <w:right w:val="single" w:sz="8" w:color="EEEFEE"/>
            </w:tcBorders>
            <w:shd w:val="clear" w:color="auto" w:fill="EEEFEE"/>
          </w:tcPr>
          <w:p>
            <w:pPr>
              <w:spacing w:after="0"/>
              <w:rPr>
                <w:sz w:val="16"/>
                <w:szCs w:val="16"/>
                <w:color w:val="auto"/>
              </w:rPr>
            </w:pPr>
          </w:p>
        </w:tc>
        <w:tc>
          <w:tcPr>
            <w:tcW w:w="8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96</w:t>
            </w:r>
          </w:p>
        </w:tc>
        <w:tc>
          <w:tcPr>
            <w:tcW w:w="120" w:type="dxa"/>
            <w:vAlign w:val="bottom"/>
            <w:tcBorders>
              <w:right w:val="single" w:sz="8" w:color="EEEFEE"/>
            </w:tcBorders>
            <w:shd w:val="clear" w:color="auto" w:fill="EEEFEE"/>
          </w:tcPr>
          <w:p>
            <w:pPr>
              <w:spacing w:after="0"/>
              <w:rPr>
                <w:sz w:val="16"/>
                <w:szCs w:val="16"/>
                <w:color w:val="auto"/>
              </w:rPr>
            </w:pPr>
          </w:p>
        </w:tc>
        <w:tc>
          <w:tcPr>
            <w:tcW w:w="6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shd w:val="clear" w:color="auto" w:fill="EEEFEE"/>
          </w:tcPr>
          <w:p>
            <w:pPr>
              <w:jc w:val="right"/>
              <w:ind w:right="33"/>
              <w:spacing w:after="0"/>
              <w:rPr>
                <w:sz w:val="20"/>
                <w:szCs w:val="20"/>
                <w:color w:val="auto"/>
              </w:rPr>
            </w:pPr>
            <w:r>
              <w:rPr>
                <w:rFonts w:ascii="Arial" w:cs="Arial" w:eastAsia="Arial" w:hAnsi="Arial"/>
                <w:sz w:val="13"/>
                <w:szCs w:val="13"/>
                <w:color w:val="auto"/>
              </w:rPr>
              <w:t>10,362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0" w:type="dxa"/>
            <w:vAlign w:val="bottom"/>
          </w:tcPr>
          <w:p>
            <w:pPr>
              <w:spacing w:after="0"/>
              <w:rPr>
                <w:sz w:val="16"/>
                <w:szCs w:val="16"/>
                <w:color w:val="auto"/>
              </w:rPr>
            </w:pPr>
          </w:p>
        </w:tc>
        <w:tc>
          <w:tcPr>
            <w:tcW w:w="6440" w:type="dxa"/>
            <w:vAlign w:val="bottom"/>
          </w:tcPr>
          <w:p>
            <w:pPr>
              <w:ind w:left="80"/>
              <w:spacing w:after="0"/>
              <w:rPr>
                <w:sz w:val="20"/>
                <w:szCs w:val="20"/>
                <w:color w:val="auto"/>
              </w:rPr>
            </w:pPr>
            <w:r>
              <w:rPr>
                <w:rFonts w:ascii="Arial" w:cs="Arial" w:eastAsia="Arial" w:hAnsi="Arial"/>
                <w:sz w:val="13"/>
                <w:szCs w:val="13"/>
                <w:b w:val="1"/>
                <w:bCs w:val="1"/>
                <w:color w:val="00254F"/>
              </w:rPr>
              <w:t>Dr. Freeman A. Hrabowski, III</w:t>
            </w:r>
          </w:p>
        </w:tc>
        <w:tc>
          <w:tcPr>
            <w:tcW w:w="1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3/30/2023</w:t>
            </w: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w:t>
            </w:r>
          </w:p>
        </w:tc>
        <w:tc>
          <w:tcPr>
            <w:tcW w:w="12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3"/>
                <w:szCs w:val="13"/>
                <w:color w:val="auto"/>
              </w:rPr>
              <w:t>22,301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5/10/2023</w:t>
            </w: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1,890</w:t>
            </w:r>
          </w:p>
        </w:tc>
        <w:tc>
          <w:tcPr>
            <w:tcW w:w="12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3"/>
                <w:szCs w:val="13"/>
                <w:color w:val="auto"/>
                <w:w w:val="97"/>
              </w:rPr>
              <w:t>200,047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6/29/2023</w:t>
            </w: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w:t>
            </w:r>
          </w:p>
        </w:tc>
        <w:tc>
          <w:tcPr>
            <w:tcW w:w="12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3"/>
                <w:szCs w:val="13"/>
                <w:color w:val="auto"/>
              </w:rPr>
              <w:t>24,854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9/28/2023</w:t>
            </w: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241</w:t>
            </w:r>
          </w:p>
        </w:tc>
        <w:tc>
          <w:tcPr>
            <w:tcW w:w="12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3"/>
                <w:szCs w:val="13"/>
                <w:color w:val="auto"/>
              </w:rPr>
              <w:t>25,126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6440" w:type="dxa"/>
            <w:vAlign w:val="bottom"/>
            <w:tcBorders>
              <w:bottom w:val="single" w:sz="8" w:color="auto"/>
            </w:tcBorders>
          </w:tcPr>
          <w:p>
            <w:pPr>
              <w:spacing w:after="0"/>
              <w:rPr>
                <w:sz w:val="16"/>
                <w:szCs w:val="16"/>
                <w:color w:val="auto"/>
              </w:rPr>
            </w:pPr>
          </w:p>
        </w:tc>
        <w:tc>
          <w:tcPr>
            <w:tcW w:w="140" w:type="dxa"/>
            <w:vAlign w:val="bottom"/>
            <w:tcBorders>
              <w:bottom w:val="single" w:sz="8" w:color="EEEFEE"/>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12/29/2023</w:t>
            </w:r>
          </w:p>
        </w:tc>
        <w:tc>
          <w:tcPr>
            <w:tcW w:w="120" w:type="dxa"/>
            <w:vAlign w:val="bottom"/>
            <w:tcBorders>
              <w:bottom w:val="single" w:sz="8" w:color="EEEFEE"/>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EEEFEE"/>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236</w:t>
            </w:r>
          </w:p>
        </w:tc>
        <w:tc>
          <w:tcPr>
            <w:tcW w:w="120" w:type="dxa"/>
            <w:vAlign w:val="bottom"/>
            <w:tcBorders>
              <w:bottom w:val="single" w:sz="8" w:color="EEEFEE"/>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3"/>
                <w:szCs w:val="13"/>
                <w:color w:val="auto"/>
              </w:rPr>
              <w:t>25,421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0" w:type="dxa"/>
            <w:vAlign w:val="bottom"/>
          </w:tcPr>
          <w:p>
            <w:pPr>
              <w:spacing w:after="0"/>
              <w:rPr>
                <w:sz w:val="16"/>
                <w:szCs w:val="16"/>
                <w:color w:val="auto"/>
              </w:rPr>
            </w:pPr>
          </w:p>
        </w:tc>
        <w:tc>
          <w:tcPr>
            <w:tcW w:w="6440" w:type="dxa"/>
            <w:vAlign w:val="bottom"/>
            <w:tcBorders>
              <w:bottom w:val="single" w:sz="8" w:color="EEEFEE"/>
            </w:tcBorders>
            <w:shd w:val="clear" w:color="auto" w:fill="EEEFEE"/>
          </w:tcPr>
          <w:p>
            <w:pPr>
              <w:ind w:left="80"/>
              <w:spacing w:after="0"/>
              <w:rPr>
                <w:sz w:val="20"/>
                <w:szCs w:val="20"/>
                <w:color w:val="auto"/>
              </w:rPr>
            </w:pPr>
            <w:r>
              <w:rPr>
                <w:rFonts w:ascii="Arial" w:cs="Arial" w:eastAsia="Arial" w:hAnsi="Arial"/>
                <w:sz w:val="13"/>
                <w:szCs w:val="13"/>
                <w:b w:val="1"/>
                <w:bCs w:val="1"/>
                <w:color w:val="00254F"/>
              </w:rPr>
              <w:t>Robert F. MacLellan</w:t>
            </w:r>
          </w:p>
        </w:tc>
        <w:tc>
          <w:tcPr>
            <w:tcW w:w="140" w:type="dxa"/>
            <w:vAlign w:val="bottom"/>
            <w:tcBorders>
              <w:bottom w:val="single" w:sz="8" w:color="EEEFEE"/>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3/30/2023</w:t>
            </w: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spacing w:after="0"/>
              <w:rPr>
                <w:sz w:val="16"/>
                <w:szCs w:val="16"/>
                <w:color w:val="auto"/>
              </w:rPr>
            </w:pP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8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97</w:t>
            </w: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6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shd w:val="clear" w:color="auto" w:fill="EEEFEE"/>
          </w:tcPr>
          <w:p>
            <w:pPr>
              <w:jc w:val="right"/>
              <w:ind w:right="33"/>
              <w:spacing w:after="0"/>
              <w:rPr>
                <w:sz w:val="20"/>
                <w:szCs w:val="20"/>
                <w:color w:val="auto"/>
              </w:rPr>
            </w:pPr>
            <w:r>
              <w:rPr>
                <w:rFonts w:ascii="Arial" w:cs="Arial" w:eastAsia="Arial" w:hAnsi="Arial"/>
                <w:sz w:val="13"/>
                <w:szCs w:val="13"/>
                <w:color w:val="auto"/>
              </w:rPr>
              <w:t>10,751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6440" w:type="dxa"/>
            <w:vAlign w:val="bottom"/>
            <w:tcBorders>
              <w:bottom w:val="single" w:sz="8" w:color="EEEFEE"/>
            </w:tcBorders>
            <w:shd w:val="clear" w:color="auto" w:fill="EEEFEE"/>
          </w:tcPr>
          <w:p>
            <w:pPr>
              <w:spacing w:after="0"/>
              <w:rPr>
                <w:sz w:val="16"/>
                <w:szCs w:val="16"/>
                <w:color w:val="auto"/>
              </w:rPr>
            </w:pPr>
          </w:p>
        </w:tc>
        <w:tc>
          <w:tcPr>
            <w:tcW w:w="140" w:type="dxa"/>
            <w:vAlign w:val="bottom"/>
            <w:tcBorders>
              <w:bottom w:val="single" w:sz="8" w:color="EEEFEE"/>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5/10/2023</w:t>
            </w: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1,890</w:t>
            </w: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840" w:type="dxa"/>
            <w:vAlign w:val="bottom"/>
            <w:tcBorders>
              <w:bottom w:val="single" w:sz="8" w:color="auto"/>
            </w:tcBorders>
            <w:shd w:val="clear" w:color="auto" w:fill="EEEFEE"/>
          </w:tcPr>
          <w:p>
            <w:pPr>
              <w:spacing w:after="0"/>
              <w:rPr>
                <w:sz w:val="16"/>
                <w:szCs w:val="16"/>
                <w:color w:val="auto"/>
              </w:rPr>
            </w:pP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6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shd w:val="clear" w:color="auto" w:fill="EEEFEE"/>
          </w:tcPr>
          <w:p>
            <w:pPr>
              <w:jc w:val="right"/>
              <w:ind w:right="33"/>
              <w:spacing w:after="0"/>
              <w:rPr>
                <w:sz w:val="20"/>
                <w:szCs w:val="20"/>
                <w:color w:val="auto"/>
              </w:rPr>
            </w:pPr>
            <w:r>
              <w:rPr>
                <w:rFonts w:ascii="Arial" w:cs="Arial" w:eastAsia="Arial" w:hAnsi="Arial"/>
                <w:sz w:val="13"/>
                <w:szCs w:val="13"/>
                <w:color w:val="auto"/>
                <w:w w:val="97"/>
              </w:rPr>
              <w:t>200,047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6440" w:type="dxa"/>
            <w:vAlign w:val="bottom"/>
            <w:tcBorders>
              <w:bottom w:val="single" w:sz="8" w:color="EEEFEE"/>
            </w:tcBorders>
            <w:shd w:val="clear" w:color="auto" w:fill="EEEFEE"/>
          </w:tcPr>
          <w:p>
            <w:pPr>
              <w:spacing w:after="0"/>
              <w:rPr>
                <w:sz w:val="16"/>
                <w:szCs w:val="16"/>
                <w:color w:val="auto"/>
              </w:rPr>
            </w:pPr>
          </w:p>
        </w:tc>
        <w:tc>
          <w:tcPr>
            <w:tcW w:w="140" w:type="dxa"/>
            <w:vAlign w:val="bottom"/>
            <w:tcBorders>
              <w:bottom w:val="single" w:sz="8" w:color="EEEFEE"/>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6/29/2023</w:t>
            </w: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spacing w:after="0"/>
              <w:rPr>
                <w:sz w:val="16"/>
                <w:szCs w:val="16"/>
                <w:color w:val="auto"/>
              </w:rPr>
            </w:pP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8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98</w:t>
            </w: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6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shd w:val="clear" w:color="auto" w:fill="EEEFEE"/>
          </w:tcPr>
          <w:p>
            <w:pPr>
              <w:jc w:val="right"/>
              <w:ind w:right="33"/>
              <w:spacing w:after="0"/>
              <w:rPr>
                <w:sz w:val="20"/>
                <w:szCs w:val="20"/>
                <w:color w:val="auto"/>
              </w:rPr>
            </w:pPr>
            <w:r>
              <w:rPr>
                <w:rFonts w:ascii="Arial" w:cs="Arial" w:eastAsia="Arial" w:hAnsi="Arial"/>
                <w:sz w:val="13"/>
                <w:szCs w:val="13"/>
                <w:color w:val="auto"/>
              </w:rPr>
              <w:t>10,870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6440" w:type="dxa"/>
            <w:vAlign w:val="bottom"/>
            <w:tcBorders>
              <w:bottom w:val="single" w:sz="8" w:color="EEEFEE"/>
            </w:tcBorders>
            <w:shd w:val="clear" w:color="auto" w:fill="EEEFEE"/>
          </w:tcPr>
          <w:p>
            <w:pPr>
              <w:spacing w:after="0"/>
              <w:rPr>
                <w:sz w:val="16"/>
                <w:szCs w:val="16"/>
                <w:color w:val="auto"/>
              </w:rPr>
            </w:pPr>
          </w:p>
        </w:tc>
        <w:tc>
          <w:tcPr>
            <w:tcW w:w="140" w:type="dxa"/>
            <w:vAlign w:val="bottom"/>
            <w:tcBorders>
              <w:bottom w:val="single" w:sz="8" w:color="EEEFEE"/>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6/30/2023</w:t>
            </w: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spacing w:after="0"/>
              <w:rPr>
                <w:sz w:val="16"/>
                <w:szCs w:val="16"/>
                <w:color w:val="auto"/>
              </w:rPr>
            </w:pP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8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581</w:t>
            </w: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6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shd w:val="clear" w:color="auto" w:fill="EEEFEE"/>
          </w:tcPr>
          <w:p>
            <w:pPr>
              <w:jc w:val="right"/>
              <w:ind w:right="33"/>
              <w:spacing w:after="0"/>
              <w:rPr>
                <w:sz w:val="20"/>
                <w:szCs w:val="20"/>
                <w:color w:val="auto"/>
              </w:rPr>
            </w:pPr>
            <w:r>
              <w:rPr>
                <w:rFonts w:ascii="Arial" w:cs="Arial" w:eastAsia="Arial" w:hAnsi="Arial"/>
                <w:sz w:val="13"/>
                <w:szCs w:val="13"/>
                <w:color w:val="auto"/>
              </w:rPr>
              <w:t>65,000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6440" w:type="dxa"/>
            <w:vAlign w:val="bottom"/>
            <w:tcBorders>
              <w:bottom w:val="single" w:sz="8" w:color="EEEFEE"/>
            </w:tcBorders>
            <w:shd w:val="clear" w:color="auto" w:fill="EEEFEE"/>
          </w:tcPr>
          <w:p>
            <w:pPr>
              <w:spacing w:after="0"/>
              <w:rPr>
                <w:sz w:val="16"/>
                <w:szCs w:val="16"/>
                <w:color w:val="auto"/>
              </w:rPr>
            </w:pPr>
          </w:p>
        </w:tc>
        <w:tc>
          <w:tcPr>
            <w:tcW w:w="140" w:type="dxa"/>
            <w:vAlign w:val="bottom"/>
            <w:tcBorders>
              <w:bottom w:val="single" w:sz="8" w:color="EEEFEE"/>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9/28/2023</w:t>
            </w: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spacing w:after="0"/>
              <w:rPr>
                <w:sz w:val="16"/>
                <w:szCs w:val="16"/>
                <w:color w:val="auto"/>
              </w:rPr>
            </w:pP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8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112</w:t>
            </w: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6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shd w:val="clear" w:color="auto" w:fill="EEEFEE"/>
          </w:tcPr>
          <w:p>
            <w:pPr>
              <w:jc w:val="right"/>
              <w:ind w:right="33"/>
              <w:spacing w:after="0"/>
              <w:rPr>
                <w:sz w:val="20"/>
                <w:szCs w:val="20"/>
                <w:color w:val="auto"/>
              </w:rPr>
            </w:pPr>
            <w:r>
              <w:rPr>
                <w:rFonts w:ascii="Arial" w:cs="Arial" w:eastAsia="Arial" w:hAnsi="Arial"/>
                <w:sz w:val="13"/>
                <w:szCs w:val="13"/>
                <w:color w:val="auto"/>
              </w:rPr>
              <w:t>11,698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6440" w:type="dxa"/>
            <w:vAlign w:val="bottom"/>
            <w:tcBorders>
              <w:bottom w:val="single" w:sz="8" w:color="auto"/>
            </w:tcBorders>
            <w:shd w:val="clear" w:color="auto" w:fill="EEEFEE"/>
          </w:tcPr>
          <w:p>
            <w:pPr>
              <w:spacing w:after="0"/>
              <w:rPr>
                <w:sz w:val="16"/>
                <w:szCs w:val="16"/>
                <w:color w:val="auto"/>
              </w:rPr>
            </w:pPr>
          </w:p>
        </w:tc>
        <w:tc>
          <w:tcPr>
            <w:tcW w:w="140" w:type="dxa"/>
            <w:vAlign w:val="bottom"/>
            <w:tcBorders>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12/29/2023</w:t>
            </w:r>
          </w:p>
        </w:tc>
        <w:tc>
          <w:tcPr>
            <w:tcW w:w="120" w:type="dxa"/>
            <w:vAlign w:val="bottom"/>
            <w:tcBorders>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spacing w:after="0"/>
              <w:rPr>
                <w:sz w:val="16"/>
                <w:szCs w:val="16"/>
                <w:color w:val="auto"/>
              </w:rPr>
            </w:pPr>
          </w:p>
        </w:tc>
        <w:tc>
          <w:tcPr>
            <w:tcW w:w="120" w:type="dxa"/>
            <w:vAlign w:val="bottom"/>
            <w:tcBorders>
              <w:right w:val="single" w:sz="8" w:color="EEEFEE"/>
            </w:tcBorders>
            <w:shd w:val="clear" w:color="auto" w:fill="EEEFEE"/>
          </w:tcPr>
          <w:p>
            <w:pPr>
              <w:spacing w:after="0"/>
              <w:rPr>
                <w:sz w:val="16"/>
                <w:szCs w:val="16"/>
                <w:color w:val="auto"/>
              </w:rPr>
            </w:pPr>
          </w:p>
        </w:tc>
        <w:tc>
          <w:tcPr>
            <w:tcW w:w="8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728</w:t>
            </w:r>
          </w:p>
        </w:tc>
        <w:tc>
          <w:tcPr>
            <w:tcW w:w="120" w:type="dxa"/>
            <w:vAlign w:val="bottom"/>
            <w:tcBorders>
              <w:right w:val="single" w:sz="8" w:color="EEEFEE"/>
            </w:tcBorders>
            <w:shd w:val="clear" w:color="auto" w:fill="EEEFEE"/>
          </w:tcPr>
          <w:p>
            <w:pPr>
              <w:spacing w:after="0"/>
              <w:rPr>
                <w:sz w:val="16"/>
                <w:szCs w:val="16"/>
                <w:color w:val="auto"/>
              </w:rPr>
            </w:pPr>
          </w:p>
        </w:tc>
        <w:tc>
          <w:tcPr>
            <w:tcW w:w="6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shd w:val="clear" w:color="auto" w:fill="EEEFEE"/>
          </w:tcPr>
          <w:p>
            <w:pPr>
              <w:jc w:val="right"/>
              <w:ind w:right="33"/>
              <w:spacing w:after="0"/>
              <w:rPr>
                <w:sz w:val="20"/>
                <w:szCs w:val="20"/>
                <w:color w:val="auto"/>
              </w:rPr>
            </w:pPr>
            <w:r>
              <w:rPr>
                <w:rFonts w:ascii="Arial" w:cs="Arial" w:eastAsia="Arial" w:hAnsi="Arial"/>
                <w:sz w:val="13"/>
                <w:szCs w:val="13"/>
                <w:color w:val="auto"/>
              </w:rPr>
              <w:t>78,335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0" w:type="dxa"/>
            <w:vAlign w:val="bottom"/>
          </w:tcPr>
          <w:p>
            <w:pPr>
              <w:spacing w:after="0"/>
              <w:rPr>
                <w:sz w:val="16"/>
                <w:szCs w:val="16"/>
                <w:color w:val="auto"/>
              </w:rPr>
            </w:pPr>
          </w:p>
        </w:tc>
        <w:tc>
          <w:tcPr>
            <w:tcW w:w="64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00254F"/>
              </w:rPr>
              <w:t>Eileen P. Rominger</w:t>
            </w:r>
          </w:p>
        </w:tc>
        <w:tc>
          <w:tcPr>
            <w:tcW w:w="140" w:type="dxa"/>
            <w:vAlign w:val="bottom"/>
            <w:tcBorders>
              <w:bottom w:val="single" w:sz="8" w:color="EEEFEE"/>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5/10/2023</w:t>
            </w:r>
          </w:p>
        </w:tc>
        <w:tc>
          <w:tcPr>
            <w:tcW w:w="120" w:type="dxa"/>
            <w:vAlign w:val="bottom"/>
            <w:tcBorders>
              <w:bottom w:val="single" w:sz="8" w:color="EEEFEE"/>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1,890</w:t>
            </w:r>
          </w:p>
        </w:tc>
        <w:tc>
          <w:tcPr>
            <w:tcW w:w="120" w:type="dxa"/>
            <w:vAlign w:val="bottom"/>
            <w:tcBorders>
              <w:bottom w:val="single" w:sz="8" w:color="EEEFEE"/>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EEEFEE"/>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3"/>
                <w:szCs w:val="13"/>
                <w:color w:val="auto"/>
                <w:w w:val="97"/>
              </w:rPr>
              <w:t>200,047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6440" w:type="dxa"/>
            <w:vAlign w:val="bottom"/>
            <w:tcBorders>
              <w:bottom w:val="single" w:sz="8" w:color="auto"/>
            </w:tcBorders>
            <w:shd w:val="clear" w:color="auto" w:fill="EEEFEE"/>
          </w:tcPr>
          <w:p>
            <w:pPr>
              <w:ind w:left="80"/>
              <w:spacing w:after="0"/>
              <w:rPr>
                <w:sz w:val="20"/>
                <w:szCs w:val="20"/>
                <w:color w:val="auto"/>
              </w:rPr>
            </w:pPr>
            <w:r>
              <w:rPr>
                <w:rFonts w:ascii="Arial" w:cs="Arial" w:eastAsia="Arial" w:hAnsi="Arial"/>
                <w:sz w:val="13"/>
                <w:szCs w:val="13"/>
                <w:b w:val="1"/>
                <w:bCs w:val="1"/>
                <w:color w:val="00254F"/>
              </w:rPr>
              <w:t>Cynthia F. Smith</w:t>
            </w:r>
          </w:p>
        </w:tc>
        <w:tc>
          <w:tcPr>
            <w:tcW w:w="140" w:type="dxa"/>
            <w:vAlign w:val="bottom"/>
            <w:tcBorders>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8/1/2023</w:t>
            </w:r>
          </w:p>
        </w:tc>
        <w:tc>
          <w:tcPr>
            <w:tcW w:w="120" w:type="dxa"/>
            <w:vAlign w:val="bottom"/>
            <w:tcBorders>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2,478</w:t>
            </w:r>
          </w:p>
        </w:tc>
        <w:tc>
          <w:tcPr>
            <w:tcW w:w="120" w:type="dxa"/>
            <w:vAlign w:val="bottom"/>
            <w:tcBorders>
              <w:right w:val="single" w:sz="8" w:color="EEEFEE"/>
            </w:tcBorders>
            <w:shd w:val="clear" w:color="auto" w:fill="EEEFEE"/>
          </w:tcPr>
          <w:p>
            <w:pPr>
              <w:spacing w:after="0"/>
              <w:rPr>
                <w:sz w:val="16"/>
                <w:szCs w:val="16"/>
                <w:color w:val="auto"/>
              </w:rPr>
            </w:pPr>
          </w:p>
        </w:tc>
        <w:tc>
          <w:tcPr>
            <w:tcW w:w="840" w:type="dxa"/>
            <w:vAlign w:val="bottom"/>
            <w:tcBorders>
              <w:bottom w:val="single" w:sz="8" w:color="auto"/>
            </w:tcBorders>
            <w:shd w:val="clear" w:color="auto" w:fill="EEEFEE"/>
          </w:tcPr>
          <w:p>
            <w:pPr>
              <w:spacing w:after="0"/>
              <w:rPr>
                <w:sz w:val="16"/>
                <w:szCs w:val="16"/>
                <w:color w:val="auto"/>
              </w:rPr>
            </w:pPr>
          </w:p>
        </w:tc>
        <w:tc>
          <w:tcPr>
            <w:tcW w:w="120" w:type="dxa"/>
            <w:vAlign w:val="bottom"/>
            <w:tcBorders>
              <w:right w:val="single" w:sz="8" w:color="EEEFEE"/>
            </w:tcBorders>
            <w:shd w:val="clear" w:color="auto" w:fill="EEEFEE"/>
          </w:tcPr>
          <w:p>
            <w:pPr>
              <w:spacing w:after="0"/>
              <w:rPr>
                <w:sz w:val="16"/>
                <w:szCs w:val="16"/>
                <w:color w:val="auto"/>
              </w:rPr>
            </w:pPr>
          </w:p>
        </w:tc>
        <w:tc>
          <w:tcPr>
            <w:tcW w:w="6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shd w:val="clear" w:color="auto" w:fill="EEEFEE"/>
          </w:tcPr>
          <w:p>
            <w:pPr>
              <w:jc w:val="right"/>
              <w:ind w:right="33"/>
              <w:spacing w:after="0"/>
              <w:rPr>
                <w:sz w:val="20"/>
                <w:szCs w:val="20"/>
                <w:color w:val="auto"/>
              </w:rPr>
            </w:pPr>
            <w:r>
              <w:rPr>
                <w:rFonts w:ascii="Arial" w:cs="Arial" w:eastAsia="Arial" w:hAnsi="Arial"/>
                <w:sz w:val="13"/>
                <w:szCs w:val="13"/>
                <w:color w:val="auto"/>
                <w:w w:val="97"/>
              </w:rPr>
              <w:t>300,061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6440" w:type="dxa"/>
            <w:vAlign w:val="bottom"/>
          </w:tcPr>
          <w:p>
            <w:pPr>
              <w:ind w:left="80"/>
              <w:spacing w:after="0"/>
              <w:rPr>
                <w:sz w:val="20"/>
                <w:szCs w:val="20"/>
                <w:color w:val="auto"/>
              </w:rPr>
            </w:pPr>
            <w:r>
              <w:rPr>
                <w:rFonts w:ascii="Arial" w:cs="Arial" w:eastAsia="Arial" w:hAnsi="Arial"/>
                <w:sz w:val="13"/>
                <w:szCs w:val="13"/>
                <w:b w:val="1"/>
                <w:bCs w:val="1"/>
                <w:color w:val="00254F"/>
              </w:rPr>
              <w:t>Robert J. Stevens</w:t>
            </w:r>
          </w:p>
        </w:tc>
        <w:tc>
          <w:tcPr>
            <w:tcW w:w="1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3/30/2023</w:t>
            </w: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w:t>
            </w:r>
          </w:p>
        </w:tc>
        <w:tc>
          <w:tcPr>
            <w:tcW w:w="12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3"/>
                <w:szCs w:val="13"/>
                <w:color w:val="auto"/>
              </w:rPr>
              <w:t>13,151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5/10/2023</w:t>
            </w: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1,890</w:t>
            </w:r>
          </w:p>
        </w:tc>
        <w:tc>
          <w:tcPr>
            <w:tcW w:w="12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3"/>
                <w:szCs w:val="13"/>
                <w:color w:val="auto"/>
                <w:w w:val="97"/>
              </w:rPr>
              <w:t>200,047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6/29/2023</w:t>
            </w: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140</w:t>
            </w:r>
          </w:p>
        </w:tc>
        <w:tc>
          <w:tcPr>
            <w:tcW w:w="12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3"/>
                <w:szCs w:val="13"/>
                <w:color w:val="auto"/>
              </w:rPr>
              <w:t>15,602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6/30/2023</w:t>
            </w: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500</w:t>
            </w:r>
          </w:p>
        </w:tc>
        <w:tc>
          <w:tcPr>
            <w:tcW w:w="12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3"/>
                <w:szCs w:val="13"/>
                <w:color w:val="auto"/>
              </w:rPr>
              <w:t>56,010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9/28/2023</w:t>
            </w: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w:t>
            </w:r>
          </w:p>
        </w:tc>
        <w:tc>
          <w:tcPr>
            <w:tcW w:w="12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3"/>
                <w:szCs w:val="13"/>
                <w:color w:val="auto"/>
              </w:rPr>
              <w:t>16,384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6440" w:type="dxa"/>
            <w:vAlign w:val="bottom"/>
            <w:tcBorders>
              <w:bottom w:val="single" w:sz="8" w:color="auto"/>
            </w:tcBorders>
          </w:tcPr>
          <w:p>
            <w:pPr>
              <w:spacing w:after="0"/>
              <w:rPr>
                <w:sz w:val="16"/>
                <w:szCs w:val="16"/>
                <w:color w:val="auto"/>
              </w:rPr>
            </w:pPr>
          </w:p>
        </w:tc>
        <w:tc>
          <w:tcPr>
            <w:tcW w:w="140" w:type="dxa"/>
            <w:vAlign w:val="bottom"/>
            <w:tcBorders>
              <w:bottom w:val="single" w:sz="8" w:color="EEEFEE"/>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12/29/2023</w:t>
            </w:r>
          </w:p>
        </w:tc>
        <w:tc>
          <w:tcPr>
            <w:tcW w:w="120" w:type="dxa"/>
            <w:vAlign w:val="bottom"/>
            <w:tcBorders>
              <w:bottom w:val="single" w:sz="8" w:color="EEEFEE"/>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EEEFEE"/>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702</w:t>
            </w:r>
          </w:p>
        </w:tc>
        <w:tc>
          <w:tcPr>
            <w:tcW w:w="120" w:type="dxa"/>
            <w:vAlign w:val="bottom"/>
            <w:tcBorders>
              <w:bottom w:val="single" w:sz="8" w:color="EEEFEE"/>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3"/>
                <w:szCs w:val="13"/>
                <w:color w:val="auto"/>
              </w:rPr>
              <w:t>75,575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0" w:type="dxa"/>
            <w:vAlign w:val="bottom"/>
          </w:tcPr>
          <w:p>
            <w:pPr>
              <w:spacing w:after="0"/>
              <w:rPr>
                <w:sz w:val="16"/>
                <w:szCs w:val="16"/>
                <w:color w:val="auto"/>
              </w:rPr>
            </w:pPr>
          </w:p>
        </w:tc>
        <w:tc>
          <w:tcPr>
            <w:tcW w:w="6440" w:type="dxa"/>
            <w:vAlign w:val="bottom"/>
            <w:tcBorders>
              <w:bottom w:val="single" w:sz="8" w:color="EEEFEE"/>
            </w:tcBorders>
            <w:shd w:val="clear" w:color="auto" w:fill="EEEFEE"/>
          </w:tcPr>
          <w:p>
            <w:pPr>
              <w:ind w:left="80"/>
              <w:spacing w:after="0"/>
              <w:rPr>
                <w:sz w:val="20"/>
                <w:szCs w:val="20"/>
                <w:color w:val="auto"/>
              </w:rPr>
            </w:pPr>
            <w:r>
              <w:rPr>
                <w:rFonts w:ascii="Arial" w:cs="Arial" w:eastAsia="Arial" w:hAnsi="Arial"/>
                <w:sz w:val="13"/>
                <w:szCs w:val="13"/>
                <w:b w:val="1"/>
                <w:bCs w:val="1"/>
                <w:color w:val="00254F"/>
              </w:rPr>
              <w:t>Sandra S. Wijnberg</w:t>
            </w:r>
          </w:p>
        </w:tc>
        <w:tc>
          <w:tcPr>
            <w:tcW w:w="140" w:type="dxa"/>
            <w:vAlign w:val="bottom"/>
            <w:tcBorders>
              <w:bottom w:val="single" w:sz="8" w:color="EEEFEE"/>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3/30/2023</w:t>
            </w: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spacing w:after="0"/>
              <w:rPr>
                <w:sz w:val="16"/>
                <w:szCs w:val="16"/>
                <w:color w:val="auto"/>
              </w:rPr>
            </w:pP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8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89</w:t>
            </w: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6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shd w:val="clear" w:color="auto" w:fill="EEEFEE"/>
          </w:tcPr>
          <w:p>
            <w:pPr>
              <w:jc w:val="right"/>
              <w:ind w:right="33"/>
              <w:spacing w:after="0"/>
              <w:rPr>
                <w:sz w:val="20"/>
                <w:szCs w:val="20"/>
                <w:color w:val="auto"/>
              </w:rPr>
            </w:pPr>
            <w:r>
              <w:rPr>
                <w:rFonts w:ascii="Arial" w:cs="Arial" w:eastAsia="Arial" w:hAnsi="Arial"/>
                <w:sz w:val="13"/>
                <w:szCs w:val="13"/>
                <w:color w:val="auto"/>
              </w:rPr>
              <w:t>9,779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6440" w:type="dxa"/>
            <w:vAlign w:val="bottom"/>
            <w:tcBorders>
              <w:bottom w:val="single" w:sz="8" w:color="EEEFEE"/>
            </w:tcBorders>
            <w:shd w:val="clear" w:color="auto" w:fill="EEEFEE"/>
          </w:tcPr>
          <w:p>
            <w:pPr>
              <w:spacing w:after="0"/>
              <w:rPr>
                <w:sz w:val="16"/>
                <w:szCs w:val="16"/>
                <w:color w:val="auto"/>
              </w:rPr>
            </w:pPr>
          </w:p>
        </w:tc>
        <w:tc>
          <w:tcPr>
            <w:tcW w:w="140" w:type="dxa"/>
            <w:vAlign w:val="bottom"/>
            <w:tcBorders>
              <w:bottom w:val="single" w:sz="8" w:color="EEEFEE"/>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5/10/2023</w:t>
            </w: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1,890</w:t>
            </w: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840" w:type="dxa"/>
            <w:vAlign w:val="bottom"/>
            <w:tcBorders>
              <w:bottom w:val="single" w:sz="8" w:color="auto"/>
            </w:tcBorders>
            <w:shd w:val="clear" w:color="auto" w:fill="EEEFEE"/>
          </w:tcPr>
          <w:p>
            <w:pPr>
              <w:spacing w:after="0"/>
              <w:rPr>
                <w:sz w:val="16"/>
                <w:szCs w:val="16"/>
                <w:color w:val="auto"/>
              </w:rPr>
            </w:pP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6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shd w:val="clear" w:color="auto" w:fill="EEEFEE"/>
          </w:tcPr>
          <w:p>
            <w:pPr>
              <w:jc w:val="right"/>
              <w:ind w:right="33"/>
              <w:spacing w:after="0"/>
              <w:rPr>
                <w:sz w:val="20"/>
                <w:szCs w:val="20"/>
                <w:color w:val="auto"/>
              </w:rPr>
            </w:pPr>
            <w:r>
              <w:rPr>
                <w:rFonts w:ascii="Arial" w:cs="Arial" w:eastAsia="Arial" w:hAnsi="Arial"/>
                <w:sz w:val="13"/>
                <w:szCs w:val="13"/>
                <w:color w:val="auto"/>
                <w:w w:val="97"/>
              </w:rPr>
              <w:t>200,047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6440" w:type="dxa"/>
            <w:vAlign w:val="bottom"/>
            <w:tcBorders>
              <w:bottom w:val="single" w:sz="8" w:color="EEEFEE"/>
            </w:tcBorders>
            <w:shd w:val="clear" w:color="auto" w:fill="EEEFEE"/>
          </w:tcPr>
          <w:p>
            <w:pPr>
              <w:spacing w:after="0"/>
              <w:rPr>
                <w:sz w:val="16"/>
                <w:szCs w:val="16"/>
                <w:color w:val="auto"/>
              </w:rPr>
            </w:pPr>
          </w:p>
        </w:tc>
        <w:tc>
          <w:tcPr>
            <w:tcW w:w="140" w:type="dxa"/>
            <w:vAlign w:val="bottom"/>
            <w:tcBorders>
              <w:bottom w:val="single" w:sz="8" w:color="EEEFEE"/>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6/29/2023</w:t>
            </w: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spacing w:after="0"/>
              <w:rPr>
                <w:sz w:val="16"/>
                <w:szCs w:val="16"/>
                <w:color w:val="auto"/>
              </w:rPr>
            </w:pP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8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89</w:t>
            </w: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6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shd w:val="clear" w:color="auto" w:fill="EEEFEE"/>
          </w:tcPr>
          <w:p>
            <w:pPr>
              <w:jc w:val="right"/>
              <w:ind w:right="33"/>
              <w:spacing w:after="0"/>
              <w:rPr>
                <w:sz w:val="20"/>
                <w:szCs w:val="20"/>
                <w:color w:val="auto"/>
              </w:rPr>
            </w:pPr>
            <w:r>
              <w:rPr>
                <w:rFonts w:ascii="Arial" w:cs="Arial" w:eastAsia="Arial" w:hAnsi="Arial"/>
                <w:sz w:val="13"/>
                <w:szCs w:val="13"/>
                <w:color w:val="auto"/>
              </w:rPr>
              <w:t>9,887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6440" w:type="dxa"/>
            <w:vAlign w:val="bottom"/>
            <w:tcBorders>
              <w:bottom w:val="single" w:sz="8" w:color="EEEFEE"/>
            </w:tcBorders>
            <w:shd w:val="clear" w:color="auto" w:fill="EEEFEE"/>
          </w:tcPr>
          <w:p>
            <w:pPr>
              <w:spacing w:after="0"/>
              <w:rPr>
                <w:sz w:val="16"/>
                <w:szCs w:val="16"/>
                <w:color w:val="auto"/>
              </w:rPr>
            </w:pPr>
          </w:p>
        </w:tc>
        <w:tc>
          <w:tcPr>
            <w:tcW w:w="140" w:type="dxa"/>
            <w:vAlign w:val="bottom"/>
            <w:tcBorders>
              <w:bottom w:val="single" w:sz="8" w:color="EEEFEE"/>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6/30/2023</w:t>
            </w: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spacing w:after="0"/>
              <w:rPr>
                <w:sz w:val="16"/>
                <w:szCs w:val="16"/>
                <w:color w:val="auto"/>
              </w:rPr>
            </w:pP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8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536</w:t>
            </w: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6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shd w:val="clear" w:color="auto" w:fill="EEEFEE"/>
          </w:tcPr>
          <w:p>
            <w:pPr>
              <w:jc w:val="right"/>
              <w:ind w:right="33"/>
              <w:spacing w:after="0"/>
              <w:rPr>
                <w:sz w:val="20"/>
                <w:szCs w:val="20"/>
                <w:color w:val="auto"/>
              </w:rPr>
            </w:pPr>
            <w:r>
              <w:rPr>
                <w:rFonts w:ascii="Arial" w:cs="Arial" w:eastAsia="Arial" w:hAnsi="Arial"/>
                <w:sz w:val="13"/>
                <w:szCs w:val="13"/>
                <w:color w:val="auto"/>
              </w:rPr>
              <w:t>60,043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6440" w:type="dxa"/>
            <w:vAlign w:val="bottom"/>
            <w:tcBorders>
              <w:bottom w:val="single" w:sz="8" w:color="EEEFEE"/>
            </w:tcBorders>
            <w:shd w:val="clear" w:color="auto" w:fill="EEEFEE"/>
          </w:tcPr>
          <w:p>
            <w:pPr>
              <w:spacing w:after="0"/>
              <w:rPr>
                <w:sz w:val="16"/>
                <w:szCs w:val="16"/>
                <w:color w:val="auto"/>
              </w:rPr>
            </w:pPr>
          </w:p>
        </w:tc>
        <w:tc>
          <w:tcPr>
            <w:tcW w:w="140" w:type="dxa"/>
            <w:vAlign w:val="bottom"/>
            <w:tcBorders>
              <w:bottom w:val="single" w:sz="8" w:color="EEEFEE"/>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9/28/2023</w:t>
            </w: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spacing w:after="0"/>
              <w:rPr>
                <w:sz w:val="16"/>
                <w:szCs w:val="16"/>
                <w:color w:val="auto"/>
              </w:rPr>
            </w:pP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8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102</w:t>
            </w: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6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shd w:val="clear" w:color="auto" w:fill="EEEFEE"/>
          </w:tcPr>
          <w:p>
            <w:pPr>
              <w:jc w:val="right"/>
              <w:ind w:right="33"/>
              <w:spacing w:after="0"/>
              <w:rPr>
                <w:sz w:val="20"/>
                <w:szCs w:val="20"/>
                <w:color w:val="auto"/>
              </w:rPr>
            </w:pPr>
            <w:r>
              <w:rPr>
                <w:rFonts w:ascii="Arial" w:cs="Arial" w:eastAsia="Arial" w:hAnsi="Arial"/>
                <w:sz w:val="13"/>
                <w:szCs w:val="13"/>
                <w:color w:val="auto"/>
              </w:rPr>
              <w:t>10,650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6440" w:type="dxa"/>
            <w:vAlign w:val="bottom"/>
            <w:tcBorders>
              <w:bottom w:val="single" w:sz="8" w:color="auto"/>
            </w:tcBorders>
            <w:shd w:val="clear" w:color="auto" w:fill="EEEFEE"/>
          </w:tcPr>
          <w:p>
            <w:pPr>
              <w:spacing w:after="0"/>
              <w:rPr>
                <w:sz w:val="16"/>
                <w:szCs w:val="16"/>
                <w:color w:val="auto"/>
              </w:rPr>
            </w:pPr>
          </w:p>
        </w:tc>
        <w:tc>
          <w:tcPr>
            <w:tcW w:w="140" w:type="dxa"/>
            <w:vAlign w:val="bottom"/>
            <w:tcBorders>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12/29/2023</w:t>
            </w:r>
          </w:p>
        </w:tc>
        <w:tc>
          <w:tcPr>
            <w:tcW w:w="120" w:type="dxa"/>
            <w:vAlign w:val="bottom"/>
            <w:tcBorders>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spacing w:after="0"/>
              <w:rPr>
                <w:sz w:val="16"/>
                <w:szCs w:val="16"/>
                <w:color w:val="auto"/>
              </w:rPr>
            </w:pPr>
          </w:p>
        </w:tc>
        <w:tc>
          <w:tcPr>
            <w:tcW w:w="120" w:type="dxa"/>
            <w:vAlign w:val="bottom"/>
            <w:tcBorders>
              <w:right w:val="single" w:sz="8" w:color="EEEFEE"/>
            </w:tcBorders>
            <w:shd w:val="clear" w:color="auto" w:fill="EEEFEE"/>
          </w:tcPr>
          <w:p>
            <w:pPr>
              <w:spacing w:after="0"/>
              <w:rPr>
                <w:sz w:val="16"/>
                <w:szCs w:val="16"/>
                <w:color w:val="auto"/>
              </w:rPr>
            </w:pPr>
          </w:p>
        </w:tc>
        <w:tc>
          <w:tcPr>
            <w:tcW w:w="8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672</w:t>
            </w:r>
          </w:p>
        </w:tc>
        <w:tc>
          <w:tcPr>
            <w:tcW w:w="120" w:type="dxa"/>
            <w:vAlign w:val="bottom"/>
            <w:tcBorders>
              <w:right w:val="single" w:sz="8" w:color="EEEFEE"/>
            </w:tcBorders>
            <w:shd w:val="clear" w:color="auto" w:fill="EEEFEE"/>
          </w:tcPr>
          <w:p>
            <w:pPr>
              <w:spacing w:after="0"/>
              <w:rPr>
                <w:sz w:val="16"/>
                <w:szCs w:val="16"/>
                <w:color w:val="auto"/>
              </w:rPr>
            </w:pPr>
          </w:p>
        </w:tc>
        <w:tc>
          <w:tcPr>
            <w:tcW w:w="6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shd w:val="clear" w:color="auto" w:fill="EEEFEE"/>
          </w:tcPr>
          <w:p>
            <w:pPr>
              <w:jc w:val="right"/>
              <w:ind w:right="33"/>
              <w:spacing w:after="0"/>
              <w:rPr>
                <w:sz w:val="20"/>
                <w:szCs w:val="20"/>
                <w:color w:val="auto"/>
              </w:rPr>
            </w:pPr>
            <w:r>
              <w:rPr>
                <w:rFonts w:ascii="Arial" w:cs="Arial" w:eastAsia="Arial" w:hAnsi="Arial"/>
                <w:sz w:val="13"/>
                <w:szCs w:val="13"/>
                <w:color w:val="auto"/>
              </w:rPr>
              <w:t>72,274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6"/>
        </w:trPr>
        <w:tc>
          <w:tcPr>
            <w:tcW w:w="30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4"/>
          </w:tcPr>
          <w:p>
            <w:pPr>
              <w:ind w:left="580"/>
              <w:spacing w:after="0"/>
              <w:rPr>
                <w:sz w:val="20"/>
                <w:szCs w:val="20"/>
                <w:color w:val="auto"/>
              </w:rPr>
            </w:pPr>
            <w:r>
              <w:rPr>
                <w:rFonts w:ascii="Times New Roman" w:cs="Times New Roman" w:eastAsia="Times New Roman" w:hAnsi="Times New Roman"/>
                <w:sz w:val="13"/>
                <w:szCs w:val="13"/>
                <w:b w:val="1"/>
                <w:bCs w:val="1"/>
                <w:color w:val="auto"/>
              </w:rPr>
              <w:t xml:space="preserve">2024 </w:t>
            </w:r>
            <w:r>
              <w:rPr>
                <w:rFonts w:ascii="Times New Roman" w:cs="Times New Roman" w:eastAsia="Times New Roman" w:hAnsi="Times New Roman"/>
                <w:sz w:val="13"/>
                <w:szCs w:val="13"/>
                <w:color w:val="auto"/>
              </w:rPr>
              <w:t>Proxy Statement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00244F"/>
              </w:rPr>
              <w:t>31</w:t>
            </w:r>
          </w:p>
        </w:tc>
        <w:tc>
          <w:tcPr>
            <w:tcW w:w="0" w:type="dxa"/>
            <w:vAlign w:val="bottom"/>
          </w:tcPr>
          <w:p>
            <w:pPr>
              <w:spacing w:after="0"/>
              <w:rPr>
                <w:sz w:val="1"/>
                <w:szCs w:val="1"/>
                <w:color w:val="auto"/>
              </w:rPr>
            </w:pPr>
          </w:p>
        </w:tc>
      </w:tr>
      <w:tr>
        <w:trPr>
          <w:trHeight w:val="185"/>
        </w:trPr>
        <w:tc>
          <w:tcPr>
            <w:tcW w:w="300" w:type="dxa"/>
            <w:vAlign w:val="bottom"/>
            <w:tcBorders>
              <w:bottom w:val="single" w:sz="8" w:color="auto"/>
            </w:tcBorders>
          </w:tcPr>
          <w:p>
            <w:pPr>
              <w:spacing w:after="0"/>
              <w:rPr>
                <w:sz w:val="16"/>
                <w:szCs w:val="16"/>
                <w:color w:val="auto"/>
              </w:rPr>
            </w:pPr>
          </w:p>
        </w:tc>
        <w:tc>
          <w:tcPr>
            <w:tcW w:w="64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4285615</wp:posOffset>
            </wp:positionH>
            <wp:positionV relativeFrom="paragraph">
              <wp:posOffset>-4800600</wp:posOffset>
            </wp:positionV>
            <wp:extent cx="71120" cy="134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4984115</wp:posOffset>
            </wp:positionH>
            <wp:positionV relativeFrom="paragraph">
              <wp:posOffset>-4800600</wp:posOffset>
            </wp:positionV>
            <wp:extent cx="63500" cy="134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3500" cy="134620"/>
                    </a:xfrm>
                    <a:prstGeom prst="rect">
                      <a:avLst/>
                    </a:prstGeom>
                    <a:noFill/>
                  </pic:spPr>
                </pic:pic>
              </a:graphicData>
            </a:graphic>
          </wp:anchor>
        </w:drawing>
        <w:drawing>
          <wp:anchor simplePos="0" relativeHeight="251657728" behindDoc="1" locked="0" layoutInCell="0" allowOverlap="1">
            <wp:simplePos x="0" y="0"/>
            <wp:positionH relativeFrom="column">
              <wp:posOffset>5666105</wp:posOffset>
            </wp:positionH>
            <wp:positionV relativeFrom="paragraph">
              <wp:posOffset>-4800600</wp:posOffset>
            </wp:positionV>
            <wp:extent cx="63500" cy="134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3500" cy="134620"/>
                    </a:xfrm>
                    <a:prstGeom prst="rect">
                      <a:avLst/>
                    </a:prstGeom>
                    <a:noFill/>
                  </pic:spPr>
                </pic:pic>
              </a:graphicData>
            </a:graphic>
          </wp:anchor>
        </w:drawing>
        <w:drawing>
          <wp:anchor simplePos="0" relativeHeight="251657728" behindDoc="1" locked="0" layoutInCell="0" allowOverlap="1">
            <wp:simplePos x="0" y="0"/>
            <wp:positionH relativeFrom="column">
              <wp:posOffset>6277610</wp:posOffset>
            </wp:positionH>
            <wp:positionV relativeFrom="paragraph">
              <wp:posOffset>-4800600</wp:posOffset>
            </wp:positionV>
            <wp:extent cx="63500" cy="134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3500" cy="134620"/>
                    </a:xfrm>
                    <a:prstGeom prst="rect">
                      <a:avLst/>
                    </a:prstGeom>
                    <a:noFill/>
                  </pic:spPr>
                </pic:pic>
              </a:graphicData>
            </a:graphic>
          </wp:anchor>
        </w:drawing>
        <w:drawing>
          <wp:anchor simplePos="0" relativeHeight="251657728" behindDoc="1" locked="0" layoutInCell="0" allowOverlap="1">
            <wp:simplePos x="0" y="0"/>
            <wp:positionH relativeFrom="column">
              <wp:posOffset>4285615</wp:posOffset>
            </wp:positionH>
            <wp:positionV relativeFrom="paragraph">
              <wp:posOffset>-4396105</wp:posOffset>
            </wp:positionV>
            <wp:extent cx="71120" cy="6743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120" cy="674370"/>
                    </a:xfrm>
                    <a:prstGeom prst="rect">
                      <a:avLst/>
                    </a:prstGeom>
                    <a:noFill/>
                  </pic:spPr>
                </pic:pic>
              </a:graphicData>
            </a:graphic>
          </wp:anchor>
        </w:drawing>
        <w:drawing>
          <wp:anchor simplePos="0" relativeHeight="251657728" behindDoc="1" locked="0" layoutInCell="0" allowOverlap="1">
            <wp:simplePos x="0" y="0"/>
            <wp:positionH relativeFrom="column">
              <wp:posOffset>4984115</wp:posOffset>
            </wp:positionH>
            <wp:positionV relativeFrom="paragraph">
              <wp:posOffset>-4396105</wp:posOffset>
            </wp:positionV>
            <wp:extent cx="63500" cy="6743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3500" cy="674370"/>
                    </a:xfrm>
                    <a:prstGeom prst="rect">
                      <a:avLst/>
                    </a:prstGeom>
                    <a:noFill/>
                  </pic:spPr>
                </pic:pic>
              </a:graphicData>
            </a:graphic>
          </wp:anchor>
        </w:drawing>
        <w:drawing>
          <wp:anchor simplePos="0" relativeHeight="251657728" behindDoc="1" locked="0" layoutInCell="0" allowOverlap="1">
            <wp:simplePos x="0" y="0"/>
            <wp:positionH relativeFrom="column">
              <wp:posOffset>5666105</wp:posOffset>
            </wp:positionH>
            <wp:positionV relativeFrom="paragraph">
              <wp:posOffset>-4396105</wp:posOffset>
            </wp:positionV>
            <wp:extent cx="63500" cy="6743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3500" cy="674370"/>
                    </a:xfrm>
                    <a:prstGeom prst="rect">
                      <a:avLst/>
                    </a:prstGeom>
                    <a:noFill/>
                  </pic:spPr>
                </pic:pic>
              </a:graphicData>
            </a:graphic>
          </wp:anchor>
        </w:drawing>
        <w:drawing>
          <wp:anchor simplePos="0" relativeHeight="251657728" behindDoc="1" locked="0" layoutInCell="0" allowOverlap="1">
            <wp:simplePos x="0" y="0"/>
            <wp:positionH relativeFrom="column">
              <wp:posOffset>6277610</wp:posOffset>
            </wp:positionH>
            <wp:positionV relativeFrom="paragraph">
              <wp:posOffset>-4396105</wp:posOffset>
            </wp:positionV>
            <wp:extent cx="63500" cy="6743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3500" cy="674370"/>
                    </a:xfrm>
                    <a:prstGeom prst="rect">
                      <a:avLst/>
                    </a:prstGeom>
                    <a:noFill/>
                  </pic:spPr>
                </pic:pic>
              </a:graphicData>
            </a:graphic>
          </wp:anchor>
        </w:drawing>
        <w:drawing>
          <wp:anchor simplePos="0" relativeHeight="251657728" behindDoc="1" locked="0" layoutInCell="0" allowOverlap="1">
            <wp:simplePos x="0" y="0"/>
            <wp:positionH relativeFrom="column">
              <wp:posOffset>4285615</wp:posOffset>
            </wp:positionH>
            <wp:positionV relativeFrom="paragraph">
              <wp:posOffset>-3046730</wp:posOffset>
            </wp:positionV>
            <wp:extent cx="71120" cy="8096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120" cy="809625"/>
                    </a:xfrm>
                    <a:prstGeom prst="rect">
                      <a:avLst/>
                    </a:prstGeom>
                    <a:noFill/>
                  </pic:spPr>
                </pic:pic>
              </a:graphicData>
            </a:graphic>
          </wp:anchor>
        </w:drawing>
        <w:drawing>
          <wp:anchor simplePos="0" relativeHeight="251657728" behindDoc="1" locked="0" layoutInCell="0" allowOverlap="1">
            <wp:simplePos x="0" y="0"/>
            <wp:positionH relativeFrom="column">
              <wp:posOffset>4984115</wp:posOffset>
            </wp:positionH>
            <wp:positionV relativeFrom="paragraph">
              <wp:posOffset>-3046730</wp:posOffset>
            </wp:positionV>
            <wp:extent cx="63500" cy="8096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3500" cy="809625"/>
                    </a:xfrm>
                    <a:prstGeom prst="rect">
                      <a:avLst/>
                    </a:prstGeom>
                    <a:noFill/>
                  </pic:spPr>
                </pic:pic>
              </a:graphicData>
            </a:graphic>
          </wp:anchor>
        </w:drawing>
        <w:drawing>
          <wp:anchor simplePos="0" relativeHeight="251657728" behindDoc="1" locked="0" layoutInCell="0" allowOverlap="1">
            <wp:simplePos x="0" y="0"/>
            <wp:positionH relativeFrom="column">
              <wp:posOffset>5666105</wp:posOffset>
            </wp:positionH>
            <wp:positionV relativeFrom="paragraph">
              <wp:posOffset>-3046730</wp:posOffset>
            </wp:positionV>
            <wp:extent cx="63500" cy="8096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3500" cy="809625"/>
                    </a:xfrm>
                    <a:prstGeom prst="rect">
                      <a:avLst/>
                    </a:prstGeom>
                    <a:noFill/>
                  </pic:spPr>
                </pic:pic>
              </a:graphicData>
            </a:graphic>
          </wp:anchor>
        </w:drawing>
        <w:drawing>
          <wp:anchor simplePos="0" relativeHeight="251657728" behindDoc="1" locked="0" layoutInCell="0" allowOverlap="1">
            <wp:simplePos x="0" y="0"/>
            <wp:positionH relativeFrom="column">
              <wp:posOffset>6277610</wp:posOffset>
            </wp:positionH>
            <wp:positionV relativeFrom="paragraph">
              <wp:posOffset>-3046730</wp:posOffset>
            </wp:positionV>
            <wp:extent cx="63500" cy="8096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3500" cy="809625"/>
                    </a:xfrm>
                    <a:prstGeom prst="rect">
                      <a:avLst/>
                    </a:prstGeom>
                    <a:noFill/>
                  </pic:spPr>
                </pic:pic>
              </a:graphicData>
            </a:graphic>
          </wp:anchor>
        </w:drawing>
        <w:drawing>
          <wp:anchor simplePos="0" relativeHeight="251657728" behindDoc="1" locked="0" layoutInCell="0" allowOverlap="1">
            <wp:simplePos x="0" y="0"/>
            <wp:positionH relativeFrom="column">
              <wp:posOffset>4285615</wp:posOffset>
            </wp:positionH>
            <wp:positionV relativeFrom="paragraph">
              <wp:posOffset>-2102485</wp:posOffset>
            </wp:positionV>
            <wp:extent cx="71120" cy="134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4984115</wp:posOffset>
            </wp:positionH>
            <wp:positionV relativeFrom="paragraph">
              <wp:posOffset>-2102485</wp:posOffset>
            </wp:positionV>
            <wp:extent cx="63500" cy="134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3500" cy="134620"/>
                    </a:xfrm>
                    <a:prstGeom prst="rect">
                      <a:avLst/>
                    </a:prstGeom>
                    <a:noFill/>
                  </pic:spPr>
                </pic:pic>
              </a:graphicData>
            </a:graphic>
          </wp:anchor>
        </w:drawing>
        <w:drawing>
          <wp:anchor simplePos="0" relativeHeight="251657728" behindDoc="1" locked="0" layoutInCell="0" allowOverlap="1">
            <wp:simplePos x="0" y="0"/>
            <wp:positionH relativeFrom="column">
              <wp:posOffset>5666105</wp:posOffset>
            </wp:positionH>
            <wp:positionV relativeFrom="paragraph">
              <wp:posOffset>-2102485</wp:posOffset>
            </wp:positionV>
            <wp:extent cx="63500" cy="134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3500" cy="134620"/>
                    </a:xfrm>
                    <a:prstGeom prst="rect">
                      <a:avLst/>
                    </a:prstGeom>
                    <a:noFill/>
                  </pic:spPr>
                </pic:pic>
              </a:graphicData>
            </a:graphic>
          </wp:anchor>
        </w:drawing>
        <w:drawing>
          <wp:anchor simplePos="0" relativeHeight="251657728" behindDoc="1" locked="0" layoutInCell="0" allowOverlap="1">
            <wp:simplePos x="0" y="0"/>
            <wp:positionH relativeFrom="column">
              <wp:posOffset>6277610</wp:posOffset>
            </wp:positionH>
            <wp:positionV relativeFrom="paragraph">
              <wp:posOffset>-2102485</wp:posOffset>
            </wp:positionV>
            <wp:extent cx="63500" cy="134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3500" cy="134620"/>
                    </a:xfrm>
                    <a:prstGeom prst="rect">
                      <a:avLst/>
                    </a:prstGeom>
                    <a:noFill/>
                  </pic:spPr>
                </pic:pic>
              </a:graphicData>
            </a:graphic>
          </wp:anchor>
        </w:drawing>
        <w:drawing>
          <wp:anchor simplePos="0" relativeHeight="251657728" behindDoc="1" locked="0" layoutInCell="0" allowOverlap="1">
            <wp:simplePos x="0" y="0"/>
            <wp:positionH relativeFrom="column">
              <wp:posOffset>4285615</wp:posOffset>
            </wp:positionH>
            <wp:positionV relativeFrom="paragraph">
              <wp:posOffset>-1158240</wp:posOffset>
            </wp:positionV>
            <wp:extent cx="71120" cy="8096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120" cy="809625"/>
                    </a:xfrm>
                    <a:prstGeom prst="rect">
                      <a:avLst/>
                    </a:prstGeom>
                    <a:noFill/>
                  </pic:spPr>
                </pic:pic>
              </a:graphicData>
            </a:graphic>
          </wp:anchor>
        </w:drawing>
        <w:drawing>
          <wp:anchor simplePos="0" relativeHeight="251657728" behindDoc="1" locked="0" layoutInCell="0" allowOverlap="1">
            <wp:simplePos x="0" y="0"/>
            <wp:positionH relativeFrom="column">
              <wp:posOffset>4984115</wp:posOffset>
            </wp:positionH>
            <wp:positionV relativeFrom="paragraph">
              <wp:posOffset>-1158240</wp:posOffset>
            </wp:positionV>
            <wp:extent cx="63500" cy="8096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3500" cy="809625"/>
                    </a:xfrm>
                    <a:prstGeom prst="rect">
                      <a:avLst/>
                    </a:prstGeom>
                    <a:noFill/>
                  </pic:spPr>
                </pic:pic>
              </a:graphicData>
            </a:graphic>
          </wp:anchor>
        </w:drawing>
        <w:drawing>
          <wp:anchor simplePos="0" relativeHeight="251657728" behindDoc="1" locked="0" layoutInCell="0" allowOverlap="1">
            <wp:simplePos x="0" y="0"/>
            <wp:positionH relativeFrom="column">
              <wp:posOffset>5666105</wp:posOffset>
            </wp:positionH>
            <wp:positionV relativeFrom="paragraph">
              <wp:posOffset>-1158240</wp:posOffset>
            </wp:positionV>
            <wp:extent cx="63500" cy="8096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3500" cy="809625"/>
                    </a:xfrm>
                    <a:prstGeom prst="rect">
                      <a:avLst/>
                    </a:prstGeom>
                    <a:noFill/>
                  </pic:spPr>
                </pic:pic>
              </a:graphicData>
            </a:graphic>
          </wp:anchor>
        </w:drawing>
        <w:drawing>
          <wp:anchor simplePos="0" relativeHeight="251657728" behindDoc="1" locked="0" layoutInCell="0" allowOverlap="1">
            <wp:simplePos x="0" y="0"/>
            <wp:positionH relativeFrom="column">
              <wp:posOffset>6277610</wp:posOffset>
            </wp:positionH>
            <wp:positionV relativeFrom="paragraph">
              <wp:posOffset>-1158240</wp:posOffset>
            </wp:positionV>
            <wp:extent cx="63500" cy="8096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3500" cy="80962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7"/>
          <w:szCs w:val="17"/>
          <w:u w:val="single" w:color="auto"/>
          <w:color w:val="0000EE"/>
        </w:rPr>
        <w:t>Table of Contents</w:t>
      </w:r>
    </w:p>
    <w:p>
      <w:pPr>
        <w:spacing w:after="0" w:line="391" w:lineRule="exact"/>
        <w:rPr>
          <w:sz w:val="20"/>
          <w:szCs w:val="20"/>
          <w:color w:val="auto"/>
        </w:rPr>
      </w:pPr>
    </w:p>
    <w:tbl>
      <w:tblPr>
        <w:tblLayout w:type="fixed"/>
        <w:tblInd w:w="300" w:type="dxa"/>
        <w:tblCellMar>
          <w:top w:w="0" w:type="dxa"/>
          <w:left w:w="0" w:type="dxa"/>
          <w:bottom w:w="0" w:type="dxa"/>
          <w:right w:w="0" w:type="dxa"/>
        </w:tblCellMar>
      </w:tblPr>
      <w:tr>
        <w:trPr>
          <w:trHeight w:val="138"/>
        </w:trPr>
        <w:tc>
          <w:tcPr>
            <w:tcW w:w="64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NUMBER OF</w:t>
            </w:r>
          </w:p>
        </w:tc>
        <w:tc>
          <w:tcPr>
            <w:tcW w:w="8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20" w:type="dxa"/>
            <w:vAlign w:val="bottom"/>
            <w:gridSpan w:val="2"/>
          </w:tcPr>
          <w:p>
            <w:pPr>
              <w:jc w:val="right"/>
              <w:ind w:right="33"/>
              <w:spacing w:after="0"/>
              <w:rPr>
                <w:sz w:val="20"/>
                <w:szCs w:val="20"/>
                <w:color w:val="auto"/>
              </w:rPr>
            </w:pPr>
            <w:r>
              <w:rPr>
                <w:rFonts w:ascii="Arial" w:cs="Arial" w:eastAsia="Arial" w:hAnsi="Arial"/>
                <w:sz w:val="12"/>
                <w:szCs w:val="12"/>
                <w:b w:val="1"/>
                <w:bCs w:val="1"/>
                <w:color w:val="auto"/>
              </w:rPr>
              <w:t>GRANT DATE</w:t>
            </w:r>
          </w:p>
        </w:tc>
        <w:tc>
          <w:tcPr>
            <w:tcW w:w="0" w:type="dxa"/>
            <w:vAlign w:val="bottom"/>
          </w:tcPr>
          <w:p>
            <w:pPr>
              <w:spacing w:after="0"/>
              <w:rPr>
                <w:sz w:val="1"/>
                <w:szCs w:val="1"/>
                <w:color w:val="auto"/>
              </w:rPr>
            </w:pPr>
          </w:p>
        </w:tc>
      </w:tr>
      <w:tr>
        <w:trPr>
          <w:trHeight w:val="125"/>
        </w:trPr>
        <w:tc>
          <w:tcPr>
            <w:tcW w:w="64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80" w:type="dxa"/>
            <w:vAlign w:val="bottom"/>
            <w:tcBorders>
              <w:right w:val="single" w:sz="8" w:color="auto"/>
            </w:tcBorders>
            <w:gridSpan w:val="2"/>
            <w:vMerge w:val="continue"/>
          </w:tcPr>
          <w:p>
            <w:pPr>
              <w:spacing w:after="0"/>
              <w:rPr>
                <w:sz w:val="10"/>
                <w:szCs w:val="10"/>
                <w:color w:val="auto"/>
              </w:rPr>
            </w:pPr>
          </w:p>
        </w:tc>
        <w:tc>
          <w:tcPr>
            <w:tcW w:w="9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NUMBER OF</w:t>
            </w:r>
          </w:p>
        </w:tc>
        <w:tc>
          <w:tcPr>
            <w:tcW w:w="1220" w:type="dxa"/>
            <w:vAlign w:val="bottom"/>
            <w:gridSpan w:val="2"/>
          </w:tcPr>
          <w:p>
            <w:pPr>
              <w:jc w:val="right"/>
              <w:ind w:right="33"/>
              <w:spacing w:after="0" w:line="125" w:lineRule="exact"/>
              <w:rPr>
                <w:sz w:val="20"/>
                <w:szCs w:val="20"/>
                <w:color w:val="auto"/>
              </w:rPr>
            </w:pPr>
            <w:r>
              <w:rPr>
                <w:rFonts w:ascii="Arial" w:cs="Arial" w:eastAsia="Arial" w:hAnsi="Arial"/>
                <w:sz w:val="12"/>
                <w:szCs w:val="12"/>
                <w:b w:val="1"/>
                <w:bCs w:val="1"/>
                <w:color w:val="auto"/>
              </w:rPr>
              <w:t>FAIR VALUE OF</w:t>
            </w:r>
          </w:p>
        </w:tc>
        <w:tc>
          <w:tcPr>
            <w:tcW w:w="0" w:type="dxa"/>
            <w:vAlign w:val="bottom"/>
          </w:tcPr>
          <w:p>
            <w:pPr>
              <w:spacing w:after="0"/>
              <w:rPr>
                <w:sz w:val="1"/>
                <w:szCs w:val="1"/>
                <w:color w:val="auto"/>
              </w:rPr>
            </w:pPr>
          </w:p>
        </w:tc>
      </w:tr>
      <w:tr>
        <w:trPr>
          <w:trHeight w:val="125"/>
        </w:trPr>
        <w:tc>
          <w:tcPr>
            <w:tcW w:w="65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2"/>
                <w:szCs w:val="12"/>
                <w:b w:val="1"/>
                <w:bCs w:val="1"/>
                <w:color w:val="auto"/>
              </w:rPr>
              <w:t>DIRECTOR</w:t>
            </w:r>
          </w:p>
        </w:tc>
        <w:tc>
          <w:tcPr>
            <w:tcW w:w="1080" w:type="dxa"/>
            <w:vAlign w:val="bottom"/>
            <w:tcBorders>
              <w:right w:val="single" w:sz="8" w:color="auto"/>
            </w:tcBorders>
            <w:gridSpan w:val="2"/>
            <w:vMerge w:val="restart"/>
          </w:tcPr>
          <w:p>
            <w:pPr>
              <w:ind w:left="160"/>
              <w:spacing w:after="0"/>
              <w:rPr>
                <w:sz w:val="20"/>
                <w:szCs w:val="20"/>
                <w:color w:val="auto"/>
              </w:rPr>
            </w:pPr>
            <w:r>
              <w:rPr>
                <w:rFonts w:ascii="Arial" w:cs="Arial" w:eastAsia="Arial" w:hAnsi="Arial"/>
                <w:sz w:val="12"/>
                <w:szCs w:val="12"/>
                <w:b w:val="1"/>
                <w:bCs w:val="1"/>
                <w:color w:val="auto"/>
              </w:rPr>
              <w:t>GRANT DATE</w:t>
            </w:r>
          </w:p>
        </w:tc>
        <w:tc>
          <w:tcPr>
            <w:tcW w:w="1080" w:type="dxa"/>
            <w:vAlign w:val="bottom"/>
            <w:tcBorders>
              <w:right w:val="single" w:sz="8" w:color="auto"/>
            </w:tcBorders>
            <w:gridSpan w:val="2"/>
          </w:tcPr>
          <w:p>
            <w:pPr>
              <w:jc w:val="right"/>
              <w:ind w:right="160"/>
              <w:spacing w:after="0" w:line="125" w:lineRule="exact"/>
              <w:rPr>
                <w:sz w:val="20"/>
                <w:szCs w:val="20"/>
                <w:color w:val="auto"/>
              </w:rPr>
            </w:pPr>
            <w:r>
              <w:rPr>
                <w:rFonts w:ascii="Arial" w:cs="Arial" w:eastAsia="Arial" w:hAnsi="Arial"/>
                <w:sz w:val="12"/>
                <w:szCs w:val="12"/>
                <w:b w:val="1"/>
                <w:bCs w:val="1"/>
                <w:color w:val="auto"/>
              </w:rPr>
              <w:t>RESTRICTED</w:t>
            </w:r>
          </w:p>
        </w:tc>
        <w:tc>
          <w:tcPr>
            <w:tcW w:w="960" w:type="dxa"/>
            <w:vAlign w:val="bottom"/>
            <w:tcBorders>
              <w:right w:val="single" w:sz="8" w:color="auto"/>
            </w:tcBorders>
            <w:gridSpan w:val="2"/>
            <w:vMerge w:val="continue"/>
          </w:tcPr>
          <w:p>
            <w:pPr>
              <w:spacing w:after="0"/>
              <w:rPr>
                <w:sz w:val="10"/>
                <w:szCs w:val="10"/>
                <w:color w:val="auto"/>
              </w:rPr>
            </w:pPr>
          </w:p>
        </w:tc>
        <w:tc>
          <w:tcPr>
            <w:tcW w:w="1220" w:type="dxa"/>
            <w:vAlign w:val="bottom"/>
            <w:gridSpan w:val="2"/>
          </w:tcPr>
          <w:p>
            <w:pPr>
              <w:jc w:val="right"/>
              <w:ind w:right="33"/>
              <w:spacing w:after="0" w:line="125" w:lineRule="exact"/>
              <w:rPr>
                <w:sz w:val="20"/>
                <w:szCs w:val="20"/>
                <w:color w:val="auto"/>
              </w:rPr>
            </w:pPr>
            <w:r>
              <w:rPr>
                <w:rFonts w:ascii="Arial" w:cs="Arial" w:eastAsia="Arial" w:hAnsi="Arial"/>
                <w:sz w:val="12"/>
                <w:szCs w:val="12"/>
                <w:b w:val="1"/>
                <w:bCs w:val="1"/>
                <w:color w:val="auto"/>
              </w:rPr>
              <w:t>STOCK AND</w:t>
            </w:r>
          </w:p>
        </w:tc>
        <w:tc>
          <w:tcPr>
            <w:tcW w:w="0" w:type="dxa"/>
            <w:vAlign w:val="bottom"/>
          </w:tcPr>
          <w:p>
            <w:pPr>
              <w:spacing w:after="0"/>
              <w:rPr>
                <w:sz w:val="1"/>
                <w:szCs w:val="1"/>
                <w:color w:val="auto"/>
              </w:rPr>
            </w:pPr>
          </w:p>
        </w:tc>
      </w:tr>
      <w:tr>
        <w:trPr>
          <w:trHeight w:val="160"/>
        </w:trPr>
        <w:tc>
          <w:tcPr>
            <w:tcW w:w="6580" w:type="dxa"/>
            <w:vAlign w:val="bottom"/>
            <w:tcBorders>
              <w:right w:val="single" w:sz="8" w:color="auto"/>
            </w:tcBorders>
            <w:gridSpan w:val="2"/>
            <w:vMerge w:val="continue"/>
          </w:tcPr>
          <w:p>
            <w:pPr>
              <w:spacing w:after="0"/>
              <w:rPr>
                <w:sz w:val="13"/>
                <w:szCs w:val="13"/>
                <w:color w:val="auto"/>
              </w:rPr>
            </w:pPr>
          </w:p>
        </w:tc>
        <w:tc>
          <w:tcPr>
            <w:tcW w:w="1080" w:type="dxa"/>
            <w:vAlign w:val="bottom"/>
            <w:tcBorders>
              <w:right w:val="single" w:sz="8" w:color="auto"/>
            </w:tcBorders>
            <w:gridSpan w:val="2"/>
            <w:vMerge w:val="continue"/>
          </w:tcPr>
          <w:p>
            <w:pPr>
              <w:spacing w:after="0"/>
              <w:rPr>
                <w:sz w:val="13"/>
                <w:szCs w:val="13"/>
                <w:color w:val="auto"/>
              </w:rPr>
            </w:pPr>
          </w:p>
        </w:tc>
        <w:tc>
          <w:tcPr>
            <w:tcW w:w="10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b w:val="1"/>
                <w:bCs w:val="1"/>
                <w:color w:val="auto"/>
              </w:rPr>
              <w:t>SHARES</w:t>
            </w:r>
          </w:p>
        </w:tc>
        <w:tc>
          <w:tcPr>
            <w:tcW w:w="9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b w:val="1"/>
                <w:bCs w:val="1"/>
                <w:color w:val="auto"/>
              </w:rPr>
              <w:t>RSUs</w:t>
            </w:r>
          </w:p>
        </w:tc>
        <w:tc>
          <w:tcPr>
            <w:tcW w:w="1220" w:type="dxa"/>
            <w:vAlign w:val="bottom"/>
            <w:gridSpan w:val="2"/>
          </w:tcPr>
          <w:p>
            <w:pPr>
              <w:jc w:val="right"/>
              <w:ind w:right="33"/>
              <w:spacing w:after="0"/>
              <w:rPr>
                <w:sz w:val="20"/>
                <w:szCs w:val="20"/>
                <w:color w:val="auto"/>
              </w:rPr>
            </w:pPr>
            <w:r>
              <w:rPr>
                <w:rFonts w:ascii="Arial" w:cs="Arial" w:eastAsia="Arial" w:hAnsi="Arial"/>
                <w:sz w:val="12"/>
                <w:szCs w:val="12"/>
                <w:b w:val="1"/>
                <w:bCs w:val="1"/>
                <w:color w:val="auto"/>
              </w:rPr>
              <w:t>OPTION AWARDS</w:t>
            </w:r>
          </w:p>
        </w:tc>
        <w:tc>
          <w:tcPr>
            <w:tcW w:w="0" w:type="dxa"/>
            <w:vAlign w:val="bottom"/>
          </w:tcPr>
          <w:p>
            <w:pPr>
              <w:spacing w:after="0"/>
              <w:rPr>
                <w:sz w:val="1"/>
                <w:szCs w:val="1"/>
                <w:color w:val="auto"/>
              </w:rPr>
            </w:pPr>
          </w:p>
        </w:tc>
      </w:tr>
      <w:tr>
        <w:trPr>
          <w:trHeight w:val="20"/>
        </w:trPr>
        <w:tc>
          <w:tcPr>
            <w:tcW w:w="64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80" w:type="dxa"/>
            <w:vAlign w:val="bottom"/>
            <w:gridSpan w:val="2"/>
          </w:tcPr>
          <w:p>
            <w:pPr>
              <w:ind w:left="80"/>
              <w:spacing w:after="0"/>
              <w:rPr>
                <w:sz w:val="20"/>
                <w:szCs w:val="20"/>
                <w:color w:val="auto"/>
              </w:rPr>
            </w:pPr>
            <w:r>
              <w:rPr>
                <w:rFonts w:ascii="Arial" w:cs="Arial" w:eastAsia="Arial" w:hAnsi="Arial"/>
                <w:sz w:val="13"/>
                <w:szCs w:val="13"/>
                <w:b w:val="1"/>
                <w:bCs w:val="1"/>
                <w:color w:val="00254F"/>
              </w:rPr>
              <w:t>Alan D. Wilson</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3/30/2023</w:t>
            </w: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267</w:t>
            </w:r>
          </w:p>
        </w:tc>
        <w:tc>
          <w:tcPr>
            <w:tcW w:w="12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29,430</w:t>
            </w:r>
          </w:p>
        </w:tc>
        <w:tc>
          <w:tcPr>
            <w:tcW w:w="0" w:type="dxa"/>
            <w:vAlign w:val="bottom"/>
          </w:tcPr>
          <w:p>
            <w:pPr>
              <w:spacing w:after="0"/>
              <w:rPr>
                <w:sz w:val="1"/>
                <w:szCs w:val="1"/>
                <w:color w:val="auto"/>
              </w:rPr>
            </w:pPr>
          </w:p>
        </w:tc>
      </w:tr>
      <w:tr>
        <w:trPr>
          <w:trHeight w:val="189"/>
        </w:trPr>
        <w:tc>
          <w:tcPr>
            <w:tcW w:w="6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5/10/2023</w:t>
            </w: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1,890</w:t>
            </w:r>
          </w:p>
        </w:tc>
        <w:tc>
          <w:tcPr>
            <w:tcW w:w="12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w w:val="97"/>
              </w:rPr>
              <w:t>200,047</w:t>
            </w:r>
          </w:p>
        </w:tc>
        <w:tc>
          <w:tcPr>
            <w:tcW w:w="0" w:type="dxa"/>
            <w:vAlign w:val="bottom"/>
          </w:tcPr>
          <w:p>
            <w:pPr>
              <w:spacing w:after="0"/>
              <w:rPr>
                <w:sz w:val="1"/>
                <w:szCs w:val="1"/>
                <w:color w:val="auto"/>
              </w:rPr>
            </w:pPr>
          </w:p>
        </w:tc>
      </w:tr>
      <w:tr>
        <w:trPr>
          <w:trHeight w:val="192"/>
        </w:trPr>
        <w:tc>
          <w:tcPr>
            <w:tcW w:w="6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6/29/2023</w:t>
            </w: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288</w:t>
            </w:r>
          </w:p>
        </w:tc>
        <w:tc>
          <w:tcPr>
            <w:tcW w:w="12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32,062</w:t>
            </w:r>
          </w:p>
        </w:tc>
        <w:tc>
          <w:tcPr>
            <w:tcW w:w="0" w:type="dxa"/>
            <w:vAlign w:val="bottom"/>
          </w:tcPr>
          <w:p>
            <w:pPr>
              <w:spacing w:after="0"/>
              <w:rPr>
                <w:sz w:val="1"/>
                <w:szCs w:val="1"/>
                <w:color w:val="auto"/>
              </w:rPr>
            </w:pPr>
          </w:p>
        </w:tc>
      </w:tr>
      <w:tr>
        <w:trPr>
          <w:trHeight w:val="192"/>
        </w:trPr>
        <w:tc>
          <w:tcPr>
            <w:tcW w:w="6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6/30/2023</w:t>
            </w: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567</w:t>
            </w:r>
          </w:p>
        </w:tc>
        <w:tc>
          <w:tcPr>
            <w:tcW w:w="12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63,515</w:t>
            </w:r>
          </w:p>
        </w:tc>
        <w:tc>
          <w:tcPr>
            <w:tcW w:w="0" w:type="dxa"/>
            <w:vAlign w:val="bottom"/>
          </w:tcPr>
          <w:p>
            <w:pPr>
              <w:spacing w:after="0"/>
              <w:rPr>
                <w:sz w:val="1"/>
                <w:szCs w:val="1"/>
                <w:color w:val="auto"/>
              </w:rPr>
            </w:pPr>
          </w:p>
        </w:tc>
      </w:tr>
      <w:tr>
        <w:trPr>
          <w:trHeight w:val="192"/>
        </w:trPr>
        <w:tc>
          <w:tcPr>
            <w:tcW w:w="6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9/28/2023</w:t>
            </w: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318</w:t>
            </w:r>
          </w:p>
        </w:tc>
        <w:tc>
          <w:tcPr>
            <w:tcW w:w="12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33,105</w:t>
            </w:r>
          </w:p>
        </w:tc>
        <w:tc>
          <w:tcPr>
            <w:tcW w:w="0" w:type="dxa"/>
            <w:vAlign w:val="bottom"/>
          </w:tcPr>
          <w:p>
            <w:pPr>
              <w:spacing w:after="0"/>
              <w:rPr>
                <w:sz w:val="1"/>
                <w:szCs w:val="1"/>
                <w:color w:val="auto"/>
              </w:rPr>
            </w:pPr>
          </w:p>
        </w:tc>
      </w:tr>
      <w:tr>
        <w:trPr>
          <w:trHeight w:val="192"/>
        </w:trPr>
        <w:tc>
          <w:tcPr>
            <w:tcW w:w="64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12/29/2023</w:t>
            </w: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929</w:t>
            </w:r>
          </w:p>
        </w:tc>
        <w:tc>
          <w:tcPr>
            <w:tcW w:w="12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99,993</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00" w:hanging="300"/>
        <w:spacing w:after="0"/>
        <w:tabs>
          <w:tab w:leader="none" w:pos="300" w:val="left"/>
        </w:tabs>
        <w:numPr>
          <w:ilvl w:val="0"/>
          <w:numId w:val="51"/>
        </w:numPr>
        <w:rPr>
          <w:rFonts w:ascii="Arial" w:cs="Arial" w:eastAsia="Arial" w:hAnsi="Arial"/>
          <w:sz w:val="14"/>
          <w:szCs w:val="14"/>
          <w:color w:val="auto"/>
          <w:vertAlign w:val="superscript"/>
        </w:rPr>
      </w:pPr>
      <w:r>
        <w:rPr>
          <w:rFonts w:ascii="Arial" w:cs="Arial" w:eastAsia="Arial" w:hAnsi="Arial"/>
          <w:sz w:val="13"/>
          <w:szCs w:val="13"/>
          <w:color w:val="auto"/>
        </w:rPr>
        <w:t>The following table represents the aggregate number of equity awards outstanding as of December 31, 2023.</w:t>
      </w:r>
    </w:p>
    <w:p>
      <w:pPr>
        <w:spacing w:after="0" w:line="184" w:lineRule="exact"/>
        <w:rPr>
          <w:sz w:val="20"/>
          <w:szCs w:val="20"/>
          <w:color w:val="auto"/>
        </w:rPr>
      </w:pPr>
    </w:p>
    <w:tbl>
      <w:tblPr>
        <w:tblLayout w:type="fixed"/>
        <w:tblInd w:w="300" w:type="dxa"/>
        <w:tblCellMar>
          <w:top w:w="0" w:type="dxa"/>
          <w:left w:w="0" w:type="dxa"/>
          <w:bottom w:w="0" w:type="dxa"/>
          <w:right w:w="0" w:type="dxa"/>
        </w:tblCellMar>
      </w:tblPr>
      <w:tr>
        <w:trPr>
          <w:trHeight w:val="170"/>
        </w:trPr>
        <w:tc>
          <w:tcPr>
            <w:tcW w:w="4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DIRECTOR</w:t>
            </w:r>
          </w:p>
        </w:tc>
        <w:tc>
          <w:tcPr>
            <w:tcW w:w="120" w:type="dxa"/>
            <w:vAlign w:val="bottom"/>
            <w:tcBorders>
              <w:right w:val="single" w:sz="8" w:color="auto"/>
            </w:tcBorders>
            <w:vMerge w:val="restart"/>
          </w:tcPr>
          <w:p>
            <w:pPr>
              <w:spacing w:after="0"/>
              <w:rPr>
                <w:sz w:val="14"/>
                <w:szCs w:val="14"/>
                <w:color w:val="auto"/>
              </w:rPr>
            </w:pPr>
          </w:p>
        </w:tc>
        <w:tc>
          <w:tcPr>
            <w:tcW w:w="13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b w:val="1"/>
                <w:bCs w:val="1"/>
                <w:color w:val="auto"/>
              </w:rPr>
              <w:t>UNVESTED</w:t>
            </w:r>
          </w:p>
        </w:tc>
        <w:tc>
          <w:tcPr>
            <w:tcW w:w="12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b w:val="1"/>
                <w:bCs w:val="1"/>
                <w:color w:val="auto"/>
              </w:rPr>
              <w:t>UNVESTED</w:t>
            </w:r>
          </w:p>
        </w:tc>
        <w:tc>
          <w:tcPr>
            <w:tcW w:w="14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b w:val="1"/>
                <w:bCs w:val="1"/>
                <w:color w:val="auto"/>
              </w:rPr>
              <w:t>UNEXERCISED</w:t>
            </w:r>
          </w:p>
        </w:tc>
        <w:tc>
          <w:tcPr>
            <w:tcW w:w="960" w:type="dxa"/>
            <w:vAlign w:val="bottom"/>
            <w:vMerge w:val="restart"/>
          </w:tcPr>
          <w:p>
            <w:pPr>
              <w:jc w:val="right"/>
              <w:ind w:right="14"/>
              <w:spacing w:after="0"/>
              <w:rPr>
                <w:sz w:val="20"/>
                <w:szCs w:val="20"/>
                <w:color w:val="auto"/>
              </w:rPr>
            </w:pPr>
            <w:r>
              <w:rPr>
                <w:rFonts w:ascii="Arial" w:cs="Arial" w:eastAsia="Arial" w:hAnsi="Arial"/>
                <w:sz w:val="12"/>
                <w:szCs w:val="12"/>
                <w:b w:val="1"/>
                <w:bCs w:val="1"/>
                <w:color w:val="auto"/>
              </w:rPr>
              <w:t>TOTAL</w:t>
            </w:r>
          </w:p>
        </w:tc>
        <w:tc>
          <w:tcPr>
            <w:tcW w:w="140" w:type="dxa"/>
            <w:vAlign w:val="bottom"/>
            <w:tcBorders>
              <w:right w:val="single" w:sz="8" w:color="auto"/>
            </w:tcBorders>
            <w:vMerge w:val="restart"/>
          </w:tcPr>
          <w:p>
            <w:pPr>
              <w:spacing w:after="0"/>
              <w:rPr>
                <w:sz w:val="14"/>
                <w:szCs w:val="14"/>
                <w:color w:val="auto"/>
              </w:rPr>
            </w:pPr>
          </w:p>
        </w:tc>
        <w:tc>
          <w:tcPr>
            <w:tcW w:w="1080" w:type="dxa"/>
            <w:vAlign w:val="bottom"/>
          </w:tcPr>
          <w:p>
            <w:pPr>
              <w:jc w:val="right"/>
              <w:ind w:right="35"/>
              <w:spacing w:after="0"/>
              <w:rPr>
                <w:sz w:val="20"/>
                <w:szCs w:val="20"/>
                <w:color w:val="auto"/>
              </w:rPr>
            </w:pPr>
            <w:r>
              <w:rPr>
                <w:rFonts w:ascii="Arial" w:cs="Arial" w:eastAsia="Arial" w:hAnsi="Arial"/>
                <w:sz w:val="12"/>
                <w:szCs w:val="12"/>
                <w:b w:val="1"/>
                <w:bCs w:val="1"/>
                <w:color w:val="auto"/>
              </w:rPr>
              <w:t>VESTED</w:t>
            </w:r>
          </w:p>
        </w:tc>
        <w:tc>
          <w:tcPr>
            <w:tcW w:w="0" w:type="dxa"/>
            <w:vAlign w:val="bottom"/>
          </w:tcPr>
          <w:p>
            <w:pPr>
              <w:spacing w:after="0"/>
              <w:rPr>
                <w:sz w:val="1"/>
                <w:szCs w:val="1"/>
                <w:color w:val="auto"/>
              </w:rPr>
            </w:pPr>
          </w:p>
        </w:tc>
      </w:tr>
      <w:tr>
        <w:trPr>
          <w:trHeight w:val="164"/>
        </w:trPr>
        <w:tc>
          <w:tcPr>
            <w:tcW w:w="4660" w:type="dxa"/>
            <w:vAlign w:val="bottom"/>
            <w:tcBorders>
              <w:bottom w:val="single" w:sz="8" w:color="auto"/>
            </w:tcBorders>
            <w:vMerge w:val="continue"/>
          </w:tcPr>
          <w:p>
            <w:pPr>
              <w:spacing w:after="0"/>
              <w:rPr>
                <w:sz w:val="14"/>
                <w:szCs w:val="14"/>
                <w:color w:val="auto"/>
              </w:rPr>
            </w:pPr>
          </w:p>
        </w:tc>
        <w:tc>
          <w:tcPr>
            <w:tcW w:w="120" w:type="dxa"/>
            <w:vAlign w:val="bottom"/>
            <w:tcBorders>
              <w:right w:val="single" w:sz="8" w:color="auto"/>
            </w:tcBorders>
            <w:vMerge w:val="continue"/>
          </w:tcPr>
          <w:p>
            <w:pPr>
              <w:spacing w:after="0"/>
              <w:rPr>
                <w:sz w:val="14"/>
                <w:szCs w:val="14"/>
                <w:color w:val="auto"/>
              </w:rPr>
            </w:pPr>
          </w:p>
        </w:tc>
        <w:tc>
          <w:tcPr>
            <w:tcW w:w="1180" w:type="dxa"/>
            <w:vAlign w:val="bottom"/>
            <w:tcBorders>
              <w:bottom w:val="single" w:sz="8" w:color="auto"/>
            </w:tcBorders>
          </w:tcPr>
          <w:p>
            <w:pPr>
              <w:jc w:val="right"/>
              <w:ind w:right="15"/>
              <w:spacing w:after="0"/>
              <w:rPr>
                <w:sz w:val="20"/>
                <w:szCs w:val="20"/>
                <w:color w:val="auto"/>
              </w:rPr>
            </w:pPr>
            <w:r>
              <w:rPr>
                <w:rFonts w:ascii="Arial" w:cs="Arial" w:eastAsia="Arial" w:hAnsi="Arial"/>
                <w:sz w:val="12"/>
                <w:szCs w:val="12"/>
                <w:b w:val="1"/>
                <w:bCs w:val="1"/>
                <w:color w:val="auto"/>
              </w:rPr>
              <w:t>STOCK AWARDS</w:t>
            </w:r>
          </w:p>
        </w:tc>
        <w:tc>
          <w:tcPr>
            <w:tcW w:w="140" w:type="dxa"/>
            <w:vAlign w:val="bottom"/>
            <w:tcBorders>
              <w:right w:val="single" w:sz="8" w:color="auto"/>
            </w:tcBorders>
          </w:tcPr>
          <w:p>
            <w:pPr>
              <w:spacing w:after="0"/>
              <w:rPr>
                <w:sz w:val="14"/>
                <w:szCs w:val="14"/>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2"/>
                <w:szCs w:val="12"/>
                <w:b w:val="1"/>
                <w:bCs w:val="1"/>
                <w:color w:val="auto"/>
              </w:rPr>
              <w:t>RSUs</w:t>
            </w:r>
          </w:p>
        </w:tc>
        <w:tc>
          <w:tcPr>
            <w:tcW w:w="140" w:type="dxa"/>
            <w:vAlign w:val="bottom"/>
            <w:tcBorders>
              <w:right w:val="single" w:sz="8" w:color="auto"/>
            </w:tcBorders>
          </w:tcPr>
          <w:p>
            <w:pPr>
              <w:spacing w:after="0"/>
              <w:rPr>
                <w:sz w:val="14"/>
                <w:szCs w:val="14"/>
                <w:color w:val="auto"/>
              </w:rPr>
            </w:pP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2"/>
                <w:szCs w:val="12"/>
                <w:b w:val="1"/>
                <w:bCs w:val="1"/>
                <w:color w:val="auto"/>
              </w:rPr>
              <w:t>OPTION AWARDS</w:t>
            </w:r>
          </w:p>
        </w:tc>
        <w:tc>
          <w:tcPr>
            <w:tcW w:w="140" w:type="dxa"/>
            <w:vAlign w:val="bottom"/>
            <w:tcBorders>
              <w:right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40" w:type="dxa"/>
            <w:vAlign w:val="bottom"/>
            <w:tcBorders>
              <w:right w:val="single" w:sz="8" w:color="auto"/>
            </w:tcBorders>
            <w:vMerge w:val="continue"/>
          </w:tcPr>
          <w:p>
            <w:pPr>
              <w:spacing w:after="0"/>
              <w:rPr>
                <w:sz w:val="14"/>
                <w:szCs w:val="14"/>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2"/>
                <w:szCs w:val="12"/>
                <w:b w:val="1"/>
                <w:bCs w:val="1"/>
                <w:color w:val="auto"/>
              </w:rPr>
              <w:t>RSUs</w:t>
            </w:r>
          </w:p>
        </w:tc>
        <w:tc>
          <w:tcPr>
            <w:tcW w:w="0" w:type="dxa"/>
            <w:vAlign w:val="bottom"/>
          </w:tcPr>
          <w:p>
            <w:pPr>
              <w:spacing w:after="0"/>
              <w:rPr>
                <w:sz w:val="1"/>
                <w:szCs w:val="1"/>
                <w:color w:val="auto"/>
              </w:rPr>
            </w:pPr>
          </w:p>
        </w:tc>
      </w:tr>
      <w:tr>
        <w:trPr>
          <w:trHeight w:val="195"/>
        </w:trPr>
        <w:tc>
          <w:tcPr>
            <w:tcW w:w="46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00254F"/>
              </w:rPr>
              <w:t>Mark S. Bartlett</w:t>
            </w:r>
          </w:p>
        </w:tc>
        <w:tc>
          <w:tcPr>
            <w:tcW w:w="120" w:type="dxa"/>
            <w:vAlign w:val="bottom"/>
            <w:tcBorders>
              <w:bottom w:val="single" w:sz="8" w:color="EEEFEE"/>
            </w:tcBorders>
          </w:tcPr>
          <w:p>
            <w:pPr>
              <w:spacing w:after="0"/>
              <w:rPr>
                <w:sz w:val="16"/>
                <w:szCs w:val="16"/>
                <w:color w:val="auto"/>
              </w:rPr>
            </w:pPr>
          </w:p>
        </w:tc>
        <w:tc>
          <w:tcPr>
            <w:tcW w:w="118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1,890</w:t>
            </w:r>
          </w:p>
        </w:tc>
        <w:tc>
          <w:tcPr>
            <w:tcW w:w="140" w:type="dxa"/>
            <w:vAlign w:val="bottom"/>
            <w:tcBorders>
              <w:bottom w:val="single" w:sz="8" w:color="EEEFEE"/>
            </w:tcBorders>
          </w:tcPr>
          <w:p>
            <w:pPr>
              <w:spacing w:after="0"/>
              <w:rPr>
                <w:sz w:val="16"/>
                <w:szCs w:val="16"/>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EEEFEE"/>
            </w:tcBorders>
          </w:tcPr>
          <w:p>
            <w:pPr>
              <w:spacing w:after="0"/>
              <w:rPr>
                <w:sz w:val="16"/>
                <w:szCs w:val="16"/>
                <w:color w:val="auto"/>
              </w:rPr>
            </w:pP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EEEFEE"/>
            </w:tcBorders>
          </w:tcPr>
          <w:p>
            <w:pPr>
              <w:spacing w:after="0"/>
              <w:rPr>
                <w:sz w:val="16"/>
                <w:szCs w:val="16"/>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1,890</w:t>
            </w:r>
          </w:p>
        </w:tc>
        <w:tc>
          <w:tcPr>
            <w:tcW w:w="140" w:type="dxa"/>
            <w:vAlign w:val="bottom"/>
            <w:tcBorders>
              <w:bottom w:val="single" w:sz="8" w:color="EEEFEE"/>
            </w:tcBorders>
          </w:tcPr>
          <w:p>
            <w:pPr>
              <w:spacing w:after="0"/>
              <w:rPr>
                <w:sz w:val="16"/>
                <w:szCs w:val="16"/>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2"/>
        </w:trPr>
        <w:tc>
          <w:tcPr>
            <w:tcW w:w="4660" w:type="dxa"/>
            <w:vAlign w:val="bottom"/>
            <w:tcBorders>
              <w:bottom w:val="single" w:sz="8" w:color="auto"/>
            </w:tcBorders>
            <w:shd w:val="clear" w:color="auto" w:fill="EEEFEE"/>
          </w:tcPr>
          <w:p>
            <w:pPr>
              <w:ind w:left="80"/>
              <w:spacing w:after="0"/>
              <w:rPr>
                <w:sz w:val="20"/>
                <w:szCs w:val="20"/>
                <w:color w:val="auto"/>
              </w:rPr>
            </w:pPr>
            <w:r>
              <w:rPr>
                <w:rFonts w:ascii="Arial" w:cs="Arial" w:eastAsia="Arial" w:hAnsi="Arial"/>
                <w:sz w:val="13"/>
                <w:szCs w:val="13"/>
                <w:b w:val="1"/>
                <w:bCs w:val="1"/>
                <w:color w:val="00254F"/>
              </w:rPr>
              <w:t>William P. Donnelly</w:t>
            </w:r>
          </w:p>
        </w:tc>
        <w:tc>
          <w:tcPr>
            <w:tcW w:w="120" w:type="dxa"/>
            <w:vAlign w:val="bottom"/>
            <w:tcBorders>
              <w:right w:val="single" w:sz="8" w:color="EEEFEE"/>
            </w:tcBorders>
            <w:shd w:val="clear" w:color="auto" w:fill="EEEFEE"/>
          </w:tcPr>
          <w:p>
            <w:pPr>
              <w:spacing w:after="0"/>
              <w:rPr>
                <w:sz w:val="16"/>
                <w:szCs w:val="16"/>
                <w:color w:val="auto"/>
              </w:rPr>
            </w:pPr>
          </w:p>
        </w:tc>
        <w:tc>
          <w:tcPr>
            <w:tcW w:w="1180" w:type="dxa"/>
            <w:vAlign w:val="bottom"/>
            <w:tcBorders>
              <w:bottom w:val="single" w:sz="8" w:color="auto"/>
            </w:tcBorders>
            <w:shd w:val="clear" w:color="auto" w:fill="EEEFEE"/>
          </w:tcPr>
          <w:p>
            <w:pPr>
              <w:jc w:val="right"/>
              <w:ind w:right="15"/>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EEEFEE"/>
            </w:tcBorders>
            <w:shd w:val="clear" w:color="auto" w:fill="EEEFEE"/>
          </w:tcPr>
          <w:p>
            <w:pPr>
              <w:spacing w:after="0"/>
              <w:rPr>
                <w:sz w:val="16"/>
                <w:szCs w:val="16"/>
                <w:color w:val="auto"/>
              </w:rPr>
            </w:pPr>
          </w:p>
        </w:tc>
        <w:tc>
          <w:tcPr>
            <w:tcW w:w="1080" w:type="dxa"/>
            <w:vAlign w:val="bottom"/>
            <w:tcBorders>
              <w:bottom w:val="single" w:sz="8" w:color="auto"/>
            </w:tcBorders>
            <w:shd w:val="clear" w:color="auto" w:fill="EEEFEE"/>
          </w:tcPr>
          <w:p>
            <w:pPr>
              <w:jc w:val="right"/>
              <w:ind w:right="15"/>
              <w:spacing w:after="0"/>
              <w:rPr>
                <w:sz w:val="20"/>
                <w:szCs w:val="20"/>
                <w:color w:val="auto"/>
              </w:rPr>
            </w:pPr>
            <w:r>
              <w:rPr>
                <w:rFonts w:ascii="Arial" w:cs="Arial" w:eastAsia="Arial" w:hAnsi="Arial"/>
                <w:sz w:val="13"/>
                <w:szCs w:val="13"/>
                <w:color w:val="auto"/>
              </w:rPr>
              <w:t>3,218</w:t>
            </w:r>
          </w:p>
        </w:tc>
        <w:tc>
          <w:tcPr>
            <w:tcW w:w="140" w:type="dxa"/>
            <w:vAlign w:val="bottom"/>
            <w:tcBorders>
              <w:right w:val="single" w:sz="8" w:color="EEEFEE"/>
            </w:tcBorders>
            <w:shd w:val="clear" w:color="auto" w:fill="EEEFEE"/>
          </w:tcPr>
          <w:p>
            <w:pPr>
              <w:spacing w:after="0"/>
              <w:rPr>
                <w:sz w:val="16"/>
                <w:szCs w:val="16"/>
                <w:color w:val="auto"/>
              </w:rPr>
            </w:pPr>
          </w:p>
        </w:tc>
        <w:tc>
          <w:tcPr>
            <w:tcW w:w="1280" w:type="dxa"/>
            <w:vAlign w:val="bottom"/>
            <w:tcBorders>
              <w:bottom w:val="single" w:sz="8" w:color="auto"/>
            </w:tcBorders>
            <w:shd w:val="clear" w:color="auto" w:fill="EEEFEE"/>
          </w:tcPr>
          <w:p>
            <w:pPr>
              <w:jc w:val="right"/>
              <w:ind w:right="15"/>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jc w:val="right"/>
              <w:ind w:right="14"/>
              <w:spacing w:after="0"/>
              <w:rPr>
                <w:sz w:val="20"/>
                <w:szCs w:val="20"/>
                <w:color w:val="auto"/>
              </w:rPr>
            </w:pPr>
            <w:r>
              <w:rPr>
                <w:rFonts w:ascii="Arial" w:cs="Arial" w:eastAsia="Arial" w:hAnsi="Arial"/>
                <w:sz w:val="13"/>
                <w:szCs w:val="13"/>
                <w:color w:val="auto"/>
              </w:rPr>
              <w:t>3,218</w:t>
            </w:r>
          </w:p>
        </w:tc>
        <w:tc>
          <w:tcPr>
            <w:tcW w:w="140" w:type="dxa"/>
            <w:vAlign w:val="bottom"/>
            <w:tcBorders>
              <w:right w:val="single" w:sz="8" w:color="EEEFEE"/>
            </w:tcBorders>
            <w:shd w:val="clear" w:color="auto" w:fill="EEEFEE"/>
          </w:tcPr>
          <w:p>
            <w:pPr>
              <w:spacing w:after="0"/>
              <w:rPr>
                <w:sz w:val="16"/>
                <w:szCs w:val="16"/>
                <w:color w:val="auto"/>
              </w:rPr>
            </w:pPr>
          </w:p>
        </w:tc>
        <w:tc>
          <w:tcPr>
            <w:tcW w:w="1080" w:type="dxa"/>
            <w:vAlign w:val="bottom"/>
            <w:tcBorders>
              <w:bottom w:val="single" w:sz="8" w:color="auto"/>
            </w:tcBorders>
            <w:shd w:val="clear" w:color="auto" w:fill="EEEFEE"/>
          </w:tcPr>
          <w:p>
            <w:pPr>
              <w:jc w:val="right"/>
              <w:ind w:right="3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2"/>
        </w:trPr>
        <w:tc>
          <w:tcPr>
            <w:tcW w:w="46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00254F"/>
              </w:rPr>
              <w:t>Dina Dublon</w:t>
            </w:r>
          </w:p>
        </w:tc>
        <w:tc>
          <w:tcPr>
            <w:tcW w:w="120" w:type="dxa"/>
            <w:vAlign w:val="bottom"/>
            <w:tcBorders>
              <w:bottom w:val="single" w:sz="8" w:color="EEEFEE"/>
            </w:tcBorders>
          </w:tcPr>
          <w:p>
            <w:pPr>
              <w:spacing w:after="0"/>
              <w:rPr>
                <w:sz w:val="16"/>
                <w:szCs w:val="16"/>
                <w:color w:val="auto"/>
              </w:rPr>
            </w:pPr>
          </w:p>
        </w:tc>
        <w:tc>
          <w:tcPr>
            <w:tcW w:w="118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1,890</w:t>
            </w:r>
          </w:p>
        </w:tc>
        <w:tc>
          <w:tcPr>
            <w:tcW w:w="140" w:type="dxa"/>
            <w:vAlign w:val="bottom"/>
            <w:tcBorders>
              <w:bottom w:val="single" w:sz="8" w:color="EEEFEE"/>
            </w:tcBorders>
          </w:tcPr>
          <w:p>
            <w:pPr>
              <w:spacing w:after="0"/>
              <w:rPr>
                <w:sz w:val="16"/>
                <w:szCs w:val="16"/>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EEEFEE"/>
            </w:tcBorders>
          </w:tcPr>
          <w:p>
            <w:pPr>
              <w:spacing w:after="0"/>
              <w:rPr>
                <w:sz w:val="16"/>
                <w:szCs w:val="16"/>
                <w:color w:val="auto"/>
              </w:rPr>
            </w:pP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EEEFEE"/>
            </w:tcBorders>
          </w:tcPr>
          <w:p>
            <w:pPr>
              <w:spacing w:after="0"/>
              <w:rPr>
                <w:sz w:val="16"/>
                <w:szCs w:val="16"/>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1,890</w:t>
            </w:r>
          </w:p>
        </w:tc>
        <w:tc>
          <w:tcPr>
            <w:tcW w:w="140" w:type="dxa"/>
            <w:vAlign w:val="bottom"/>
            <w:tcBorders>
              <w:bottom w:val="single" w:sz="8" w:color="EEEFEE"/>
            </w:tcBorders>
          </w:tcPr>
          <w:p>
            <w:pPr>
              <w:spacing w:after="0"/>
              <w:rPr>
                <w:sz w:val="16"/>
                <w:szCs w:val="16"/>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8,590</w:t>
            </w:r>
          </w:p>
        </w:tc>
        <w:tc>
          <w:tcPr>
            <w:tcW w:w="0" w:type="dxa"/>
            <w:vAlign w:val="bottom"/>
          </w:tcPr>
          <w:p>
            <w:pPr>
              <w:spacing w:after="0"/>
              <w:rPr>
                <w:sz w:val="1"/>
                <w:szCs w:val="1"/>
                <w:color w:val="auto"/>
              </w:rPr>
            </w:pPr>
          </w:p>
        </w:tc>
      </w:tr>
      <w:tr>
        <w:trPr>
          <w:trHeight w:val="192"/>
        </w:trPr>
        <w:tc>
          <w:tcPr>
            <w:tcW w:w="4660" w:type="dxa"/>
            <w:vAlign w:val="bottom"/>
            <w:tcBorders>
              <w:bottom w:val="single" w:sz="8" w:color="auto"/>
            </w:tcBorders>
            <w:shd w:val="clear" w:color="auto" w:fill="EEEFEE"/>
          </w:tcPr>
          <w:p>
            <w:pPr>
              <w:ind w:left="80"/>
              <w:spacing w:after="0"/>
              <w:rPr>
                <w:sz w:val="20"/>
                <w:szCs w:val="20"/>
                <w:color w:val="auto"/>
              </w:rPr>
            </w:pPr>
            <w:r>
              <w:rPr>
                <w:rFonts w:ascii="Arial" w:cs="Arial" w:eastAsia="Arial" w:hAnsi="Arial"/>
                <w:sz w:val="13"/>
                <w:szCs w:val="13"/>
                <w:b w:val="1"/>
                <w:bCs w:val="1"/>
                <w:color w:val="00254F"/>
              </w:rPr>
              <w:t>Dr. Freeman A. Hrabowski, III</w:t>
            </w:r>
          </w:p>
        </w:tc>
        <w:tc>
          <w:tcPr>
            <w:tcW w:w="120" w:type="dxa"/>
            <w:vAlign w:val="bottom"/>
            <w:tcBorders>
              <w:right w:val="single" w:sz="8" w:color="EEEFEE"/>
            </w:tcBorders>
            <w:shd w:val="clear" w:color="auto" w:fill="EEEFEE"/>
          </w:tcPr>
          <w:p>
            <w:pPr>
              <w:spacing w:after="0"/>
              <w:rPr>
                <w:sz w:val="16"/>
                <w:szCs w:val="16"/>
                <w:color w:val="auto"/>
              </w:rPr>
            </w:pPr>
          </w:p>
        </w:tc>
        <w:tc>
          <w:tcPr>
            <w:tcW w:w="1180" w:type="dxa"/>
            <w:vAlign w:val="bottom"/>
            <w:tcBorders>
              <w:bottom w:val="single" w:sz="8" w:color="auto"/>
            </w:tcBorders>
            <w:shd w:val="clear" w:color="auto" w:fill="EEEFEE"/>
          </w:tcPr>
          <w:p>
            <w:pPr>
              <w:jc w:val="right"/>
              <w:ind w:right="15"/>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EEEFEE"/>
            </w:tcBorders>
            <w:shd w:val="clear" w:color="auto" w:fill="EEEFEE"/>
          </w:tcPr>
          <w:p>
            <w:pPr>
              <w:spacing w:after="0"/>
              <w:rPr>
                <w:sz w:val="16"/>
                <w:szCs w:val="16"/>
                <w:color w:val="auto"/>
              </w:rPr>
            </w:pPr>
          </w:p>
        </w:tc>
        <w:tc>
          <w:tcPr>
            <w:tcW w:w="1080" w:type="dxa"/>
            <w:vAlign w:val="bottom"/>
            <w:tcBorders>
              <w:bottom w:val="single" w:sz="8" w:color="auto"/>
            </w:tcBorders>
            <w:shd w:val="clear" w:color="auto" w:fill="EEEFEE"/>
          </w:tcPr>
          <w:p>
            <w:pPr>
              <w:jc w:val="right"/>
              <w:ind w:right="15"/>
              <w:spacing w:after="0"/>
              <w:rPr>
                <w:sz w:val="20"/>
                <w:szCs w:val="20"/>
                <w:color w:val="auto"/>
              </w:rPr>
            </w:pPr>
            <w:r>
              <w:rPr>
                <w:rFonts w:ascii="Arial" w:cs="Arial" w:eastAsia="Arial" w:hAnsi="Arial"/>
                <w:sz w:val="13"/>
                <w:szCs w:val="13"/>
                <w:color w:val="auto"/>
              </w:rPr>
              <w:t>1,955</w:t>
            </w:r>
          </w:p>
        </w:tc>
        <w:tc>
          <w:tcPr>
            <w:tcW w:w="140" w:type="dxa"/>
            <w:vAlign w:val="bottom"/>
            <w:tcBorders>
              <w:right w:val="single" w:sz="8" w:color="EEEFEE"/>
            </w:tcBorders>
            <w:shd w:val="clear" w:color="auto" w:fill="EEEFEE"/>
          </w:tcPr>
          <w:p>
            <w:pPr>
              <w:spacing w:after="0"/>
              <w:rPr>
                <w:sz w:val="16"/>
                <w:szCs w:val="16"/>
                <w:color w:val="auto"/>
              </w:rPr>
            </w:pPr>
          </w:p>
        </w:tc>
        <w:tc>
          <w:tcPr>
            <w:tcW w:w="1280" w:type="dxa"/>
            <w:vAlign w:val="bottom"/>
            <w:tcBorders>
              <w:bottom w:val="single" w:sz="8" w:color="auto"/>
            </w:tcBorders>
            <w:shd w:val="clear" w:color="auto" w:fill="EEEFEE"/>
          </w:tcPr>
          <w:p>
            <w:pPr>
              <w:jc w:val="right"/>
              <w:ind w:right="15"/>
              <w:spacing w:after="0"/>
              <w:rPr>
                <w:sz w:val="20"/>
                <w:szCs w:val="20"/>
                <w:color w:val="auto"/>
              </w:rPr>
            </w:pPr>
            <w:r>
              <w:rPr>
                <w:rFonts w:ascii="Arial" w:cs="Arial" w:eastAsia="Arial" w:hAnsi="Arial"/>
                <w:sz w:val="13"/>
                <w:szCs w:val="13"/>
                <w:color w:val="auto"/>
              </w:rPr>
              <w:t>26,408</w:t>
            </w:r>
          </w:p>
        </w:tc>
        <w:tc>
          <w:tcPr>
            <w:tcW w:w="140" w:type="dxa"/>
            <w:vAlign w:val="bottom"/>
            <w:tcBorders>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jc w:val="right"/>
              <w:ind w:right="14"/>
              <w:spacing w:after="0"/>
              <w:rPr>
                <w:sz w:val="20"/>
                <w:szCs w:val="20"/>
                <w:color w:val="auto"/>
              </w:rPr>
            </w:pPr>
            <w:r>
              <w:rPr>
                <w:rFonts w:ascii="Arial" w:cs="Arial" w:eastAsia="Arial" w:hAnsi="Arial"/>
                <w:sz w:val="13"/>
                <w:szCs w:val="13"/>
                <w:color w:val="auto"/>
              </w:rPr>
              <w:t>28,363</w:t>
            </w:r>
          </w:p>
        </w:tc>
        <w:tc>
          <w:tcPr>
            <w:tcW w:w="140" w:type="dxa"/>
            <w:vAlign w:val="bottom"/>
            <w:tcBorders>
              <w:right w:val="single" w:sz="8" w:color="EEEFEE"/>
            </w:tcBorders>
            <w:shd w:val="clear" w:color="auto" w:fill="EEEFEE"/>
          </w:tcPr>
          <w:p>
            <w:pPr>
              <w:spacing w:after="0"/>
              <w:rPr>
                <w:sz w:val="16"/>
                <w:szCs w:val="16"/>
                <w:color w:val="auto"/>
              </w:rPr>
            </w:pPr>
          </w:p>
        </w:tc>
        <w:tc>
          <w:tcPr>
            <w:tcW w:w="1080" w:type="dxa"/>
            <w:vAlign w:val="bottom"/>
            <w:tcBorders>
              <w:bottom w:val="single" w:sz="8" w:color="auto"/>
            </w:tcBorders>
            <w:shd w:val="clear" w:color="auto" w:fill="EEEFEE"/>
          </w:tcPr>
          <w:p>
            <w:pPr>
              <w:jc w:val="right"/>
              <w:ind w:right="35"/>
              <w:spacing w:after="0"/>
              <w:rPr>
                <w:sz w:val="20"/>
                <w:szCs w:val="20"/>
                <w:color w:val="auto"/>
              </w:rPr>
            </w:pPr>
            <w:r>
              <w:rPr>
                <w:rFonts w:ascii="Arial" w:cs="Arial" w:eastAsia="Arial" w:hAnsi="Arial"/>
                <w:sz w:val="13"/>
                <w:szCs w:val="13"/>
                <w:color w:val="auto"/>
              </w:rPr>
              <w:t>19,118</w:t>
            </w:r>
          </w:p>
        </w:tc>
        <w:tc>
          <w:tcPr>
            <w:tcW w:w="0" w:type="dxa"/>
            <w:vAlign w:val="bottom"/>
          </w:tcPr>
          <w:p>
            <w:pPr>
              <w:spacing w:after="0"/>
              <w:rPr>
                <w:sz w:val="1"/>
                <w:szCs w:val="1"/>
                <w:color w:val="auto"/>
              </w:rPr>
            </w:pPr>
          </w:p>
        </w:tc>
      </w:tr>
      <w:tr>
        <w:trPr>
          <w:trHeight w:val="192"/>
        </w:trPr>
        <w:tc>
          <w:tcPr>
            <w:tcW w:w="46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00254F"/>
              </w:rPr>
              <w:t>Robert F. MacLellan</w:t>
            </w:r>
          </w:p>
        </w:tc>
        <w:tc>
          <w:tcPr>
            <w:tcW w:w="120" w:type="dxa"/>
            <w:vAlign w:val="bottom"/>
            <w:tcBorders>
              <w:bottom w:val="single" w:sz="8" w:color="EEEFEE"/>
            </w:tcBorders>
          </w:tcPr>
          <w:p>
            <w:pPr>
              <w:spacing w:after="0"/>
              <w:rPr>
                <w:sz w:val="16"/>
                <w:szCs w:val="16"/>
                <w:color w:val="auto"/>
              </w:rPr>
            </w:pPr>
          </w:p>
        </w:tc>
        <w:tc>
          <w:tcPr>
            <w:tcW w:w="118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1,890</w:t>
            </w:r>
          </w:p>
        </w:tc>
        <w:tc>
          <w:tcPr>
            <w:tcW w:w="140" w:type="dxa"/>
            <w:vAlign w:val="bottom"/>
            <w:tcBorders>
              <w:bottom w:val="single" w:sz="8" w:color="EEEFEE"/>
            </w:tcBorders>
          </w:tcPr>
          <w:p>
            <w:pPr>
              <w:spacing w:after="0"/>
              <w:rPr>
                <w:sz w:val="16"/>
                <w:szCs w:val="16"/>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EEEFEE"/>
            </w:tcBorders>
          </w:tcPr>
          <w:p>
            <w:pPr>
              <w:spacing w:after="0"/>
              <w:rPr>
                <w:sz w:val="16"/>
                <w:szCs w:val="16"/>
                <w:color w:val="auto"/>
              </w:rPr>
            </w:pP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26,408</w:t>
            </w:r>
          </w:p>
        </w:tc>
        <w:tc>
          <w:tcPr>
            <w:tcW w:w="140" w:type="dxa"/>
            <w:vAlign w:val="bottom"/>
            <w:tcBorders>
              <w:bottom w:val="single" w:sz="8" w:color="EEEFEE"/>
            </w:tcBorders>
          </w:tcPr>
          <w:p>
            <w:pPr>
              <w:spacing w:after="0"/>
              <w:rPr>
                <w:sz w:val="16"/>
                <w:szCs w:val="16"/>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28,298</w:t>
            </w:r>
          </w:p>
        </w:tc>
        <w:tc>
          <w:tcPr>
            <w:tcW w:w="140" w:type="dxa"/>
            <w:vAlign w:val="bottom"/>
            <w:tcBorders>
              <w:bottom w:val="single" w:sz="8" w:color="EEEFEE"/>
            </w:tcBorders>
          </w:tcPr>
          <w:p>
            <w:pPr>
              <w:spacing w:after="0"/>
              <w:rPr>
                <w:sz w:val="16"/>
                <w:szCs w:val="16"/>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10,429</w:t>
            </w:r>
          </w:p>
        </w:tc>
        <w:tc>
          <w:tcPr>
            <w:tcW w:w="0" w:type="dxa"/>
            <w:vAlign w:val="bottom"/>
          </w:tcPr>
          <w:p>
            <w:pPr>
              <w:spacing w:after="0"/>
              <w:rPr>
                <w:sz w:val="1"/>
                <w:szCs w:val="1"/>
                <w:color w:val="auto"/>
              </w:rPr>
            </w:pPr>
          </w:p>
        </w:tc>
      </w:tr>
      <w:tr>
        <w:trPr>
          <w:trHeight w:val="192"/>
        </w:trPr>
        <w:tc>
          <w:tcPr>
            <w:tcW w:w="4660" w:type="dxa"/>
            <w:vAlign w:val="bottom"/>
            <w:tcBorders>
              <w:bottom w:val="single" w:sz="8" w:color="auto"/>
            </w:tcBorders>
            <w:shd w:val="clear" w:color="auto" w:fill="EEEFEE"/>
          </w:tcPr>
          <w:p>
            <w:pPr>
              <w:ind w:left="80"/>
              <w:spacing w:after="0"/>
              <w:rPr>
                <w:sz w:val="20"/>
                <w:szCs w:val="20"/>
                <w:color w:val="auto"/>
              </w:rPr>
            </w:pPr>
            <w:r>
              <w:rPr>
                <w:rFonts w:ascii="Arial" w:cs="Arial" w:eastAsia="Arial" w:hAnsi="Arial"/>
                <w:sz w:val="13"/>
                <w:szCs w:val="13"/>
                <w:b w:val="1"/>
                <w:bCs w:val="1"/>
                <w:color w:val="00254F"/>
              </w:rPr>
              <w:t>Eileen P. Rominger</w:t>
            </w:r>
          </w:p>
        </w:tc>
        <w:tc>
          <w:tcPr>
            <w:tcW w:w="120" w:type="dxa"/>
            <w:vAlign w:val="bottom"/>
            <w:tcBorders>
              <w:right w:val="single" w:sz="8" w:color="EEEFEE"/>
            </w:tcBorders>
            <w:shd w:val="clear" w:color="auto" w:fill="EEEFEE"/>
          </w:tcPr>
          <w:p>
            <w:pPr>
              <w:spacing w:after="0"/>
              <w:rPr>
                <w:sz w:val="16"/>
                <w:szCs w:val="16"/>
                <w:color w:val="auto"/>
              </w:rPr>
            </w:pPr>
          </w:p>
        </w:tc>
        <w:tc>
          <w:tcPr>
            <w:tcW w:w="1180" w:type="dxa"/>
            <w:vAlign w:val="bottom"/>
            <w:tcBorders>
              <w:bottom w:val="single" w:sz="8" w:color="auto"/>
            </w:tcBorders>
            <w:shd w:val="clear" w:color="auto" w:fill="EEEFEE"/>
          </w:tcPr>
          <w:p>
            <w:pPr>
              <w:jc w:val="right"/>
              <w:ind w:right="15"/>
              <w:spacing w:after="0"/>
              <w:rPr>
                <w:sz w:val="20"/>
                <w:szCs w:val="20"/>
                <w:color w:val="auto"/>
              </w:rPr>
            </w:pPr>
            <w:r>
              <w:rPr>
                <w:rFonts w:ascii="Arial" w:cs="Arial" w:eastAsia="Arial" w:hAnsi="Arial"/>
                <w:sz w:val="13"/>
                <w:szCs w:val="13"/>
                <w:color w:val="auto"/>
              </w:rPr>
              <w:t>1,890</w:t>
            </w:r>
          </w:p>
        </w:tc>
        <w:tc>
          <w:tcPr>
            <w:tcW w:w="140" w:type="dxa"/>
            <w:vAlign w:val="bottom"/>
            <w:tcBorders>
              <w:right w:val="single" w:sz="8" w:color="EEEFEE"/>
            </w:tcBorders>
            <w:shd w:val="clear" w:color="auto" w:fill="EEEFEE"/>
          </w:tcPr>
          <w:p>
            <w:pPr>
              <w:spacing w:after="0"/>
              <w:rPr>
                <w:sz w:val="16"/>
                <w:szCs w:val="16"/>
                <w:color w:val="auto"/>
              </w:rPr>
            </w:pPr>
          </w:p>
        </w:tc>
        <w:tc>
          <w:tcPr>
            <w:tcW w:w="1080" w:type="dxa"/>
            <w:vAlign w:val="bottom"/>
            <w:tcBorders>
              <w:bottom w:val="single" w:sz="8" w:color="auto"/>
            </w:tcBorders>
            <w:shd w:val="clear" w:color="auto" w:fill="EEEFEE"/>
          </w:tcPr>
          <w:p>
            <w:pPr>
              <w:jc w:val="right"/>
              <w:ind w:right="15"/>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EEEFEE"/>
            </w:tcBorders>
            <w:shd w:val="clear" w:color="auto" w:fill="EEEFEE"/>
          </w:tcPr>
          <w:p>
            <w:pPr>
              <w:spacing w:after="0"/>
              <w:rPr>
                <w:sz w:val="16"/>
                <w:szCs w:val="16"/>
                <w:color w:val="auto"/>
              </w:rPr>
            </w:pPr>
          </w:p>
        </w:tc>
        <w:tc>
          <w:tcPr>
            <w:tcW w:w="1280" w:type="dxa"/>
            <w:vAlign w:val="bottom"/>
            <w:tcBorders>
              <w:bottom w:val="single" w:sz="8" w:color="auto"/>
            </w:tcBorders>
            <w:shd w:val="clear" w:color="auto" w:fill="EEEFEE"/>
          </w:tcPr>
          <w:p>
            <w:pPr>
              <w:jc w:val="right"/>
              <w:ind w:right="15"/>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jc w:val="right"/>
              <w:ind w:right="14"/>
              <w:spacing w:after="0"/>
              <w:rPr>
                <w:sz w:val="20"/>
                <w:szCs w:val="20"/>
                <w:color w:val="auto"/>
              </w:rPr>
            </w:pPr>
            <w:r>
              <w:rPr>
                <w:rFonts w:ascii="Arial" w:cs="Arial" w:eastAsia="Arial" w:hAnsi="Arial"/>
                <w:sz w:val="13"/>
                <w:szCs w:val="13"/>
                <w:color w:val="auto"/>
              </w:rPr>
              <w:t>1,890</w:t>
            </w:r>
          </w:p>
        </w:tc>
        <w:tc>
          <w:tcPr>
            <w:tcW w:w="140" w:type="dxa"/>
            <w:vAlign w:val="bottom"/>
            <w:tcBorders>
              <w:right w:val="single" w:sz="8" w:color="EEEFEE"/>
            </w:tcBorders>
            <w:shd w:val="clear" w:color="auto" w:fill="EEEFEE"/>
          </w:tcPr>
          <w:p>
            <w:pPr>
              <w:spacing w:after="0"/>
              <w:rPr>
                <w:sz w:val="16"/>
                <w:szCs w:val="16"/>
                <w:color w:val="auto"/>
              </w:rPr>
            </w:pPr>
          </w:p>
        </w:tc>
        <w:tc>
          <w:tcPr>
            <w:tcW w:w="1080" w:type="dxa"/>
            <w:vAlign w:val="bottom"/>
            <w:tcBorders>
              <w:bottom w:val="single" w:sz="8" w:color="auto"/>
            </w:tcBorders>
            <w:shd w:val="clear" w:color="auto" w:fill="EEEFEE"/>
          </w:tcPr>
          <w:p>
            <w:pPr>
              <w:jc w:val="right"/>
              <w:ind w:right="3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2"/>
        </w:trPr>
        <w:tc>
          <w:tcPr>
            <w:tcW w:w="46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00254F"/>
              </w:rPr>
              <w:t>Cynthia F. Smith</w:t>
            </w:r>
          </w:p>
        </w:tc>
        <w:tc>
          <w:tcPr>
            <w:tcW w:w="120" w:type="dxa"/>
            <w:vAlign w:val="bottom"/>
            <w:tcBorders>
              <w:bottom w:val="single" w:sz="8" w:color="EEEFEE"/>
            </w:tcBorders>
          </w:tcPr>
          <w:p>
            <w:pPr>
              <w:spacing w:after="0"/>
              <w:rPr>
                <w:sz w:val="16"/>
                <w:szCs w:val="16"/>
                <w:color w:val="auto"/>
              </w:rPr>
            </w:pPr>
          </w:p>
        </w:tc>
        <w:tc>
          <w:tcPr>
            <w:tcW w:w="118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2,478</w:t>
            </w:r>
          </w:p>
        </w:tc>
        <w:tc>
          <w:tcPr>
            <w:tcW w:w="140" w:type="dxa"/>
            <w:vAlign w:val="bottom"/>
            <w:tcBorders>
              <w:bottom w:val="single" w:sz="8" w:color="EEEFEE"/>
            </w:tcBorders>
          </w:tcPr>
          <w:p>
            <w:pPr>
              <w:spacing w:after="0"/>
              <w:rPr>
                <w:sz w:val="16"/>
                <w:szCs w:val="16"/>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EEEFEE"/>
            </w:tcBorders>
          </w:tcPr>
          <w:p>
            <w:pPr>
              <w:spacing w:after="0"/>
              <w:rPr>
                <w:sz w:val="16"/>
                <w:szCs w:val="16"/>
                <w:color w:val="auto"/>
              </w:rPr>
            </w:pP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EEEFEE"/>
            </w:tcBorders>
          </w:tcPr>
          <w:p>
            <w:pPr>
              <w:spacing w:after="0"/>
              <w:rPr>
                <w:sz w:val="16"/>
                <w:szCs w:val="16"/>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2,478</w:t>
            </w:r>
          </w:p>
        </w:tc>
        <w:tc>
          <w:tcPr>
            <w:tcW w:w="140" w:type="dxa"/>
            <w:vAlign w:val="bottom"/>
            <w:tcBorders>
              <w:bottom w:val="single" w:sz="8" w:color="EEEFEE"/>
            </w:tcBorders>
          </w:tcPr>
          <w:p>
            <w:pPr>
              <w:spacing w:after="0"/>
              <w:rPr>
                <w:sz w:val="16"/>
                <w:szCs w:val="16"/>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2"/>
        </w:trPr>
        <w:tc>
          <w:tcPr>
            <w:tcW w:w="4660" w:type="dxa"/>
            <w:vAlign w:val="bottom"/>
            <w:tcBorders>
              <w:bottom w:val="single" w:sz="8" w:color="auto"/>
            </w:tcBorders>
            <w:shd w:val="clear" w:color="auto" w:fill="EEEFEE"/>
          </w:tcPr>
          <w:p>
            <w:pPr>
              <w:ind w:left="80"/>
              <w:spacing w:after="0"/>
              <w:rPr>
                <w:sz w:val="20"/>
                <w:szCs w:val="20"/>
                <w:color w:val="auto"/>
              </w:rPr>
            </w:pPr>
            <w:r>
              <w:rPr>
                <w:rFonts w:ascii="Arial" w:cs="Arial" w:eastAsia="Arial" w:hAnsi="Arial"/>
                <w:sz w:val="13"/>
                <w:szCs w:val="13"/>
                <w:b w:val="1"/>
                <w:bCs w:val="1"/>
                <w:color w:val="00254F"/>
              </w:rPr>
              <w:t>Robert J. Stevens</w:t>
            </w:r>
          </w:p>
        </w:tc>
        <w:tc>
          <w:tcPr>
            <w:tcW w:w="120" w:type="dxa"/>
            <w:vAlign w:val="bottom"/>
            <w:tcBorders>
              <w:right w:val="single" w:sz="8" w:color="EEEFEE"/>
            </w:tcBorders>
            <w:shd w:val="clear" w:color="auto" w:fill="EEEFEE"/>
          </w:tcPr>
          <w:p>
            <w:pPr>
              <w:spacing w:after="0"/>
              <w:rPr>
                <w:sz w:val="16"/>
                <w:szCs w:val="16"/>
                <w:color w:val="auto"/>
              </w:rPr>
            </w:pPr>
          </w:p>
        </w:tc>
        <w:tc>
          <w:tcPr>
            <w:tcW w:w="1180" w:type="dxa"/>
            <w:vAlign w:val="bottom"/>
            <w:tcBorders>
              <w:bottom w:val="single" w:sz="8" w:color="auto"/>
            </w:tcBorders>
            <w:shd w:val="clear" w:color="auto" w:fill="EEEFEE"/>
          </w:tcPr>
          <w:p>
            <w:pPr>
              <w:jc w:val="right"/>
              <w:ind w:right="15"/>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EEEFEE"/>
            </w:tcBorders>
            <w:shd w:val="clear" w:color="auto" w:fill="EEEFEE"/>
          </w:tcPr>
          <w:p>
            <w:pPr>
              <w:spacing w:after="0"/>
              <w:rPr>
                <w:sz w:val="16"/>
                <w:szCs w:val="16"/>
                <w:color w:val="auto"/>
              </w:rPr>
            </w:pPr>
          </w:p>
        </w:tc>
        <w:tc>
          <w:tcPr>
            <w:tcW w:w="1080" w:type="dxa"/>
            <w:vAlign w:val="bottom"/>
            <w:tcBorders>
              <w:bottom w:val="single" w:sz="8" w:color="auto"/>
            </w:tcBorders>
            <w:shd w:val="clear" w:color="auto" w:fill="EEEFEE"/>
          </w:tcPr>
          <w:p>
            <w:pPr>
              <w:jc w:val="right"/>
              <w:ind w:right="15"/>
              <w:spacing w:after="0"/>
              <w:rPr>
                <w:sz w:val="20"/>
                <w:szCs w:val="20"/>
                <w:color w:val="auto"/>
              </w:rPr>
            </w:pPr>
            <w:r>
              <w:rPr>
                <w:rFonts w:ascii="Arial" w:cs="Arial" w:eastAsia="Arial" w:hAnsi="Arial"/>
                <w:sz w:val="13"/>
                <w:szCs w:val="13"/>
                <w:color w:val="auto"/>
              </w:rPr>
              <w:t>1,955</w:t>
            </w:r>
          </w:p>
        </w:tc>
        <w:tc>
          <w:tcPr>
            <w:tcW w:w="140" w:type="dxa"/>
            <w:vAlign w:val="bottom"/>
            <w:tcBorders>
              <w:right w:val="single" w:sz="8" w:color="EEEFEE"/>
            </w:tcBorders>
            <w:shd w:val="clear" w:color="auto" w:fill="EEEFEE"/>
          </w:tcPr>
          <w:p>
            <w:pPr>
              <w:spacing w:after="0"/>
              <w:rPr>
                <w:sz w:val="16"/>
                <w:szCs w:val="16"/>
                <w:color w:val="auto"/>
              </w:rPr>
            </w:pPr>
          </w:p>
        </w:tc>
        <w:tc>
          <w:tcPr>
            <w:tcW w:w="1280" w:type="dxa"/>
            <w:vAlign w:val="bottom"/>
            <w:tcBorders>
              <w:bottom w:val="single" w:sz="8" w:color="auto"/>
            </w:tcBorders>
            <w:shd w:val="clear" w:color="auto" w:fill="EEEFEE"/>
          </w:tcPr>
          <w:p>
            <w:pPr>
              <w:jc w:val="right"/>
              <w:ind w:right="15"/>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jc w:val="right"/>
              <w:ind w:right="14"/>
              <w:spacing w:after="0"/>
              <w:rPr>
                <w:sz w:val="20"/>
                <w:szCs w:val="20"/>
                <w:color w:val="auto"/>
              </w:rPr>
            </w:pPr>
            <w:r>
              <w:rPr>
                <w:rFonts w:ascii="Arial" w:cs="Arial" w:eastAsia="Arial" w:hAnsi="Arial"/>
                <w:sz w:val="13"/>
                <w:szCs w:val="13"/>
                <w:color w:val="auto"/>
              </w:rPr>
              <w:t>1,955</w:t>
            </w:r>
          </w:p>
        </w:tc>
        <w:tc>
          <w:tcPr>
            <w:tcW w:w="140" w:type="dxa"/>
            <w:vAlign w:val="bottom"/>
            <w:tcBorders>
              <w:right w:val="single" w:sz="8" w:color="EEEFEE"/>
            </w:tcBorders>
            <w:shd w:val="clear" w:color="auto" w:fill="EEEFEE"/>
          </w:tcPr>
          <w:p>
            <w:pPr>
              <w:spacing w:after="0"/>
              <w:rPr>
                <w:sz w:val="16"/>
                <w:szCs w:val="16"/>
                <w:color w:val="auto"/>
              </w:rPr>
            </w:pPr>
          </w:p>
        </w:tc>
        <w:tc>
          <w:tcPr>
            <w:tcW w:w="1080" w:type="dxa"/>
            <w:vAlign w:val="bottom"/>
            <w:tcBorders>
              <w:bottom w:val="single" w:sz="8" w:color="auto"/>
            </w:tcBorders>
            <w:shd w:val="clear" w:color="auto" w:fill="EEEFEE"/>
          </w:tcPr>
          <w:p>
            <w:pPr>
              <w:jc w:val="right"/>
              <w:ind w:right="35"/>
              <w:spacing w:after="0"/>
              <w:rPr>
                <w:sz w:val="20"/>
                <w:szCs w:val="20"/>
                <w:color w:val="auto"/>
              </w:rPr>
            </w:pPr>
            <w:r>
              <w:rPr>
                <w:rFonts w:ascii="Arial" w:cs="Arial" w:eastAsia="Arial" w:hAnsi="Arial"/>
                <w:sz w:val="13"/>
                <w:szCs w:val="13"/>
                <w:color w:val="auto"/>
              </w:rPr>
              <w:t>12,333</w:t>
            </w:r>
          </w:p>
        </w:tc>
        <w:tc>
          <w:tcPr>
            <w:tcW w:w="0" w:type="dxa"/>
            <w:vAlign w:val="bottom"/>
          </w:tcPr>
          <w:p>
            <w:pPr>
              <w:spacing w:after="0"/>
              <w:rPr>
                <w:sz w:val="1"/>
                <w:szCs w:val="1"/>
                <w:color w:val="auto"/>
              </w:rPr>
            </w:pPr>
          </w:p>
        </w:tc>
      </w:tr>
      <w:tr>
        <w:trPr>
          <w:trHeight w:val="192"/>
        </w:trPr>
        <w:tc>
          <w:tcPr>
            <w:tcW w:w="46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00254F"/>
              </w:rPr>
              <w:t>William J. Stromberg</w:t>
            </w:r>
          </w:p>
        </w:tc>
        <w:tc>
          <w:tcPr>
            <w:tcW w:w="120" w:type="dxa"/>
            <w:vAlign w:val="bottom"/>
            <w:tcBorders>
              <w:bottom w:val="single" w:sz="8" w:color="EEEFEE"/>
            </w:tcBorders>
          </w:tcPr>
          <w:p>
            <w:pPr>
              <w:spacing w:after="0"/>
              <w:rPr>
                <w:sz w:val="16"/>
                <w:szCs w:val="16"/>
                <w:color w:val="auto"/>
              </w:rPr>
            </w:pPr>
          </w:p>
        </w:tc>
        <w:tc>
          <w:tcPr>
            <w:tcW w:w="118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EEEFEE"/>
            </w:tcBorders>
          </w:tcPr>
          <w:p>
            <w:pPr>
              <w:spacing w:after="0"/>
              <w:rPr>
                <w:sz w:val="16"/>
                <w:szCs w:val="16"/>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62,172</w:t>
            </w:r>
          </w:p>
        </w:tc>
        <w:tc>
          <w:tcPr>
            <w:tcW w:w="140" w:type="dxa"/>
            <w:vAlign w:val="bottom"/>
            <w:tcBorders>
              <w:bottom w:val="single" w:sz="8" w:color="EEEFEE"/>
            </w:tcBorders>
          </w:tcPr>
          <w:p>
            <w:pPr>
              <w:spacing w:after="0"/>
              <w:rPr>
                <w:sz w:val="16"/>
                <w:szCs w:val="16"/>
                <w:color w:val="auto"/>
              </w:rPr>
            </w:pP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EEEFEE"/>
            </w:tcBorders>
          </w:tcPr>
          <w:p>
            <w:pPr>
              <w:spacing w:after="0"/>
              <w:rPr>
                <w:sz w:val="16"/>
                <w:szCs w:val="16"/>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62,172</w:t>
            </w:r>
          </w:p>
        </w:tc>
        <w:tc>
          <w:tcPr>
            <w:tcW w:w="140" w:type="dxa"/>
            <w:vAlign w:val="bottom"/>
            <w:tcBorders>
              <w:bottom w:val="single" w:sz="8" w:color="EEEFEE"/>
            </w:tcBorders>
          </w:tcPr>
          <w:p>
            <w:pPr>
              <w:spacing w:after="0"/>
              <w:rPr>
                <w:sz w:val="16"/>
                <w:szCs w:val="16"/>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2"/>
        </w:trPr>
        <w:tc>
          <w:tcPr>
            <w:tcW w:w="4660" w:type="dxa"/>
            <w:vAlign w:val="bottom"/>
            <w:tcBorders>
              <w:bottom w:val="single" w:sz="8" w:color="auto"/>
            </w:tcBorders>
            <w:shd w:val="clear" w:color="auto" w:fill="EEEFEE"/>
          </w:tcPr>
          <w:p>
            <w:pPr>
              <w:ind w:left="80"/>
              <w:spacing w:after="0"/>
              <w:rPr>
                <w:sz w:val="20"/>
                <w:szCs w:val="20"/>
                <w:color w:val="auto"/>
              </w:rPr>
            </w:pPr>
            <w:r>
              <w:rPr>
                <w:rFonts w:ascii="Arial" w:cs="Arial" w:eastAsia="Arial" w:hAnsi="Arial"/>
                <w:sz w:val="13"/>
                <w:szCs w:val="13"/>
                <w:b w:val="1"/>
                <w:bCs w:val="1"/>
                <w:color w:val="00254F"/>
              </w:rPr>
              <w:t>Sandra S. Wijnberg</w:t>
            </w:r>
          </w:p>
        </w:tc>
        <w:tc>
          <w:tcPr>
            <w:tcW w:w="120" w:type="dxa"/>
            <w:vAlign w:val="bottom"/>
            <w:tcBorders>
              <w:right w:val="single" w:sz="8" w:color="EEEFEE"/>
            </w:tcBorders>
            <w:shd w:val="clear" w:color="auto" w:fill="EEEFEE"/>
          </w:tcPr>
          <w:p>
            <w:pPr>
              <w:spacing w:after="0"/>
              <w:rPr>
                <w:sz w:val="16"/>
                <w:szCs w:val="16"/>
                <w:color w:val="auto"/>
              </w:rPr>
            </w:pPr>
          </w:p>
        </w:tc>
        <w:tc>
          <w:tcPr>
            <w:tcW w:w="1180" w:type="dxa"/>
            <w:vAlign w:val="bottom"/>
            <w:tcBorders>
              <w:bottom w:val="single" w:sz="8" w:color="auto"/>
            </w:tcBorders>
            <w:shd w:val="clear" w:color="auto" w:fill="EEEFEE"/>
          </w:tcPr>
          <w:p>
            <w:pPr>
              <w:jc w:val="right"/>
              <w:ind w:right="15"/>
              <w:spacing w:after="0"/>
              <w:rPr>
                <w:sz w:val="20"/>
                <w:szCs w:val="20"/>
                <w:color w:val="auto"/>
              </w:rPr>
            </w:pPr>
            <w:r>
              <w:rPr>
                <w:rFonts w:ascii="Arial" w:cs="Arial" w:eastAsia="Arial" w:hAnsi="Arial"/>
                <w:sz w:val="13"/>
                <w:szCs w:val="13"/>
                <w:color w:val="auto"/>
              </w:rPr>
              <w:t>1,890</w:t>
            </w:r>
          </w:p>
        </w:tc>
        <w:tc>
          <w:tcPr>
            <w:tcW w:w="140" w:type="dxa"/>
            <w:vAlign w:val="bottom"/>
            <w:tcBorders>
              <w:right w:val="single" w:sz="8" w:color="EEEFEE"/>
            </w:tcBorders>
            <w:shd w:val="clear" w:color="auto" w:fill="EEEFEE"/>
          </w:tcPr>
          <w:p>
            <w:pPr>
              <w:spacing w:after="0"/>
              <w:rPr>
                <w:sz w:val="16"/>
                <w:szCs w:val="16"/>
                <w:color w:val="auto"/>
              </w:rPr>
            </w:pPr>
          </w:p>
        </w:tc>
        <w:tc>
          <w:tcPr>
            <w:tcW w:w="1080" w:type="dxa"/>
            <w:vAlign w:val="bottom"/>
            <w:tcBorders>
              <w:bottom w:val="single" w:sz="8" w:color="auto"/>
            </w:tcBorders>
            <w:shd w:val="clear" w:color="auto" w:fill="EEEFEE"/>
          </w:tcPr>
          <w:p>
            <w:pPr>
              <w:jc w:val="right"/>
              <w:ind w:right="15"/>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EEEFEE"/>
            </w:tcBorders>
            <w:shd w:val="clear" w:color="auto" w:fill="EEEFEE"/>
          </w:tcPr>
          <w:p>
            <w:pPr>
              <w:spacing w:after="0"/>
              <w:rPr>
                <w:sz w:val="16"/>
                <w:szCs w:val="16"/>
                <w:color w:val="auto"/>
              </w:rPr>
            </w:pPr>
          </w:p>
        </w:tc>
        <w:tc>
          <w:tcPr>
            <w:tcW w:w="1280" w:type="dxa"/>
            <w:vAlign w:val="bottom"/>
            <w:tcBorders>
              <w:bottom w:val="single" w:sz="8" w:color="auto"/>
            </w:tcBorders>
            <w:shd w:val="clear" w:color="auto" w:fill="EEEFEE"/>
          </w:tcPr>
          <w:p>
            <w:pPr>
              <w:jc w:val="right"/>
              <w:ind w:right="15"/>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jc w:val="right"/>
              <w:ind w:right="14"/>
              <w:spacing w:after="0"/>
              <w:rPr>
                <w:sz w:val="20"/>
                <w:szCs w:val="20"/>
                <w:color w:val="auto"/>
              </w:rPr>
            </w:pPr>
            <w:r>
              <w:rPr>
                <w:rFonts w:ascii="Arial" w:cs="Arial" w:eastAsia="Arial" w:hAnsi="Arial"/>
                <w:sz w:val="13"/>
                <w:szCs w:val="13"/>
                <w:color w:val="auto"/>
              </w:rPr>
              <w:t>1,890</w:t>
            </w:r>
          </w:p>
        </w:tc>
        <w:tc>
          <w:tcPr>
            <w:tcW w:w="140" w:type="dxa"/>
            <w:vAlign w:val="bottom"/>
            <w:tcBorders>
              <w:right w:val="single" w:sz="8" w:color="EEEFEE"/>
            </w:tcBorders>
            <w:shd w:val="clear" w:color="auto" w:fill="EEEFEE"/>
          </w:tcPr>
          <w:p>
            <w:pPr>
              <w:spacing w:after="0"/>
              <w:rPr>
                <w:sz w:val="16"/>
                <w:szCs w:val="16"/>
                <w:color w:val="auto"/>
              </w:rPr>
            </w:pPr>
          </w:p>
        </w:tc>
        <w:tc>
          <w:tcPr>
            <w:tcW w:w="1080" w:type="dxa"/>
            <w:vAlign w:val="bottom"/>
            <w:tcBorders>
              <w:bottom w:val="single" w:sz="8" w:color="auto"/>
            </w:tcBorders>
            <w:shd w:val="clear" w:color="auto" w:fill="EEEFEE"/>
          </w:tcPr>
          <w:p>
            <w:pPr>
              <w:jc w:val="right"/>
              <w:ind w:right="35"/>
              <w:spacing w:after="0"/>
              <w:rPr>
                <w:sz w:val="20"/>
                <w:szCs w:val="20"/>
                <w:color w:val="auto"/>
              </w:rPr>
            </w:pPr>
            <w:r>
              <w:rPr>
                <w:rFonts w:ascii="Arial" w:cs="Arial" w:eastAsia="Arial" w:hAnsi="Arial"/>
                <w:sz w:val="13"/>
                <w:szCs w:val="13"/>
                <w:color w:val="auto"/>
              </w:rPr>
              <w:t>9,504</w:t>
            </w:r>
          </w:p>
        </w:tc>
        <w:tc>
          <w:tcPr>
            <w:tcW w:w="0" w:type="dxa"/>
            <w:vAlign w:val="bottom"/>
          </w:tcPr>
          <w:p>
            <w:pPr>
              <w:spacing w:after="0"/>
              <w:rPr>
                <w:sz w:val="1"/>
                <w:szCs w:val="1"/>
                <w:color w:val="auto"/>
              </w:rPr>
            </w:pPr>
          </w:p>
        </w:tc>
      </w:tr>
      <w:tr>
        <w:trPr>
          <w:trHeight w:val="192"/>
        </w:trPr>
        <w:tc>
          <w:tcPr>
            <w:tcW w:w="46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00254F"/>
              </w:rPr>
              <w:t>Alan D. Wilson</w:t>
            </w:r>
          </w:p>
        </w:tc>
        <w:tc>
          <w:tcPr>
            <w:tcW w:w="120" w:type="dxa"/>
            <w:vAlign w:val="bottom"/>
          </w:tcPr>
          <w:p>
            <w:pPr>
              <w:spacing w:after="0"/>
              <w:rPr>
                <w:sz w:val="16"/>
                <w:szCs w:val="16"/>
                <w:color w:val="auto"/>
              </w:rPr>
            </w:pPr>
          </w:p>
        </w:tc>
        <w:tc>
          <w:tcPr>
            <w:tcW w:w="118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1,955</w:t>
            </w:r>
          </w:p>
        </w:tc>
        <w:tc>
          <w:tcPr>
            <w:tcW w:w="140" w:type="dxa"/>
            <w:vAlign w:val="bottom"/>
          </w:tcPr>
          <w:p>
            <w:pPr>
              <w:spacing w:after="0"/>
              <w:rPr>
                <w:sz w:val="16"/>
                <w:szCs w:val="16"/>
                <w:color w:val="auto"/>
              </w:rPr>
            </w:pP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1,955</w:t>
            </w:r>
          </w:p>
        </w:tc>
        <w:tc>
          <w:tcPr>
            <w:tcW w:w="140" w:type="dxa"/>
            <w:vAlign w:val="bottom"/>
          </w:tcPr>
          <w:p>
            <w:pPr>
              <w:spacing w:after="0"/>
              <w:rPr>
                <w:sz w:val="16"/>
                <w:szCs w:val="16"/>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26,427</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00" w:hanging="300"/>
        <w:spacing w:after="0"/>
        <w:tabs>
          <w:tab w:leader="none" w:pos="300" w:val="left"/>
        </w:tabs>
        <w:numPr>
          <w:ilvl w:val="0"/>
          <w:numId w:val="52"/>
        </w:numPr>
        <w:rPr>
          <w:rFonts w:ascii="Arial" w:cs="Arial" w:eastAsia="Arial" w:hAnsi="Arial"/>
          <w:sz w:val="14"/>
          <w:szCs w:val="14"/>
          <w:color w:val="auto"/>
          <w:vertAlign w:val="superscript"/>
        </w:rPr>
      </w:pPr>
      <w:r>
        <w:rPr>
          <w:rFonts w:ascii="Arial" w:cs="Arial" w:eastAsia="Arial" w:hAnsi="Arial"/>
          <w:sz w:val="13"/>
          <w:szCs w:val="13"/>
          <w:color w:val="auto"/>
        </w:rPr>
        <w:t>The amounts represent personal gifts matched by our sponsored T. Rowe Price Foundation to qualified charitable organizations.</w:t>
      </w:r>
    </w:p>
    <w:p>
      <w:pPr>
        <w:spacing w:after="0" w:line="16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3"/>
          <w:szCs w:val="13"/>
          <w:b w:val="1"/>
          <w:bCs w:val="1"/>
          <w:color w:val="00244F"/>
        </w:rPr>
        <w:t>32</w:t>
      </w:r>
      <w:r>
        <w:rPr>
          <w:sz w:val="20"/>
          <w:szCs w:val="20"/>
          <w:color w:val="auto"/>
        </w:rPr>
        <w:tab/>
      </w:r>
      <w:r>
        <w:rPr>
          <w:rFonts w:ascii="Times New Roman" w:cs="Times New Roman" w:eastAsia="Times New Roman" w:hAnsi="Times New Roman"/>
          <w:sz w:val="13"/>
          <w:szCs w:val="13"/>
          <w:b w:val="1"/>
          <w:bCs w:val="1"/>
          <w:color w:val="00244F"/>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142480"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EE"/>
        </w:rPr>
        <w:t>Table of Contents</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55"/>
          <w:szCs w:val="55"/>
          <w:color w:val="00254F"/>
        </w:rPr>
        <w:t>Risk Management Oversight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0254F"/>
        </w:rPr>
        <w:t>Overall</w:t>
      </w:r>
    </w:p>
    <w:p>
      <w:pPr>
        <w:spacing w:after="0" w:line="200" w:lineRule="exact"/>
        <w:rPr>
          <w:sz w:val="20"/>
          <w:szCs w:val="20"/>
          <w:color w:val="auto"/>
        </w:rPr>
      </w:pPr>
    </w:p>
    <w:p>
      <w:pPr>
        <w:ind w:right="120"/>
        <w:spacing w:after="0" w:line="250" w:lineRule="auto"/>
        <w:rPr>
          <w:sz w:val="20"/>
          <w:szCs w:val="20"/>
          <w:color w:val="auto"/>
        </w:rPr>
      </w:pPr>
      <w:r>
        <w:rPr>
          <w:rFonts w:ascii="Arial" w:cs="Arial" w:eastAsia="Arial" w:hAnsi="Arial"/>
          <w:sz w:val="15"/>
          <w:szCs w:val="15"/>
          <w:color w:val="auto"/>
        </w:rPr>
        <w:t>The Board oversees our risk management framework but has delegated certain specific activities to the Audit Committee, the Nominating and Governance Committee and the Compensation Committee. At each regular Board meeting, the committees report to the Board on the matters discussed at the committees' meetings, including on the risk matters delegated to each such committee. In addition, from a day-to-day perspective, the Board has entrusted the Management Committee to ensure that risks across the Company are identified, managed, and reported to the Board or its committees. Lastly the Board also considers our risk management framework during executive sessions of Board meetings, without management present. During these executive sessions, the lead independent director presides and then reports to the chair and to management any suggestions or actions for the Company to take.</w:t>
      </w:r>
    </w:p>
    <w:p>
      <w:pPr>
        <w:spacing w:after="0" w:line="159" w:lineRule="exact"/>
        <w:rPr>
          <w:sz w:val="20"/>
          <w:szCs w:val="20"/>
          <w:color w:val="auto"/>
        </w:rPr>
      </w:pPr>
    </w:p>
    <w:p>
      <w:pPr>
        <w:ind w:right="80"/>
        <w:spacing w:after="0" w:line="248" w:lineRule="auto"/>
        <w:rPr>
          <w:sz w:val="20"/>
          <w:szCs w:val="20"/>
          <w:color w:val="auto"/>
        </w:rPr>
      </w:pPr>
      <w:r>
        <w:rPr>
          <w:rFonts w:ascii="Arial" w:cs="Arial" w:eastAsia="Arial" w:hAnsi="Arial"/>
          <w:sz w:val="15"/>
          <w:szCs w:val="15"/>
          <w:color w:val="auto"/>
        </w:rPr>
        <w:t>Generally, the Board and its committees manage the risks for the Company with a long-term perspective, but evaluate risks over a shorter or intermediate term to the extent these risks could impact the Company or its long-term prospects. From time to time, the Board and management engage with outside advisors, including outside legal counsel, consultants, financial analysts, and investment bankers, to ensure a fulsome understanding of the risks to the Company and to the industry at large and to consider options to position the Company to respond to these issues should they arise. In addition, the Company has a chief risk officer, who reports to the chief operating officer, and a chief compliance officer, who reports to the general counsel. By having separate Risk and Compliance departments that report into the Management Committee through separate individuals, management believes that key risks are identified and evaluated in a more complete and unbiased manner, with multiple escalation channels to ensure comprehensive analysis and disclosure. Our general counsel and our chief operating officer periodically present to the Board on existing and emerging risks, and the Board discusses the same with management, to provide oversight to the risk management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110490</wp:posOffset>
            </wp:positionV>
            <wp:extent cx="6713855" cy="18097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713855" cy="180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54F"/>
        </w:rPr>
        <w:t>Audit Committee</w:t>
      </w:r>
    </w:p>
    <w:p>
      <w:pPr>
        <w:spacing w:after="0" w:line="199" w:lineRule="exact"/>
        <w:rPr>
          <w:sz w:val="20"/>
          <w:szCs w:val="20"/>
          <w:color w:val="auto"/>
        </w:rPr>
      </w:pPr>
    </w:p>
    <w:p>
      <w:pPr>
        <w:spacing w:after="0" w:line="247" w:lineRule="auto"/>
        <w:rPr>
          <w:sz w:val="20"/>
          <w:szCs w:val="20"/>
          <w:color w:val="auto"/>
        </w:rPr>
      </w:pPr>
      <w:r>
        <w:rPr>
          <w:rFonts w:ascii="Arial" w:cs="Arial" w:eastAsia="Arial" w:hAnsi="Arial"/>
          <w:sz w:val="15"/>
          <w:szCs w:val="15"/>
          <w:color w:val="auto"/>
        </w:rPr>
        <w:t>The Audit Committee oversees and evaluates the Company's significant risks related to disclosures in the Corporation's financial statements, including: (i) information technology and cybersecurity risks; (ii) business continuity and disaster recovery risks; (iii) ESG risks; (iv) employee relations and DEI risks; and (v) legal and compliance risks. With respect to significant risks and exposures the Company faces, the Audit Committee receives information concerning the applicable risks and the steps taken to assess, monitor, and manage those risks. The Company's Enterprise Risk Management Committee, composed of senior members of management including our chief risk officer, oversees the Company's risk management strategy on behalf of the Management Committee. The Enterprise Risk Management Committee develops and maintains the Company's risk management policies and procedures and regularly monitors the significant risks inherent to our business, including investment risk, reputational risk, business continuity risk, information security risk, and operational risk. The chief risk officer, head of internal audit, and officers responsible for financial reporting, legal, and compliance periodically report on these matters to the Audit Committee. Based on these reports, the Audit Committee reports and makes recommendations as necessary to the full Board with respect to managing our overall risk.</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40" w:type="dxa"/>
            <w:vAlign w:val="bottom"/>
          </w:tcPr>
          <w:p>
            <w:pPr>
              <w:ind w:left="9620"/>
              <w:spacing w:after="0"/>
              <w:rPr>
                <w:sz w:val="20"/>
                <w:szCs w:val="20"/>
                <w:color w:val="auto"/>
              </w:rPr>
            </w:pPr>
            <w:r>
              <w:rPr>
                <w:rFonts w:ascii="Times New Roman" w:cs="Times New Roman" w:eastAsia="Times New Roman" w:hAnsi="Times New Roman"/>
                <w:sz w:val="13"/>
                <w:szCs w:val="13"/>
                <w:b w:val="1"/>
                <w:bCs w:val="1"/>
                <w:color w:val="auto"/>
              </w:rPr>
              <w:t xml:space="preserve">2024 </w:t>
            </w:r>
            <w:r>
              <w:rPr>
                <w:rFonts w:ascii="Times New Roman" w:cs="Times New Roman" w:eastAsia="Times New Roman" w:hAnsi="Times New Roman"/>
                <w:sz w:val="13"/>
                <w:szCs w:val="13"/>
                <w:color w:val="auto"/>
              </w:rPr>
              <w:t>Proxy Statement</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244F"/>
              </w:rPr>
              <w:t>33</w:t>
            </w:r>
          </w:p>
        </w:tc>
      </w:tr>
      <w:tr>
        <w:trPr>
          <w:trHeight w:val="185"/>
        </w:trPr>
        <w:tc>
          <w:tcPr>
            <w:tcW w:w="109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r>
    </w:tbl>
    <w:p>
      <w:pPr>
        <w:sectPr>
          <w:pgSz w:w="11900" w:h="16838" w:orient="portrait"/>
          <w:cols w:equalWidth="0" w:num="1">
            <w:col w:w="11240"/>
          </w:cols>
          <w:pgMar w:left="320" w:top="223"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EE"/>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44F"/>
        </w:rPr>
        <w:t>Compensation Committee</w:t>
      </w:r>
    </w:p>
    <w:p>
      <w:pPr>
        <w:spacing w:after="0" w:line="212" w:lineRule="exact"/>
        <w:rPr>
          <w:sz w:val="20"/>
          <w:szCs w:val="20"/>
          <w:color w:val="auto"/>
        </w:rPr>
      </w:pPr>
    </w:p>
    <w:p>
      <w:pPr>
        <w:ind w:right="60"/>
        <w:spacing w:after="0" w:line="248" w:lineRule="auto"/>
        <w:rPr>
          <w:sz w:val="20"/>
          <w:szCs w:val="20"/>
          <w:color w:val="auto"/>
        </w:rPr>
      </w:pPr>
      <w:r>
        <w:rPr>
          <w:rFonts w:ascii="Arial" w:cs="Arial" w:eastAsia="Arial" w:hAnsi="Arial"/>
          <w:sz w:val="15"/>
          <w:szCs w:val="15"/>
          <w:color w:val="auto"/>
        </w:rPr>
        <w:t>The Compensation Committee is responsible for overseeing the Company's compensation policies, plans, and practices and ensuring that they are reasonably designed in coordination with the Company's risk oversight policies, to not create incentives for unnecessary or excessive risk taking. The Compensation Committee is further responsible for managing risks related to succession planning for management through its oversight of succession plans and development actions for key strategic leadership roles. The Compensation Committee has delegated responsibility for the functioning of the Company's compensation programs to the Company's Management Compensation and Development Committee, composed of senior members of management including our CEO and President, CFO and Treasurer, and Head of Global Investments and CIO. The Management Compensation and Development Committee designs, develops, and maintains the Company's compensation programs and regularly reviews whether these programs incentivize or encourage unnecessary risk taking and then reports the same to the Compensation Committee. Based on these reports, the Compensation Committee reports and makes recommendations as necessary to the full Board with respect to managing our overall risk.</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44F"/>
        </w:rPr>
        <w:t>Nominating and Corporate Governance Committee</w:t>
      </w:r>
    </w:p>
    <w:p>
      <w:pPr>
        <w:spacing w:after="0" w:line="212" w:lineRule="exact"/>
        <w:rPr>
          <w:sz w:val="20"/>
          <w:szCs w:val="20"/>
          <w:color w:val="auto"/>
        </w:rPr>
      </w:pPr>
    </w:p>
    <w:p>
      <w:pPr>
        <w:ind w:right="20"/>
        <w:spacing w:after="0" w:line="252" w:lineRule="auto"/>
        <w:rPr>
          <w:sz w:val="20"/>
          <w:szCs w:val="20"/>
          <w:color w:val="auto"/>
        </w:rPr>
      </w:pPr>
      <w:r>
        <w:rPr>
          <w:rFonts w:ascii="Arial" w:cs="Arial" w:eastAsia="Arial" w:hAnsi="Arial"/>
          <w:sz w:val="15"/>
          <w:szCs w:val="15"/>
          <w:color w:val="auto"/>
        </w:rPr>
        <w:t>The Nominating and Corporate Governance Committee is responsible for overseeing the Company's risks related to all ESG issues and recommending specific actions to the Board related thereto. The Nominating and Corporate Governance Committee also oversees risks related to Board succession and other corporate governance policies and practices. In addition, the Nominating and Corporate Governance Committee oversees the Company's policies concerning political expenditures and political activities and considers any risk to the Company resulting therefrom. The Nominating and Corporate Governance Committee reports and makes recommendations as necessary to the full Board with respect to managing our overall risk.</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44F"/>
        </w:rPr>
        <w:t>Management Committee</w:t>
      </w:r>
    </w:p>
    <w:p>
      <w:pPr>
        <w:spacing w:after="0" w:line="212" w:lineRule="exact"/>
        <w:rPr>
          <w:sz w:val="20"/>
          <w:szCs w:val="20"/>
          <w:color w:val="auto"/>
        </w:rPr>
      </w:pPr>
    </w:p>
    <w:p>
      <w:pPr>
        <w:ind w:right="300"/>
        <w:spacing w:after="0" w:line="255" w:lineRule="auto"/>
        <w:rPr>
          <w:sz w:val="20"/>
          <w:szCs w:val="20"/>
          <w:color w:val="auto"/>
        </w:rPr>
      </w:pPr>
      <w:r>
        <w:rPr>
          <w:rFonts w:ascii="Arial" w:cs="Arial" w:eastAsia="Arial" w:hAnsi="Arial"/>
          <w:sz w:val="15"/>
          <w:szCs w:val="15"/>
          <w:color w:val="auto"/>
        </w:rPr>
        <w:t>The Management Committee is led by the CEO and President and comprises the Company's senior leadership team. The Management Committee oversees the execution of the Company's strategy and monitors and addresses the Company's risks, including risks related to major change initiatives, financial management, and changing regulatory requirements. The Management Committee also guides, reviews, and approves business activities of the Company, while maintaining the Company's risk tolerance, as set by the Board.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55"/>
          <w:szCs w:val="55"/>
          <w:color w:val="00244F"/>
        </w:rPr>
        <w:t>Cybersecurity Oversight</w:t>
      </w:r>
    </w:p>
    <w:p>
      <w:pPr>
        <w:spacing w:after="0" w:line="245"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Technology is a key component of our business operations, and cybersecurity is a significant consideration for the firm. T. Rowe Price has a holistic firm-wide approach to risk management including material risks from cybersecurity threats. The firm's overall risk management activities are designed to identify, assess, report, and manage risks that could affect the firm in achieving its objectives and goals. This risk management framework operates across our business lines and integrates business operational resiliency and technology related risks such as cybersecurity threats. Although management is responsible for the firm's day to day cybersecurity operations, the Board oversees the firm's cybersecurity program. The Board does not delegate this responsibility to a committee, nor does the Board identify a cybersecurity expert to consider the firm's activities and make recommendations or provide advice to the Board. Instead, many of our directors have significant technology experience gained through their prior work experience and through their positions on other boards of directors, all of which provides the Board with insight and practical guidance in overseeing the firm's technology and operations as well as our continuing investment in and development of our cybersecurity program.</w:t>
      </w:r>
    </w:p>
    <w:p>
      <w:pPr>
        <w:spacing w:after="0" w:line="174" w:lineRule="exact"/>
        <w:rPr>
          <w:sz w:val="20"/>
          <w:szCs w:val="20"/>
          <w:color w:val="auto"/>
        </w:rPr>
      </w:pPr>
    </w:p>
    <w:p>
      <w:pPr>
        <w:ind w:right="20"/>
        <w:spacing w:after="0" w:line="250" w:lineRule="auto"/>
        <w:rPr>
          <w:sz w:val="20"/>
          <w:szCs w:val="20"/>
          <w:color w:val="auto"/>
        </w:rPr>
      </w:pPr>
      <w:r>
        <w:rPr>
          <w:rFonts w:ascii="Arial" w:cs="Arial" w:eastAsia="Arial" w:hAnsi="Arial"/>
          <w:sz w:val="15"/>
          <w:szCs w:val="15"/>
          <w:color w:val="auto"/>
        </w:rPr>
        <w:t>At least annually the Board receives a technology and cybersecurity update led by the senior management from the Company's technology and information security teams. The Board receives information concerning the Company's preparation for a cyber incident, in order to understand how the Company would respond to a specific cybersecurity threat, along with the impact to the firm's operations. As part of this process, the Board engages in various activities to stay abreast of the cyber landscape, including briefings led by third party and management experts and discussions related to publicized cyber events in our industry and other industries. Our global information security team, in collaboration with our risk and internal audit teams and independent third parties, assesses cyber risks and adjusts our program as needed and reports the results of the same to the Board.</w:t>
      </w:r>
    </w:p>
    <w:p>
      <w:pPr>
        <w:spacing w:after="0" w:line="16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3"/>
          <w:szCs w:val="13"/>
          <w:b w:val="1"/>
          <w:bCs w:val="1"/>
          <w:color w:val="00244F"/>
        </w:rPr>
        <w:t>34</w:t>
      </w:r>
      <w:r>
        <w:rPr>
          <w:sz w:val="20"/>
          <w:szCs w:val="20"/>
          <w:color w:val="auto"/>
        </w:rPr>
        <w:tab/>
      </w:r>
      <w:r>
        <w:rPr>
          <w:rFonts w:ascii="Times New Roman" w:cs="Times New Roman" w:eastAsia="Times New Roman" w:hAnsi="Times New Roman"/>
          <w:sz w:val="13"/>
          <w:szCs w:val="13"/>
          <w:b w:val="1"/>
          <w:bCs w:val="1"/>
          <w:color w:val="00244F"/>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42480"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20"/>
          </w:cols>
          <w:pgMar w:left="320" w:top="310" w:right="35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EE"/>
        </w:rPr>
        <w:t>Table of Contents</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55"/>
          <w:szCs w:val="55"/>
          <w:color w:val="00244F"/>
        </w:rPr>
        <w:t>ESG Oversight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44F"/>
        </w:rPr>
        <w:t>Overall</w:t>
      </w:r>
    </w:p>
    <w:p>
      <w:pPr>
        <w:spacing w:after="0" w:line="212" w:lineRule="exact"/>
        <w:rPr>
          <w:sz w:val="20"/>
          <w:szCs w:val="20"/>
          <w:color w:val="auto"/>
        </w:rPr>
      </w:pPr>
    </w:p>
    <w:p>
      <w:pPr>
        <w:ind w:right="360"/>
        <w:spacing w:after="0" w:line="252" w:lineRule="auto"/>
        <w:rPr>
          <w:sz w:val="20"/>
          <w:szCs w:val="20"/>
          <w:color w:val="auto"/>
        </w:rPr>
      </w:pPr>
      <w:r>
        <w:rPr>
          <w:rFonts w:ascii="Arial" w:cs="Arial" w:eastAsia="Arial" w:hAnsi="Arial"/>
          <w:sz w:val="15"/>
          <w:szCs w:val="15"/>
          <w:color w:val="auto"/>
        </w:rPr>
        <w:t>Since the Company is an investment management firm and a publicly traded company, the Board considers ESG both through the lens of the corporate entity and through its investing practices. ESG-related matters are a key component of the Company's business and its long-term strategy, and the Board engages with management to understand the proposed action plan relating to ESG practices and reviews management's performance in meeting the ESG goals set by the Board. Sustainability is a critical component of the firm's overall business strategy and among one of several senior management responsibilities over which the Board has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115570</wp:posOffset>
            </wp:positionV>
            <wp:extent cx="6745605" cy="15875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745605" cy="158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44F"/>
        </w:rPr>
        <w:t>Nominating and Corporate Governance Committee</w:t>
      </w:r>
    </w:p>
    <w:p>
      <w:pPr>
        <w:spacing w:after="0" w:line="212" w:lineRule="exact"/>
        <w:rPr>
          <w:sz w:val="20"/>
          <w:szCs w:val="20"/>
          <w:color w:val="auto"/>
        </w:rPr>
      </w:pPr>
    </w:p>
    <w:p>
      <w:pPr>
        <w:ind w:right="140"/>
        <w:spacing w:after="0" w:line="261" w:lineRule="auto"/>
        <w:rPr>
          <w:sz w:val="20"/>
          <w:szCs w:val="20"/>
          <w:color w:val="auto"/>
        </w:rPr>
      </w:pPr>
      <w:r>
        <w:rPr>
          <w:rFonts w:ascii="Arial" w:cs="Arial" w:eastAsia="Arial" w:hAnsi="Arial"/>
          <w:sz w:val="15"/>
          <w:szCs w:val="15"/>
          <w:color w:val="auto"/>
        </w:rPr>
        <w:t>The Nominating and Corporate Governance Committee has been delegated primary responsibility for overseeing the Company's ESG efforts. The Nominating and Corporate Governance Committee receives regular updates concerning the Company's ESG practices for investing, along with the Company's progress toward its ESG goals.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44F"/>
        </w:rPr>
        <w:t>Audit Committee</w:t>
      </w:r>
    </w:p>
    <w:p>
      <w:pPr>
        <w:spacing w:after="0" w:line="212" w:lineRule="exact"/>
        <w:rPr>
          <w:sz w:val="20"/>
          <w:szCs w:val="20"/>
          <w:color w:val="auto"/>
        </w:rPr>
      </w:pPr>
    </w:p>
    <w:p>
      <w:pPr>
        <w:ind w:right="100"/>
        <w:spacing w:after="0" w:line="261" w:lineRule="auto"/>
        <w:rPr>
          <w:sz w:val="20"/>
          <w:szCs w:val="20"/>
          <w:color w:val="auto"/>
        </w:rPr>
      </w:pPr>
      <w:r>
        <w:rPr>
          <w:rFonts w:ascii="Arial" w:cs="Arial" w:eastAsia="Arial" w:hAnsi="Arial"/>
          <w:sz w:val="15"/>
          <w:szCs w:val="15"/>
          <w:color w:val="auto"/>
        </w:rPr>
        <w:t>The Audit Committee considers ESG matters as they impact any disclosures in the Company's financial statements, including the ESG risks and employee relations and DEI risks. In addition, the Audit Committee receives updates from the Company's chief risk officer concerning the same, and regularly discusses ESG legal and regulatory developments with the Company's general counsel.</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44F"/>
        </w:rPr>
        <w:t>Compensation Committee</w:t>
      </w:r>
    </w:p>
    <w:p>
      <w:pPr>
        <w:spacing w:after="0" w:line="212" w:lineRule="exact"/>
        <w:rPr>
          <w:sz w:val="20"/>
          <w:szCs w:val="20"/>
          <w:color w:val="auto"/>
        </w:rPr>
      </w:pPr>
    </w:p>
    <w:p>
      <w:pPr>
        <w:ind w:right="480"/>
        <w:spacing w:after="0" w:line="278" w:lineRule="auto"/>
        <w:rPr>
          <w:sz w:val="20"/>
          <w:szCs w:val="20"/>
          <w:color w:val="auto"/>
        </w:rPr>
      </w:pPr>
      <w:r>
        <w:rPr>
          <w:rFonts w:ascii="Arial" w:cs="Arial" w:eastAsia="Arial" w:hAnsi="Arial"/>
          <w:sz w:val="15"/>
          <w:szCs w:val="15"/>
          <w:color w:val="auto"/>
        </w:rPr>
        <w:t>The Compensation Committee is responsible for considering the Company's DEI efforts and how ESG matters may impact the compensation of management. The Compensation Committee considers the Company's ESG efforts when reviewing and approving general salary and compensation policies for management.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60" w:type="dxa"/>
            <w:vAlign w:val="bottom"/>
          </w:tcPr>
          <w:p>
            <w:pPr>
              <w:ind w:left="9620"/>
              <w:spacing w:after="0"/>
              <w:rPr>
                <w:sz w:val="20"/>
                <w:szCs w:val="20"/>
                <w:color w:val="auto"/>
              </w:rPr>
            </w:pPr>
            <w:r>
              <w:rPr>
                <w:rFonts w:ascii="Times New Roman" w:cs="Times New Roman" w:eastAsia="Times New Roman" w:hAnsi="Times New Roman"/>
                <w:sz w:val="13"/>
                <w:szCs w:val="13"/>
                <w:b w:val="1"/>
                <w:bCs w:val="1"/>
                <w:color w:val="auto"/>
              </w:rPr>
              <w:t xml:space="preserve">2024 </w:t>
            </w:r>
            <w:r>
              <w:rPr>
                <w:rFonts w:ascii="Times New Roman" w:cs="Times New Roman" w:eastAsia="Times New Roman" w:hAnsi="Times New Roman"/>
                <w:sz w:val="13"/>
                <w:szCs w:val="13"/>
                <w:color w:val="auto"/>
              </w:rPr>
              <w:t>Proxy Statement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244F"/>
              </w:rPr>
              <w:t>35</w:t>
            </w:r>
          </w:p>
        </w:tc>
      </w:tr>
      <w:tr>
        <w:trPr>
          <w:trHeight w:val="385"/>
        </w:trPr>
        <w:tc>
          <w:tcPr>
            <w:tcW w:w="10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3"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EE"/>
        </w:rPr>
        <w:t>Table of Contents</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55"/>
          <w:szCs w:val="55"/>
          <w:color w:val="00244F"/>
        </w:rPr>
        <w:t>Corporate Sustainability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44F"/>
        </w:rPr>
        <w:t>2023 Sustainability Highlights</w:t>
      </w:r>
    </w:p>
    <w:p>
      <w:pPr>
        <w:spacing w:after="0" w:line="212" w:lineRule="exact"/>
        <w:rPr>
          <w:sz w:val="20"/>
          <w:szCs w:val="20"/>
          <w:color w:val="auto"/>
        </w:rPr>
      </w:pPr>
    </w:p>
    <w:p>
      <w:pPr>
        <w:ind w:right="60"/>
        <w:spacing w:after="0" w:line="255" w:lineRule="auto"/>
        <w:rPr>
          <w:sz w:val="20"/>
          <w:szCs w:val="20"/>
          <w:color w:val="auto"/>
        </w:rPr>
      </w:pPr>
      <w:r>
        <w:rPr>
          <w:rFonts w:ascii="Arial" w:cs="Arial" w:eastAsia="Arial" w:hAnsi="Arial"/>
          <w:sz w:val="15"/>
          <w:szCs w:val="15"/>
          <w:color w:val="auto"/>
        </w:rPr>
        <w:t>During 2023, the firm created the ESG Oversight Committee (ESGOC). Chaired by the firm's head of ESG Enablement, the ESGOC, a new central and global oversight body, supports governance around our ESG activities and reports into the Investment Management Steering Committee, with regular updates to the Enterprise Risk Management Committee. Eric Veiel, our Head of Global Investments and CIO and member of the Management Committee, serves on the ESGOC and is responsible for overseeing the Company's ESG initiatives.</w:t>
      </w:r>
    </w:p>
    <w:p>
      <w:pPr>
        <w:spacing w:after="0" w:line="167" w:lineRule="exact"/>
        <w:rPr>
          <w:sz w:val="20"/>
          <w:szCs w:val="20"/>
          <w:color w:val="auto"/>
        </w:rPr>
      </w:pPr>
    </w:p>
    <w:p>
      <w:pPr>
        <w:ind w:right="40"/>
        <w:spacing w:after="0" w:line="255" w:lineRule="auto"/>
        <w:rPr>
          <w:sz w:val="20"/>
          <w:szCs w:val="20"/>
          <w:color w:val="auto"/>
        </w:rPr>
      </w:pPr>
      <w:r>
        <w:rPr>
          <w:rFonts w:ascii="Arial" w:cs="Arial" w:eastAsia="Arial" w:hAnsi="Arial"/>
          <w:sz w:val="15"/>
          <w:szCs w:val="15"/>
          <w:color w:val="auto"/>
        </w:rPr>
        <w:t>We are a member of the International Financial Reporting Standards' Sustainability Alliance, which oversees the Sustainability Accounting Standards Board and we continue to incorporate the Task Force on Climate-Related Financial Disclosures recommendations in our reporting. We are also signatories to the United Nations Global Compact. In our publicly available annual ESG Corporate Report, we publish various metrics and targets that we use to assess and manage relevant climate-related and sustainability risks and opportunities.</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In addition, we have received the following recognition:</w:t>
      </w:r>
    </w:p>
    <w:p>
      <w:pPr>
        <w:spacing w:after="0" w:line="202" w:lineRule="exact"/>
        <w:rPr>
          <w:sz w:val="20"/>
          <w:szCs w:val="20"/>
          <w:color w:val="auto"/>
        </w:rPr>
      </w:pPr>
    </w:p>
    <w:p>
      <w:pPr>
        <w:ind w:left="840" w:hanging="540"/>
        <w:spacing w:after="0"/>
        <w:tabs>
          <w:tab w:leader="none" w:pos="840" w:val="left"/>
        </w:tabs>
        <w:numPr>
          <w:ilvl w:val="0"/>
          <w:numId w:val="53"/>
        </w:numPr>
        <w:rPr>
          <w:rFonts w:ascii="Arial" w:cs="Arial" w:eastAsia="Arial" w:hAnsi="Arial"/>
          <w:sz w:val="17"/>
          <w:szCs w:val="17"/>
          <w:color w:val="28C0DA"/>
        </w:rPr>
      </w:pPr>
      <w:r>
        <w:rPr>
          <w:rFonts w:ascii="Arial" w:cs="Arial" w:eastAsia="Arial" w:hAnsi="Arial"/>
          <w:sz w:val="15"/>
          <w:szCs w:val="15"/>
          <w:color w:val="auto"/>
        </w:rPr>
        <w:t>Ranked 31st in Barron's 2023 "100 Most Sustainable Companies" list, earning the second highest score among financial services companies.</w:t>
      </w:r>
    </w:p>
    <w:p>
      <w:pPr>
        <w:spacing w:after="0" w:line="104" w:lineRule="exact"/>
        <w:rPr>
          <w:rFonts w:ascii="Arial" w:cs="Arial" w:eastAsia="Arial" w:hAnsi="Arial"/>
          <w:sz w:val="17"/>
          <w:szCs w:val="17"/>
          <w:color w:val="28C0DA"/>
        </w:rPr>
      </w:pPr>
    </w:p>
    <w:p>
      <w:pPr>
        <w:ind w:left="840" w:hanging="540"/>
        <w:spacing w:after="0"/>
        <w:tabs>
          <w:tab w:leader="none" w:pos="840" w:val="left"/>
        </w:tabs>
        <w:numPr>
          <w:ilvl w:val="0"/>
          <w:numId w:val="53"/>
        </w:numPr>
        <w:rPr>
          <w:rFonts w:ascii="Arial" w:cs="Arial" w:eastAsia="Arial" w:hAnsi="Arial"/>
          <w:sz w:val="17"/>
          <w:szCs w:val="17"/>
          <w:color w:val="28C0DA"/>
        </w:rPr>
      </w:pPr>
      <w:r>
        <w:rPr>
          <w:rFonts w:ascii="Arial" w:cs="Arial" w:eastAsia="Arial" w:hAnsi="Arial"/>
          <w:sz w:val="15"/>
          <w:szCs w:val="15"/>
          <w:color w:val="auto"/>
        </w:rPr>
        <w:t>Named to Newsweek America's Most Responsible Companies in 2023.</w:t>
      </w:r>
    </w:p>
    <w:p>
      <w:pPr>
        <w:spacing w:after="0" w:line="104" w:lineRule="exact"/>
        <w:rPr>
          <w:rFonts w:ascii="Arial" w:cs="Arial" w:eastAsia="Arial" w:hAnsi="Arial"/>
          <w:sz w:val="17"/>
          <w:szCs w:val="17"/>
          <w:color w:val="28C0DA"/>
        </w:rPr>
      </w:pPr>
    </w:p>
    <w:p>
      <w:pPr>
        <w:ind w:left="840" w:hanging="540"/>
        <w:spacing w:after="0"/>
        <w:tabs>
          <w:tab w:leader="none" w:pos="840" w:val="left"/>
        </w:tabs>
        <w:numPr>
          <w:ilvl w:val="0"/>
          <w:numId w:val="53"/>
        </w:numPr>
        <w:rPr>
          <w:rFonts w:ascii="Arial" w:cs="Arial" w:eastAsia="Arial" w:hAnsi="Arial"/>
          <w:sz w:val="17"/>
          <w:szCs w:val="17"/>
          <w:color w:val="28C0DA"/>
        </w:rPr>
      </w:pPr>
      <w:r>
        <w:rPr>
          <w:rFonts w:ascii="Arial" w:cs="Arial" w:eastAsia="Arial" w:hAnsi="Arial"/>
          <w:sz w:val="15"/>
          <w:szCs w:val="15"/>
          <w:color w:val="auto"/>
        </w:rPr>
        <w:t>Recognized by USA Today as one of America's Climate Leaders 2023.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44F"/>
        </w:rPr>
        <w:t>Our Path Forward</w:t>
      </w:r>
    </w:p>
    <w:p>
      <w:pPr>
        <w:spacing w:after="0" w:line="212" w:lineRule="exact"/>
        <w:rPr>
          <w:sz w:val="20"/>
          <w:szCs w:val="20"/>
          <w:color w:val="auto"/>
        </w:rPr>
      </w:pPr>
    </w:p>
    <w:p>
      <w:pPr>
        <w:ind w:left="840" w:right="180" w:hanging="540"/>
        <w:spacing w:after="0" w:line="219" w:lineRule="auto"/>
        <w:tabs>
          <w:tab w:leader="none" w:pos="840" w:val="left"/>
        </w:tabs>
        <w:numPr>
          <w:ilvl w:val="0"/>
          <w:numId w:val="54"/>
        </w:numPr>
        <w:rPr>
          <w:rFonts w:ascii="Arial" w:cs="Arial" w:eastAsia="Arial" w:hAnsi="Arial"/>
          <w:sz w:val="17"/>
          <w:szCs w:val="17"/>
          <w:color w:val="28C0DA"/>
        </w:rPr>
      </w:pPr>
      <w:r>
        <w:rPr>
          <w:rFonts w:ascii="Arial" w:cs="Arial" w:eastAsia="Arial" w:hAnsi="Arial"/>
          <w:sz w:val="15"/>
          <w:szCs w:val="15"/>
          <w:color w:val="auto"/>
        </w:rPr>
        <w:t>We have set a target to achieve net zero scope 1 and 2 emissions</w:t>
      </w:r>
      <w:r>
        <w:rPr>
          <w:rFonts w:ascii="Arial" w:cs="Arial" w:eastAsia="Arial" w:hAnsi="Arial"/>
          <w:sz w:val="24"/>
          <w:szCs w:val="24"/>
          <w:color w:val="auto"/>
          <w:vertAlign w:val="superscript"/>
        </w:rPr>
        <w:t>(1)</w:t>
      </w:r>
      <w:r>
        <w:rPr>
          <w:rFonts w:ascii="Arial" w:cs="Arial" w:eastAsia="Arial" w:hAnsi="Arial"/>
          <w:sz w:val="15"/>
          <w:szCs w:val="15"/>
          <w:color w:val="auto"/>
        </w:rPr>
        <w:t xml:space="preserve"> by 2040, with an interim target of reducing emissions by 75% by 2030 compared with our 2021 baseline.</w:t>
      </w:r>
    </w:p>
    <w:p>
      <w:pPr>
        <w:spacing w:after="0" w:line="91" w:lineRule="exact"/>
        <w:rPr>
          <w:rFonts w:ascii="Arial" w:cs="Arial" w:eastAsia="Arial" w:hAnsi="Arial"/>
          <w:sz w:val="17"/>
          <w:szCs w:val="17"/>
          <w:color w:val="28C0DA"/>
        </w:rPr>
      </w:pPr>
    </w:p>
    <w:p>
      <w:pPr>
        <w:ind w:left="840" w:hanging="540"/>
        <w:spacing w:after="0" w:line="246" w:lineRule="auto"/>
        <w:tabs>
          <w:tab w:leader="none" w:pos="840" w:val="left"/>
        </w:tabs>
        <w:numPr>
          <w:ilvl w:val="0"/>
          <w:numId w:val="54"/>
        </w:numPr>
        <w:rPr>
          <w:rFonts w:ascii="Arial" w:cs="Arial" w:eastAsia="Arial" w:hAnsi="Arial"/>
          <w:sz w:val="17"/>
          <w:szCs w:val="17"/>
          <w:color w:val="28C0DA"/>
        </w:rPr>
      </w:pPr>
      <w:r>
        <w:rPr>
          <w:rFonts w:ascii="Arial" w:cs="Arial" w:eastAsia="Arial" w:hAnsi="Arial"/>
          <w:sz w:val="15"/>
          <w:szCs w:val="15"/>
          <w:color w:val="auto"/>
        </w:rPr>
        <w:t>We will continue to address our emissions from business travel by partnering with Climate Vault, an award-winning nonprofit that has been designated by the Carbon Disclosure Project as a Carbon Reduction and Science Based Target initiative accredited service provider.</w:t>
      </w:r>
    </w:p>
    <w:p>
      <w:pPr>
        <w:spacing w:after="0" w:line="85" w:lineRule="exact"/>
        <w:rPr>
          <w:rFonts w:ascii="Arial" w:cs="Arial" w:eastAsia="Arial" w:hAnsi="Arial"/>
          <w:sz w:val="17"/>
          <w:szCs w:val="17"/>
          <w:color w:val="28C0DA"/>
        </w:rPr>
      </w:pPr>
    </w:p>
    <w:p>
      <w:pPr>
        <w:ind w:left="840" w:hanging="540"/>
        <w:spacing w:after="0"/>
        <w:tabs>
          <w:tab w:leader="none" w:pos="840" w:val="left"/>
        </w:tabs>
        <w:numPr>
          <w:ilvl w:val="0"/>
          <w:numId w:val="54"/>
        </w:numPr>
        <w:rPr>
          <w:rFonts w:ascii="Arial" w:cs="Arial" w:eastAsia="Arial" w:hAnsi="Arial"/>
          <w:sz w:val="17"/>
          <w:szCs w:val="17"/>
          <w:color w:val="28C0DA"/>
        </w:rPr>
      </w:pPr>
      <w:r>
        <w:rPr>
          <w:rFonts w:ascii="Arial" w:cs="Arial" w:eastAsia="Arial" w:hAnsi="Arial"/>
          <w:sz w:val="15"/>
          <w:szCs w:val="15"/>
          <w:color w:val="auto"/>
        </w:rPr>
        <w:t>We are working to have 60% of global real estate environmentally certified by 2025.</w:t>
      </w:r>
    </w:p>
    <w:p>
      <w:pPr>
        <w:spacing w:after="0" w:line="104" w:lineRule="exact"/>
        <w:rPr>
          <w:rFonts w:ascii="Arial" w:cs="Arial" w:eastAsia="Arial" w:hAnsi="Arial"/>
          <w:sz w:val="17"/>
          <w:szCs w:val="17"/>
          <w:color w:val="28C0DA"/>
        </w:rPr>
      </w:pPr>
    </w:p>
    <w:p>
      <w:pPr>
        <w:ind w:left="840" w:right="320" w:hanging="540"/>
        <w:spacing w:after="0" w:line="246" w:lineRule="auto"/>
        <w:tabs>
          <w:tab w:leader="none" w:pos="840" w:val="left"/>
        </w:tabs>
        <w:numPr>
          <w:ilvl w:val="0"/>
          <w:numId w:val="54"/>
        </w:numPr>
        <w:rPr>
          <w:rFonts w:ascii="Arial" w:cs="Arial" w:eastAsia="Arial" w:hAnsi="Arial"/>
          <w:sz w:val="17"/>
          <w:szCs w:val="17"/>
          <w:color w:val="28C0DA"/>
        </w:rPr>
      </w:pPr>
      <w:r>
        <w:rPr>
          <w:rFonts w:ascii="Arial" w:cs="Arial" w:eastAsia="Arial" w:hAnsi="Arial"/>
          <w:sz w:val="15"/>
          <w:szCs w:val="15"/>
          <w:color w:val="auto"/>
        </w:rPr>
        <w:t>We plan to increase the diversity of our global workforce from 44% women in 2023 to 46% women in 2025 while also increasing representation in senior roles to 33% in 2025.</w:t>
      </w:r>
    </w:p>
    <w:p>
      <w:pPr>
        <w:spacing w:after="0" w:line="85" w:lineRule="exact"/>
        <w:rPr>
          <w:rFonts w:ascii="Arial" w:cs="Arial" w:eastAsia="Arial" w:hAnsi="Arial"/>
          <w:sz w:val="17"/>
          <w:szCs w:val="17"/>
          <w:color w:val="28C0DA"/>
        </w:rPr>
      </w:pPr>
    </w:p>
    <w:p>
      <w:pPr>
        <w:ind w:left="840" w:right="640" w:hanging="540"/>
        <w:spacing w:after="0" w:line="246" w:lineRule="auto"/>
        <w:tabs>
          <w:tab w:leader="none" w:pos="840" w:val="left"/>
        </w:tabs>
        <w:numPr>
          <w:ilvl w:val="0"/>
          <w:numId w:val="54"/>
        </w:numPr>
        <w:rPr>
          <w:rFonts w:ascii="Arial" w:cs="Arial" w:eastAsia="Arial" w:hAnsi="Arial"/>
          <w:sz w:val="17"/>
          <w:szCs w:val="17"/>
          <w:color w:val="28C0DA"/>
        </w:rPr>
      </w:pPr>
      <w:r>
        <w:rPr>
          <w:rFonts w:ascii="Arial" w:cs="Arial" w:eastAsia="Arial" w:hAnsi="Arial"/>
          <w:sz w:val="15"/>
          <w:szCs w:val="15"/>
          <w:color w:val="auto"/>
        </w:rPr>
        <w:t>Within our U.S. workforce, we aim to increase representation of Black/Hispanic/Native American talent from 18% in 2023 to 19% in 2025 while also increasing representation in senior roles from 8% in 2023 to 10% in 2025.</w:t>
      </w:r>
    </w:p>
    <w:p>
      <w:pPr>
        <w:spacing w:after="0" w:line="85" w:lineRule="exact"/>
        <w:rPr>
          <w:rFonts w:ascii="Arial" w:cs="Arial" w:eastAsia="Arial" w:hAnsi="Arial"/>
          <w:sz w:val="17"/>
          <w:szCs w:val="17"/>
          <w:color w:val="28C0DA"/>
        </w:rPr>
      </w:pPr>
    </w:p>
    <w:p>
      <w:pPr>
        <w:ind w:left="840" w:right="260" w:hanging="540"/>
        <w:spacing w:after="0" w:line="246" w:lineRule="auto"/>
        <w:tabs>
          <w:tab w:leader="none" w:pos="840" w:val="left"/>
        </w:tabs>
        <w:numPr>
          <w:ilvl w:val="0"/>
          <w:numId w:val="54"/>
        </w:numPr>
        <w:rPr>
          <w:rFonts w:ascii="Arial" w:cs="Arial" w:eastAsia="Arial" w:hAnsi="Arial"/>
          <w:sz w:val="17"/>
          <w:szCs w:val="17"/>
          <w:color w:val="28C0DA"/>
        </w:rPr>
      </w:pPr>
      <w:r>
        <w:rPr>
          <w:rFonts w:ascii="Arial" w:cs="Arial" w:eastAsia="Arial" w:hAnsi="Arial"/>
          <w:sz w:val="15"/>
          <w:szCs w:val="15"/>
          <w:color w:val="auto"/>
        </w:rPr>
        <w:t>We aim to spend $50 million annually with diverse-owned and small disadvantaged-owned businesses in the U.S. by 2025. In 2023 we met this goal with $49.8 million spent.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00" w:right="380" w:hanging="300"/>
        <w:spacing w:after="0" w:line="193" w:lineRule="auto"/>
        <w:tabs>
          <w:tab w:leader="none" w:pos="300" w:val="left"/>
        </w:tabs>
        <w:numPr>
          <w:ilvl w:val="0"/>
          <w:numId w:val="55"/>
        </w:numPr>
        <w:rPr>
          <w:rFonts w:ascii="Arial" w:cs="Arial" w:eastAsia="Arial" w:hAnsi="Arial"/>
          <w:sz w:val="22"/>
          <w:szCs w:val="22"/>
          <w:color w:val="auto"/>
          <w:vertAlign w:val="superscript"/>
        </w:rPr>
      </w:pPr>
      <w:r>
        <w:rPr>
          <w:rFonts w:ascii="Arial" w:cs="Arial" w:eastAsia="Arial" w:hAnsi="Arial"/>
          <w:sz w:val="13"/>
          <w:szCs w:val="13"/>
          <w:color w:val="auto"/>
        </w:rPr>
        <w:t>Scope 1 (direct emissions from owned or controlled sources), scope 2 (indirect emissions from the generation of purchased electricity, steam, or cooling), scope 3 (all other indirect emissions from an organization's value chain).</w:t>
      </w:r>
    </w:p>
    <w:p>
      <w:pPr>
        <w:spacing w:after="0" w:line="16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3"/>
          <w:szCs w:val="13"/>
          <w:b w:val="1"/>
          <w:bCs w:val="1"/>
          <w:color w:val="auto"/>
        </w:rPr>
        <w:t>36</w:t>
      </w:r>
      <w:r>
        <w:rPr>
          <w:sz w:val="20"/>
          <w:szCs w:val="20"/>
          <w:color w:val="auto"/>
        </w:rPr>
        <w:tab/>
      </w:r>
      <w:r>
        <w:rPr>
          <w:rFonts w:ascii="Times New Roman" w:cs="Times New Roman" w:eastAsia="Times New Roman" w:hAnsi="Times New Roman"/>
          <w:sz w:val="13"/>
          <w:szCs w:val="13"/>
          <w:b w:val="1"/>
          <w:bCs w:val="1"/>
          <w:color w:val="auto"/>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4248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0000EE"/>
        </w:rPr>
        <w:t>Table of Contents</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55"/>
          <w:szCs w:val="55"/>
          <w:color w:val="00244F"/>
        </w:rPr>
        <w:t>Human Capital</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244F"/>
        </w:rPr>
        <w:t>Our People Drive Our Success</w:t>
      </w:r>
    </w:p>
    <w:p>
      <w:pPr>
        <w:spacing w:after="0" w:line="225" w:lineRule="exact"/>
        <w:rPr>
          <w:sz w:val="20"/>
          <w:szCs w:val="20"/>
          <w:color w:val="auto"/>
        </w:rPr>
      </w:pPr>
    </w:p>
    <w:p>
      <w:pPr>
        <w:ind w:right="20"/>
        <w:spacing w:after="0" w:line="250" w:lineRule="auto"/>
        <w:rPr>
          <w:sz w:val="20"/>
          <w:szCs w:val="20"/>
          <w:color w:val="auto"/>
        </w:rPr>
      </w:pPr>
      <w:r>
        <w:rPr>
          <w:rFonts w:ascii="Arial" w:cs="Arial" w:eastAsia="Arial" w:hAnsi="Arial"/>
          <w:sz w:val="15"/>
          <w:szCs w:val="15"/>
          <w:color w:val="auto"/>
        </w:rPr>
        <w:t>At T. Rowe Price, our people set us apart. We deliver outstanding investment results and service to clients by leveraging a culture that encourages collaboration, integrity, trust, and diversity. This enables us to identify opportunities others might overlook. Our associates' backgrounds, perspectives, talents, enthusiasm, and creativity contribute significantly to our culture, reputation, ability to deliver a strong client experience, and our success. To attract and retain the highest-quality talent, we develop key talent and succession plans; invest in DEI initiatives; offer opportunities for our associates to learn and grow; and provide attractive benefits and a culture where associates can bring their best selves to work every day. As evidence of our approach's success, the average tenure of all associates is nine years, and the average tenure of our portfolio managers is 17 years.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44F"/>
        </w:rPr>
        <w:t>Investing In Our People</w:t>
      </w:r>
    </w:p>
    <w:p>
      <w:pPr>
        <w:spacing w:after="0" w:line="212" w:lineRule="exact"/>
        <w:rPr>
          <w:sz w:val="20"/>
          <w:szCs w:val="20"/>
          <w:color w:val="auto"/>
        </w:rPr>
      </w:pPr>
    </w:p>
    <w:p>
      <w:pPr>
        <w:ind w:right="40"/>
        <w:spacing w:after="0" w:line="250" w:lineRule="auto"/>
        <w:rPr>
          <w:sz w:val="20"/>
          <w:szCs w:val="20"/>
          <w:color w:val="auto"/>
        </w:rPr>
      </w:pPr>
      <w:r>
        <w:rPr>
          <w:rFonts w:ascii="Arial" w:cs="Arial" w:eastAsia="Arial" w:hAnsi="Arial"/>
          <w:sz w:val="15"/>
          <w:szCs w:val="15"/>
          <w:color w:val="auto"/>
        </w:rPr>
        <w:t>We are committed to helping our associates achieve their long-term career goal and we continuously seek to identify new opportunities for our associates to expand their experience and grow their skills. As a result of our associates developing these skills, we are able to promote from within, with approximately 37% of our open positions being filled by internal applicants and almost all of our portfolio managers having been promoted from within. We are committed to the professional growth of our associates through the development of their knowledge, skills, and experience by providing them access to in-person, virtual, and online training programs, offering a formal mentoring program for associates, and by offering a generous tuition reimbursement program. We believe a critical driver of our firm's future growth is our ability to cultivate leaders. Reflecting this, we piloted an Accelerated Leadership Development Experience, a nine-month program designed for top and diverse leaders.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44F"/>
        </w:rPr>
        <w:t>Hiring and Retaining Diverse Talent</w:t>
      </w:r>
    </w:p>
    <w:p>
      <w:pPr>
        <w:spacing w:after="0" w:line="212" w:lineRule="exact"/>
        <w:rPr>
          <w:sz w:val="20"/>
          <w:szCs w:val="20"/>
          <w:color w:val="auto"/>
        </w:rPr>
      </w:pPr>
    </w:p>
    <w:p>
      <w:pPr>
        <w:ind w:right="20"/>
        <w:spacing w:after="0" w:line="252" w:lineRule="auto"/>
        <w:rPr>
          <w:sz w:val="20"/>
          <w:szCs w:val="20"/>
          <w:color w:val="auto"/>
        </w:rPr>
      </w:pPr>
      <w:r>
        <w:rPr>
          <w:rFonts w:ascii="Arial" w:cs="Arial" w:eastAsia="Arial" w:hAnsi="Arial"/>
          <w:sz w:val="15"/>
          <w:szCs w:val="15"/>
          <w:color w:val="auto"/>
        </w:rPr>
        <w:t>Having a diverse and inclusive workforce and providing an equal opportunity to all associates is a business and cultural imperative. Our priority is to increase our hiring, retention, and development of talent from groups that are underrepresented in asset management, including both ethnically diverse associates and women. In 2023, 25% of our newly hired investment professionals globally were female, and firmwide 66% of new hires were either female and/or ethnically diverse, including 41% of employees in the U.S. hired outside the firm being Black/African American, Hispanic, or Latinx and/or American Indian. For every open senior role at the firm, our goal is that at least 30% of interviewed candidates will be female and/or ethnically diverse, and during 2023, 49% of the candidates were ethnically diverse and/or female.</w:t>
      </w:r>
    </w:p>
    <w:p>
      <w:pPr>
        <w:spacing w:after="0" w:line="169" w:lineRule="exact"/>
        <w:rPr>
          <w:sz w:val="20"/>
          <w:szCs w:val="20"/>
          <w:color w:val="auto"/>
        </w:rPr>
      </w:pPr>
    </w:p>
    <w:p>
      <w:pPr>
        <w:spacing w:after="0" w:line="246" w:lineRule="auto"/>
        <w:rPr>
          <w:sz w:val="20"/>
          <w:szCs w:val="20"/>
          <w:color w:val="auto"/>
        </w:rPr>
      </w:pPr>
      <w:r>
        <w:rPr>
          <w:rFonts w:ascii="Arial" w:cs="Arial" w:eastAsia="Arial" w:hAnsi="Arial"/>
          <w:sz w:val="15"/>
          <w:szCs w:val="15"/>
          <w:color w:val="auto"/>
        </w:rPr>
        <w:t>We believe a key component of combating racial inequality is greater representation of diverse people in all areas of society and business—including at T. Rowe Price. To increase the pipeline of diverse candidates, we have created and deepened partnerships with colleges and universities, including Historically Black Colleges and Universities from which we have had success in recruiting diverse talent in the United States, and focused on developing recruiting plans for Black and Latinx candidates to expand exposure to our industry and opportunity. Other initiatives connect with prospective and future underrepresented candidates as early as high school, through college, and on into graduate school. Signature programs like "MBA Day," "Launching Your Legacy," "High School Encounter," and our "Women's Stock Pitch," are a few of the ways that we reach early-career diverse talent, create exposure to our industry and introduce opportunities for such talent to bring their perspective and insight to the firm. Furthermore, we have partnered with many national organizations such as The Robert Toigo Foundation, National Black MBA Association, the Association of Latino Professionals for America, Grace Hopper, Afrotech, Lesbians Who Tech, and others to create access to diverse talent and to assist us in maintaining best practices. We extended on-site job offers for the second consecutive year at Grace Hopper, AfroTech, and the Society for Hispanic Engineers diversity recruiting conferences. In addition, we host on-site mentoring and recruitment initiatives in all U.S. offices and London, encouraging and attracting diverse candidates to consider careers in asset management. We remain committed to supporting a diverse and inclusive workplace.</w:t>
      </w:r>
    </w:p>
    <w:p>
      <w:pPr>
        <w:spacing w:after="0" w:line="180" w:lineRule="exact"/>
        <w:rPr>
          <w:sz w:val="20"/>
          <w:szCs w:val="20"/>
          <w:color w:val="auto"/>
        </w:rPr>
      </w:pPr>
    </w:p>
    <w:p>
      <w:pPr>
        <w:ind w:right="240"/>
        <w:spacing w:after="0" w:line="261" w:lineRule="auto"/>
        <w:rPr>
          <w:sz w:val="20"/>
          <w:szCs w:val="20"/>
          <w:color w:val="auto"/>
        </w:rPr>
      </w:pPr>
      <w:r>
        <w:rPr>
          <w:rFonts w:ascii="Arial" w:cs="Arial" w:eastAsia="Arial" w:hAnsi="Arial"/>
          <w:sz w:val="15"/>
          <w:szCs w:val="15"/>
          <w:color w:val="auto"/>
        </w:rPr>
        <w:t>In 2023, we held our first Black Leadership Summit, sponsored by the Black Leadership Council and Amplify Voices advisory committee. This one-day event was designed to support our senior Black leaders across the firm with a focus on career growth, professional development, and promoting connectivity with each other and with senior leaders of the firm.</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60" w:type="dxa"/>
            <w:vAlign w:val="bottom"/>
          </w:tcPr>
          <w:p>
            <w:pPr>
              <w:ind w:left="9620"/>
              <w:spacing w:after="0"/>
              <w:rPr>
                <w:sz w:val="20"/>
                <w:szCs w:val="20"/>
                <w:color w:val="auto"/>
              </w:rPr>
            </w:pPr>
            <w:r>
              <w:rPr>
                <w:rFonts w:ascii="Times New Roman" w:cs="Times New Roman" w:eastAsia="Times New Roman" w:hAnsi="Times New Roman"/>
                <w:sz w:val="13"/>
                <w:szCs w:val="13"/>
                <w:b w:val="1"/>
                <w:bCs w:val="1"/>
                <w:color w:val="auto"/>
              </w:rPr>
              <w:t xml:space="preserve">2024 </w:t>
            </w:r>
            <w:r>
              <w:rPr>
                <w:rFonts w:ascii="Times New Roman" w:cs="Times New Roman" w:eastAsia="Times New Roman" w:hAnsi="Times New Roman"/>
                <w:sz w:val="13"/>
                <w:szCs w:val="13"/>
                <w:color w:val="auto"/>
              </w:rPr>
              <w:t>Proxy Statement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244F"/>
              </w:rPr>
              <w:t>37</w:t>
            </w:r>
          </w:p>
        </w:tc>
      </w:tr>
      <w:tr>
        <w:trPr>
          <w:trHeight w:val="385"/>
        </w:trPr>
        <w:tc>
          <w:tcPr>
            <w:tcW w:w="10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3"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0000EE"/>
        </w:rPr>
        <w:t>Table of Contents</w:t>
      </w:r>
    </w:p>
    <w:p>
      <w:pPr>
        <w:spacing w:after="0" w:line="396" w:lineRule="exact"/>
        <w:rPr>
          <w:sz w:val="20"/>
          <w:szCs w:val="20"/>
          <w:color w:val="auto"/>
        </w:rPr>
      </w:pPr>
    </w:p>
    <w:p>
      <w:pPr>
        <w:spacing w:after="0"/>
        <w:rPr>
          <w:sz w:val="20"/>
          <w:szCs w:val="20"/>
          <w:color w:val="auto"/>
        </w:rPr>
      </w:pPr>
      <w:r>
        <w:rPr>
          <w:rFonts w:ascii="Arial" w:cs="Arial" w:eastAsia="Arial" w:hAnsi="Arial"/>
          <w:sz w:val="15"/>
          <w:szCs w:val="15"/>
          <w:color w:val="auto"/>
        </w:rPr>
        <w:t>The content and learnings from this offering will be leveraged to strengthen career development and inclusion broadly across the firm.</w:t>
      </w:r>
    </w:p>
    <w:p>
      <w:pPr>
        <w:spacing w:after="0" w:line="202"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To be more transparent we publish our EEO data on our website, which can be seen on our website, under the "What Sets Us Apart" tab. In addition, during 2023, we published our sustainability report which included transparency into our DEI data, a copy of which can be found on our website at troweprice.com. Set forth below is our diversity information as of December 31, 2023, grouped by division. The data excludes information about the employees of OHA.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44F"/>
        </w:rPr>
        <w:t>Investments Group Diversity Breakdown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539105" cy="21983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539105" cy="2198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44F"/>
        </w:rPr>
        <w:t>Global Distribution and Global Product Group Diversity Breakdown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547360" cy="14998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547360" cy="1499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44F"/>
        </w:rPr>
        <w:t>Corporate Functions Group Diversity Breakdown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539105" cy="1531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539105" cy="1531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0" w:hanging="300"/>
        <w:spacing w:after="0"/>
        <w:tabs>
          <w:tab w:leader="none" w:pos="300" w:val="left"/>
        </w:tabs>
        <w:numPr>
          <w:ilvl w:val="0"/>
          <w:numId w:val="56"/>
        </w:numPr>
        <w:rPr>
          <w:rFonts w:ascii="Arial" w:cs="Arial" w:eastAsia="Arial" w:hAnsi="Arial"/>
          <w:sz w:val="22"/>
          <w:szCs w:val="22"/>
          <w:color w:val="auto"/>
          <w:vertAlign w:val="superscript"/>
        </w:rPr>
      </w:pPr>
      <w:r>
        <w:rPr>
          <w:rFonts w:ascii="Arial" w:cs="Arial" w:eastAsia="Arial" w:hAnsi="Arial"/>
          <w:sz w:val="13"/>
          <w:szCs w:val="13"/>
          <w:color w:val="auto"/>
        </w:rPr>
        <w:t>Senior Level is defined as people leaders and individual contributors with significant business or functional responsibility.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3"/>
          <w:szCs w:val="13"/>
          <w:b w:val="1"/>
          <w:bCs w:val="1"/>
          <w:color w:val="00244F"/>
        </w:rPr>
        <w:t>38</w:t>
      </w:r>
      <w:r>
        <w:rPr>
          <w:sz w:val="20"/>
          <w:szCs w:val="20"/>
          <w:color w:val="auto"/>
        </w:rPr>
        <w:tab/>
      </w:r>
      <w:r>
        <w:rPr>
          <w:rFonts w:ascii="Times New Roman" w:cs="Times New Roman" w:eastAsia="Times New Roman" w:hAnsi="Times New Roman"/>
          <w:sz w:val="13"/>
          <w:szCs w:val="13"/>
          <w:b w:val="1"/>
          <w:bCs w:val="1"/>
          <w:color w:val="00244F"/>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42480"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100"/>
          </w:cols>
          <w:pgMar w:left="320" w:top="223" w:right="479" w:bottom="1440" w:gutter="0" w:footer="0" w:header="0"/>
        </w:sectPr>
      </w:pPr>
    </w:p>
    <w:bookmarkStart w:id="43" w:name="page44"/>
    <w:bookmarkEnd w:id="43"/>
    <w:p>
      <w:pPr>
        <w:spacing w:after="0"/>
        <w:rPr>
          <w:sz w:val="20"/>
          <w:szCs w:val="20"/>
          <w:color w:val="auto"/>
        </w:rPr>
      </w:pPr>
      <w:r>
        <w:rPr>
          <w:rFonts w:ascii="Arial" w:cs="Arial" w:eastAsia="Arial" w:hAnsi="Arial"/>
          <w:sz w:val="17"/>
          <w:szCs w:val="17"/>
          <w:u w:val="single" w:color="auto"/>
          <w:color w:val="0000EE"/>
        </w:rPr>
        <w:t>Table of Contents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44F"/>
        </w:rPr>
        <w:t>An Inclusive Work Environment</w:t>
      </w:r>
    </w:p>
    <w:p>
      <w:pPr>
        <w:spacing w:after="0" w:line="212" w:lineRule="exact"/>
        <w:rPr>
          <w:sz w:val="20"/>
          <w:szCs w:val="20"/>
          <w:color w:val="auto"/>
        </w:rPr>
      </w:pPr>
    </w:p>
    <w:p>
      <w:pPr>
        <w:ind w:right="260"/>
        <w:spacing w:after="0" w:line="261" w:lineRule="auto"/>
        <w:rPr>
          <w:sz w:val="20"/>
          <w:szCs w:val="20"/>
          <w:color w:val="auto"/>
        </w:rPr>
      </w:pPr>
      <w:r>
        <w:rPr>
          <w:rFonts w:ascii="Arial" w:cs="Arial" w:eastAsia="Arial" w:hAnsi="Arial"/>
          <w:sz w:val="15"/>
          <w:szCs w:val="15"/>
          <w:color w:val="auto"/>
        </w:rPr>
        <w:t>We emphasize maintaining a positive, welcoming, and collaborative culture, where everyone is encouraged to bring their best selves to work every day—to draw from their experiences, express their viewpoints, and to take the initiative to help our clients and themselves succeed. DEI is a foundation of our business approach. Our Management Committee ensures we have high standards for the way we recruit, hire, mentor, and develop talent.</w:t>
      </w:r>
    </w:p>
    <w:p>
      <w:pPr>
        <w:spacing w:after="0" w:line="137" w:lineRule="exact"/>
        <w:rPr>
          <w:sz w:val="20"/>
          <w:szCs w:val="20"/>
          <w:color w:val="auto"/>
        </w:rPr>
      </w:pPr>
    </w:p>
    <w:p>
      <w:pPr>
        <w:ind w:right="20"/>
        <w:spacing w:after="0" w:line="248" w:lineRule="auto"/>
        <w:rPr>
          <w:sz w:val="20"/>
          <w:szCs w:val="20"/>
          <w:color w:val="auto"/>
        </w:rPr>
      </w:pPr>
      <w:r>
        <w:rPr>
          <w:rFonts w:ascii="Arial" w:cs="Arial" w:eastAsia="Arial" w:hAnsi="Arial"/>
          <w:sz w:val="15"/>
          <w:szCs w:val="15"/>
          <w:color w:val="auto"/>
        </w:rPr>
        <w:t>To support this, our Diversity, Equity, and Inclusion Steering Committee (DEISC) meets bi-monthly to discuss progress on specific initiatives, along with challenges and concerns that can impact our progress. We have a plan to provide additional programs to strengthen the experience and support for underrepresented talent and drive inclusion broadly. The Black Leadership Council provides a direct channel of communication between the Management Committee and senior Black associates to ensure that there is active dialogue on matters of importance such as associate attraction, retention, advancement, and priorities as well as supports leadership in communicating important messages and developments related to the Company's DEI initiatives. Our Europe, Middle East and Africa (EMEA) DEISC is a cross-functional group of senior leaders based in the EMEA region who sponsor regional DEI initiatives (business resource groups and associate-led networks) and keep activities aligned to the firm's global strategy; monitors and communicates progress against regional DEI strategy; and identifies focus areas for regional business units to effect change.</w:t>
      </w:r>
    </w:p>
    <w:p>
      <w:pPr>
        <w:spacing w:after="0" w:line="149" w:lineRule="exact"/>
        <w:rPr>
          <w:sz w:val="20"/>
          <w:szCs w:val="20"/>
          <w:color w:val="auto"/>
        </w:rPr>
      </w:pPr>
    </w:p>
    <w:p>
      <w:pPr>
        <w:spacing w:after="0" w:line="249" w:lineRule="auto"/>
        <w:rPr>
          <w:sz w:val="20"/>
          <w:szCs w:val="20"/>
          <w:color w:val="auto"/>
        </w:rPr>
      </w:pPr>
      <w:r>
        <w:rPr>
          <w:rFonts w:ascii="Arial" w:cs="Arial" w:eastAsia="Arial" w:hAnsi="Arial"/>
          <w:sz w:val="15"/>
          <w:szCs w:val="15"/>
          <w:color w:val="auto"/>
        </w:rPr>
        <w:t>To help strengthen our culture of inclusion, each of our global associates again received a DEI Performance Objective that outlined the expectation and accountability that each employee has in achieving our shared goals. The DEI Performance Objective is the only goal that was cascaded throughout the enterprise at the direction of the CEO and President, exemplifying the importance of this priority globally. We launched an inclusive programming series, "At The Intersection," to provide thought leadership and intersectional perspectives on timely and emerging topics of inclusion, belonging, equity and diverse backgrounds, lived experiences, and perspectives. At both events, 90% of participants strongly agreed or agreed that after participating in these events, they plan to use the information and resources provided to continue their DEI journey. In addition, our DEI learning path is a cornerstone of our strategy as we aim to reinforce the behaviors needed to lead into the future. Reflecting this, over 92% of people leaders have attended a Managing Inclusion learning offering, focused on building capabilities and skills to lead and motivate our talented workforce.</w:t>
      </w:r>
    </w:p>
    <w:p>
      <w:pPr>
        <w:spacing w:after="0" w:line="147" w:lineRule="exact"/>
        <w:rPr>
          <w:sz w:val="20"/>
          <w:szCs w:val="20"/>
          <w:color w:val="auto"/>
        </w:rPr>
      </w:pPr>
    </w:p>
    <w:p>
      <w:pPr>
        <w:jc w:val="both"/>
        <w:ind w:right="120"/>
        <w:spacing w:after="0" w:line="279" w:lineRule="auto"/>
        <w:rPr>
          <w:sz w:val="20"/>
          <w:szCs w:val="20"/>
          <w:color w:val="auto"/>
        </w:rPr>
      </w:pPr>
      <w:r>
        <w:rPr>
          <w:rFonts w:ascii="Arial" w:cs="Arial" w:eastAsia="Arial" w:hAnsi="Arial"/>
          <w:sz w:val="14"/>
          <w:szCs w:val="14"/>
          <w:color w:val="auto"/>
        </w:rPr>
        <w:t>We are committed to establishing a culture of open and transparent dialogue between our firm and associates, which allows for multiple opportunities for collecting and acting on quality feedback to inform our actions in the future. The feedback gathered from associates via engagement surveys, pulse surveys, and focus groups allows leadership to optimize the associate experience and to make appropriate business decisions. Our firmwide employee survey included additional inclusion and belonging questions, which informed our initiatives and programming in 2023. We have an engaged and motivated workforce with a shared commitment to putting clients first.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44F"/>
        </w:rPr>
        <w:t>How We Support Our Diverse Perspectives</w:t>
      </w:r>
    </w:p>
    <w:p>
      <w:pPr>
        <w:spacing w:after="0" w:line="212" w:lineRule="exact"/>
        <w:rPr>
          <w:sz w:val="20"/>
          <w:szCs w:val="20"/>
          <w:color w:val="auto"/>
        </w:rPr>
      </w:pPr>
    </w:p>
    <w:p>
      <w:pPr>
        <w:ind w:right="320"/>
        <w:spacing w:after="0" w:line="261" w:lineRule="auto"/>
        <w:rPr>
          <w:sz w:val="20"/>
          <w:szCs w:val="20"/>
          <w:color w:val="auto"/>
        </w:rPr>
      </w:pPr>
      <w:r>
        <w:rPr>
          <w:rFonts w:ascii="Arial" w:cs="Arial" w:eastAsia="Arial" w:hAnsi="Arial"/>
          <w:sz w:val="15"/>
          <w:szCs w:val="15"/>
          <w:color w:val="auto"/>
        </w:rPr>
        <w:t>Business resource groups provide important perspectives that help shape our culture, especially in recruitment, talent acquisition, and retention. These associate-led networks are designed to increase engagement and associate retention, promote education and support career development of associates, extend our brand in the community and present commercial opportunities for all associates globally and the firm. Our business resource groups include:</w:t>
      </w:r>
    </w:p>
    <w:p>
      <w:pPr>
        <w:spacing w:after="0" w:line="78" w:lineRule="exact"/>
        <w:rPr>
          <w:sz w:val="20"/>
          <w:szCs w:val="20"/>
          <w:color w:val="auto"/>
        </w:rPr>
      </w:pPr>
    </w:p>
    <w:p>
      <w:pPr>
        <w:ind w:left="480" w:hanging="180"/>
        <w:spacing w:after="0"/>
        <w:tabs>
          <w:tab w:leader="none" w:pos="480" w:val="left"/>
        </w:tabs>
        <w:numPr>
          <w:ilvl w:val="0"/>
          <w:numId w:val="57"/>
        </w:numPr>
        <w:rPr>
          <w:rFonts w:ascii="Times New Roman" w:cs="Times New Roman" w:eastAsia="Times New Roman" w:hAnsi="Times New Roman"/>
          <w:sz w:val="30"/>
          <w:szCs w:val="30"/>
          <w:color w:val="28C0DA"/>
          <w:vertAlign w:val="superscript"/>
        </w:rPr>
      </w:pPr>
      <w:r>
        <w:rPr>
          <w:rFonts w:ascii="Arial" w:cs="Arial" w:eastAsia="Arial" w:hAnsi="Arial"/>
          <w:sz w:val="20"/>
          <w:szCs w:val="20"/>
          <w:b w:val="1"/>
          <w:bCs w:val="1"/>
          <w:color w:val="00244F"/>
        </w:rPr>
        <w:t xml:space="preserve">MOSAIC </w:t>
      </w:r>
      <w:r>
        <w:rPr>
          <w:rFonts w:ascii="Arial" w:cs="Arial" w:eastAsia="Arial" w:hAnsi="Arial"/>
          <w:sz w:val="14"/>
          <w:szCs w:val="14"/>
          <w:color w:val="000000"/>
        </w:rPr>
        <w:t>– Ethnically diverse associates and allies.</w:t>
      </w:r>
    </w:p>
    <w:p>
      <w:pPr>
        <w:spacing w:after="0" w:line="75" w:lineRule="exact"/>
        <w:rPr>
          <w:rFonts w:ascii="Times New Roman" w:cs="Times New Roman" w:eastAsia="Times New Roman" w:hAnsi="Times New Roman"/>
          <w:sz w:val="30"/>
          <w:szCs w:val="30"/>
          <w:color w:val="28C0DA"/>
          <w:vertAlign w:val="superscript"/>
        </w:rPr>
      </w:pPr>
    </w:p>
    <w:p>
      <w:pPr>
        <w:ind w:left="480" w:hanging="180"/>
        <w:spacing w:after="0" w:line="180" w:lineRule="auto"/>
        <w:tabs>
          <w:tab w:leader="none" w:pos="480" w:val="left"/>
        </w:tabs>
        <w:numPr>
          <w:ilvl w:val="0"/>
          <w:numId w:val="57"/>
        </w:numPr>
        <w:rPr>
          <w:rFonts w:ascii="Times New Roman" w:cs="Times New Roman" w:eastAsia="Times New Roman" w:hAnsi="Times New Roman"/>
          <w:sz w:val="26"/>
          <w:szCs w:val="26"/>
          <w:color w:val="28C0DA"/>
          <w:vertAlign w:val="superscript"/>
        </w:rPr>
      </w:pPr>
      <w:r>
        <w:rPr>
          <w:rFonts w:ascii="Arial" w:cs="Arial" w:eastAsia="Arial" w:hAnsi="Arial"/>
          <w:sz w:val="17"/>
          <w:szCs w:val="17"/>
          <w:b w:val="1"/>
          <w:bCs w:val="1"/>
          <w:color w:val="00244F"/>
        </w:rPr>
        <w:t xml:space="preserve">VALOR </w:t>
      </w:r>
      <w:r>
        <w:rPr>
          <w:rFonts w:ascii="Times New Roman" w:cs="Times New Roman" w:eastAsia="Times New Roman" w:hAnsi="Times New Roman"/>
          <w:sz w:val="14"/>
          <w:szCs w:val="14"/>
          <w:color w:val="000000"/>
        </w:rPr>
        <w:t>–</w:t>
      </w:r>
      <w:r>
        <w:rPr>
          <w:rFonts w:ascii="Arial" w:cs="Arial" w:eastAsia="Arial" w:hAnsi="Arial"/>
          <w:sz w:val="17"/>
          <w:szCs w:val="17"/>
          <w:b w:val="1"/>
          <w:bCs w:val="1"/>
          <w:color w:val="00244F"/>
        </w:rPr>
        <w:t xml:space="preserve"> </w:t>
      </w:r>
      <w:r>
        <w:rPr>
          <w:rFonts w:ascii="Arial" w:cs="Arial" w:eastAsia="Arial" w:hAnsi="Arial"/>
          <w:sz w:val="14"/>
          <w:szCs w:val="14"/>
          <w:color w:val="000000"/>
        </w:rPr>
        <w:t>Associates who are veterans or active reservists and their families and allies.</w:t>
      </w:r>
    </w:p>
    <w:p>
      <w:pPr>
        <w:spacing w:after="0" w:line="75" w:lineRule="exact"/>
        <w:rPr>
          <w:rFonts w:ascii="Times New Roman" w:cs="Times New Roman" w:eastAsia="Times New Roman" w:hAnsi="Times New Roman"/>
          <w:sz w:val="26"/>
          <w:szCs w:val="26"/>
          <w:color w:val="28C0DA"/>
          <w:vertAlign w:val="superscript"/>
        </w:rPr>
      </w:pPr>
    </w:p>
    <w:p>
      <w:pPr>
        <w:ind w:left="480" w:hanging="180"/>
        <w:spacing w:after="0" w:line="180" w:lineRule="auto"/>
        <w:tabs>
          <w:tab w:leader="none" w:pos="480" w:val="left"/>
        </w:tabs>
        <w:numPr>
          <w:ilvl w:val="0"/>
          <w:numId w:val="57"/>
        </w:numPr>
        <w:rPr>
          <w:rFonts w:ascii="Times New Roman" w:cs="Times New Roman" w:eastAsia="Times New Roman" w:hAnsi="Times New Roman"/>
          <w:sz w:val="26"/>
          <w:szCs w:val="26"/>
          <w:color w:val="28C0DA"/>
          <w:vertAlign w:val="superscript"/>
        </w:rPr>
      </w:pPr>
      <w:r>
        <w:rPr>
          <w:rFonts w:ascii="Arial" w:cs="Arial" w:eastAsia="Arial" w:hAnsi="Arial"/>
          <w:sz w:val="17"/>
          <w:szCs w:val="17"/>
          <w:b w:val="1"/>
          <w:bCs w:val="1"/>
          <w:color w:val="00244F"/>
        </w:rPr>
        <w:t xml:space="preserve">PRIDE </w:t>
      </w:r>
      <w:r>
        <w:rPr>
          <w:rFonts w:ascii="Arial" w:cs="Arial" w:eastAsia="Arial" w:hAnsi="Arial"/>
          <w:sz w:val="14"/>
          <w:szCs w:val="14"/>
          <w:color w:val="000000"/>
        </w:rPr>
        <w:t>– LGBTQ+ associates and allies.</w:t>
      </w:r>
    </w:p>
    <w:p>
      <w:pPr>
        <w:spacing w:after="0" w:line="75" w:lineRule="exact"/>
        <w:rPr>
          <w:rFonts w:ascii="Times New Roman" w:cs="Times New Roman" w:eastAsia="Times New Roman" w:hAnsi="Times New Roman"/>
          <w:sz w:val="26"/>
          <w:szCs w:val="26"/>
          <w:color w:val="28C0DA"/>
          <w:vertAlign w:val="superscript"/>
        </w:rPr>
      </w:pPr>
    </w:p>
    <w:p>
      <w:pPr>
        <w:ind w:left="480" w:hanging="180"/>
        <w:spacing w:after="0" w:line="180" w:lineRule="auto"/>
        <w:tabs>
          <w:tab w:leader="none" w:pos="480" w:val="left"/>
        </w:tabs>
        <w:numPr>
          <w:ilvl w:val="0"/>
          <w:numId w:val="57"/>
        </w:numPr>
        <w:rPr>
          <w:rFonts w:ascii="Times New Roman" w:cs="Times New Roman" w:eastAsia="Times New Roman" w:hAnsi="Times New Roman"/>
          <w:sz w:val="26"/>
          <w:szCs w:val="26"/>
          <w:color w:val="28C0DA"/>
          <w:vertAlign w:val="superscript"/>
        </w:rPr>
      </w:pPr>
      <w:r>
        <w:rPr>
          <w:rFonts w:ascii="Arial" w:cs="Arial" w:eastAsia="Arial" w:hAnsi="Arial"/>
          <w:sz w:val="17"/>
          <w:szCs w:val="17"/>
          <w:b w:val="1"/>
          <w:bCs w:val="1"/>
          <w:color w:val="00244F"/>
        </w:rPr>
        <w:t xml:space="preserve">THRIVE </w:t>
      </w:r>
      <w:r>
        <w:rPr>
          <w:rFonts w:ascii="Arial" w:cs="Arial" w:eastAsia="Arial" w:hAnsi="Arial"/>
          <w:sz w:val="14"/>
          <w:szCs w:val="14"/>
          <w:color w:val="000000"/>
        </w:rPr>
        <w:t>– Associates living with and caring for individuals with a broad spectrum of conditions and allies.</w:t>
      </w:r>
    </w:p>
    <w:p>
      <w:pPr>
        <w:spacing w:after="0" w:line="75" w:lineRule="exact"/>
        <w:rPr>
          <w:rFonts w:ascii="Times New Roman" w:cs="Times New Roman" w:eastAsia="Times New Roman" w:hAnsi="Times New Roman"/>
          <w:sz w:val="26"/>
          <w:szCs w:val="26"/>
          <w:color w:val="28C0DA"/>
          <w:vertAlign w:val="superscript"/>
        </w:rPr>
      </w:pPr>
    </w:p>
    <w:p>
      <w:pPr>
        <w:ind w:left="480" w:hanging="180"/>
        <w:spacing w:after="0" w:line="180" w:lineRule="auto"/>
        <w:tabs>
          <w:tab w:leader="none" w:pos="480" w:val="left"/>
        </w:tabs>
        <w:numPr>
          <w:ilvl w:val="0"/>
          <w:numId w:val="57"/>
        </w:numPr>
        <w:rPr>
          <w:rFonts w:ascii="Times New Roman" w:cs="Times New Roman" w:eastAsia="Times New Roman" w:hAnsi="Times New Roman"/>
          <w:sz w:val="26"/>
          <w:szCs w:val="26"/>
          <w:color w:val="28C0DA"/>
          <w:vertAlign w:val="superscript"/>
        </w:rPr>
      </w:pPr>
      <w:r>
        <w:rPr>
          <w:rFonts w:ascii="Arial" w:cs="Arial" w:eastAsia="Arial" w:hAnsi="Arial"/>
          <w:sz w:val="17"/>
          <w:szCs w:val="17"/>
          <w:b w:val="1"/>
          <w:bCs w:val="1"/>
          <w:color w:val="00244F"/>
        </w:rPr>
        <w:t xml:space="preserve">WAVE </w:t>
      </w:r>
      <w:r>
        <w:rPr>
          <w:rFonts w:ascii="Arial" w:cs="Arial" w:eastAsia="Arial" w:hAnsi="Arial"/>
          <w:sz w:val="14"/>
          <w:szCs w:val="14"/>
          <w:color w:val="000000"/>
        </w:rPr>
        <w:t>– Female associates and allies.</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At the end of 2023, over 50% of associates were members of at least one business resource group.</w:t>
      </w:r>
    </w:p>
    <w:p>
      <w:pPr>
        <w:spacing w:after="0" w:line="177" w:lineRule="exact"/>
        <w:rPr>
          <w:sz w:val="20"/>
          <w:szCs w:val="20"/>
          <w:color w:val="auto"/>
        </w:rPr>
      </w:pPr>
    </w:p>
    <w:p>
      <w:pPr>
        <w:ind w:right="160"/>
        <w:spacing w:after="0" w:line="261" w:lineRule="auto"/>
        <w:rPr>
          <w:sz w:val="20"/>
          <w:szCs w:val="20"/>
          <w:color w:val="auto"/>
        </w:rPr>
      </w:pPr>
      <w:r>
        <w:rPr>
          <w:rFonts w:ascii="Arial" w:cs="Arial" w:eastAsia="Arial" w:hAnsi="Arial"/>
          <w:sz w:val="15"/>
          <w:szCs w:val="15"/>
          <w:color w:val="auto"/>
        </w:rPr>
        <w:t>We believe targeted experiences that provide elevated visibility, access, and development are a key factor to engage and support our associates. We provide access to external development programs to support the development plans and aspirations of our talent. For example, Black/African American, Hispanic/Latinx, and Asian associates participated in the McKinsey Leadership Programs, and we partner with Signature Leaders to provide development and cultivate sponsorship</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60" w:type="dxa"/>
            <w:vAlign w:val="bottom"/>
          </w:tcPr>
          <w:p>
            <w:pPr>
              <w:ind w:left="9620"/>
              <w:spacing w:after="0"/>
              <w:rPr>
                <w:sz w:val="20"/>
                <w:szCs w:val="20"/>
                <w:color w:val="auto"/>
              </w:rPr>
            </w:pPr>
            <w:r>
              <w:rPr>
                <w:rFonts w:ascii="Times New Roman" w:cs="Times New Roman" w:eastAsia="Times New Roman" w:hAnsi="Times New Roman"/>
                <w:sz w:val="13"/>
                <w:szCs w:val="13"/>
                <w:b w:val="1"/>
                <w:bCs w:val="1"/>
                <w:color w:val="auto"/>
              </w:rPr>
              <w:t xml:space="preserve">2024 </w:t>
            </w:r>
            <w:r>
              <w:rPr>
                <w:rFonts w:ascii="Times New Roman" w:cs="Times New Roman" w:eastAsia="Times New Roman" w:hAnsi="Times New Roman"/>
                <w:sz w:val="13"/>
                <w:szCs w:val="13"/>
                <w:color w:val="auto"/>
              </w:rPr>
              <w:t>Proxy Statement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244F"/>
              </w:rPr>
              <w:t>39</w:t>
            </w:r>
          </w:p>
        </w:tc>
      </w:tr>
      <w:tr>
        <w:trPr>
          <w:trHeight w:val="385"/>
        </w:trPr>
        <w:tc>
          <w:tcPr>
            <w:tcW w:w="10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3"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0EE"/>
        </w:rPr>
        <w:t>Table of Contents</w:t>
      </w:r>
    </w:p>
    <w:p>
      <w:pPr>
        <w:spacing w:after="0" w:line="396" w:lineRule="exact"/>
        <w:rPr>
          <w:sz w:val="20"/>
          <w:szCs w:val="20"/>
          <w:color w:val="auto"/>
        </w:rPr>
      </w:pPr>
    </w:p>
    <w:p>
      <w:pPr>
        <w:ind w:right="760"/>
        <w:spacing w:after="0" w:line="278" w:lineRule="auto"/>
        <w:rPr>
          <w:sz w:val="20"/>
          <w:szCs w:val="20"/>
          <w:color w:val="auto"/>
        </w:rPr>
      </w:pPr>
      <w:r>
        <w:rPr>
          <w:rFonts w:ascii="Arial" w:cs="Arial" w:eastAsia="Arial" w:hAnsi="Arial"/>
          <w:sz w:val="15"/>
          <w:szCs w:val="15"/>
          <w:color w:val="auto"/>
        </w:rPr>
        <w:t>for female associates. Resources and targeted learning sessions were provided in 2023 to cultivate a culture of sponsorship and maximize formal sponsorship relationships broadly across the organization.</w:t>
      </w:r>
    </w:p>
    <w:p>
      <w:pPr>
        <w:spacing w:after="0" w:line="125" w:lineRule="exact"/>
        <w:rPr>
          <w:sz w:val="20"/>
          <w:szCs w:val="20"/>
          <w:color w:val="auto"/>
        </w:rPr>
      </w:pPr>
    </w:p>
    <w:p>
      <w:pPr>
        <w:spacing w:after="0" w:line="255" w:lineRule="auto"/>
        <w:rPr>
          <w:sz w:val="20"/>
          <w:szCs w:val="20"/>
          <w:color w:val="auto"/>
        </w:rPr>
      </w:pPr>
      <w:r>
        <w:rPr>
          <w:rFonts w:ascii="Arial" w:cs="Arial" w:eastAsia="Arial" w:hAnsi="Arial"/>
          <w:sz w:val="15"/>
          <w:szCs w:val="15"/>
          <w:color w:val="auto"/>
        </w:rPr>
        <w:t>For female talent, we continue to offer our Women in Sales, Women in Investments, and Women in Technology programs, which aims to attract and develop female talent to client-facing roles and technical roles globally. These programs are refined over time as we gain a deeper understanding of women's experiences and the perceptions of male peers and people leaders. While each program is tailored to its specific business unit, programs are focused on several key areas, including role modeling, mentoring, returners to work/career break talent programs, and planned leave.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44F"/>
        </w:rPr>
        <w:t>Offering Benefits to Further Our Commitment</w:t>
      </w:r>
    </w:p>
    <w:p>
      <w:pPr>
        <w:spacing w:after="0" w:line="212" w:lineRule="exact"/>
        <w:rPr>
          <w:sz w:val="20"/>
          <w:szCs w:val="20"/>
          <w:color w:val="auto"/>
        </w:rPr>
      </w:pPr>
    </w:p>
    <w:p>
      <w:pPr>
        <w:ind w:right="20"/>
        <w:spacing w:after="0" w:line="255" w:lineRule="auto"/>
        <w:rPr>
          <w:sz w:val="20"/>
          <w:szCs w:val="20"/>
          <w:color w:val="auto"/>
        </w:rPr>
      </w:pPr>
      <w:r>
        <w:rPr>
          <w:rFonts w:ascii="Arial" w:cs="Arial" w:eastAsia="Arial" w:hAnsi="Arial"/>
          <w:sz w:val="15"/>
          <w:szCs w:val="15"/>
          <w:color w:val="auto"/>
        </w:rPr>
        <w:t>We offer employee benefit solutions, including both health care and retirement benefits, where applicable; fitness club reimbursement; life insurance; and an Employee Assistance Program to support well-being. Benefit competitiveness and design is assessed for a given country, and offerings reflect our global principles and local market practice. For example, retirement programs are uniquely designed to support associates in meeting retirement goals while also reflecting regional and country-specific practices in APAC, EMEA, and the U.S.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44F"/>
        </w:rPr>
        <w:t>Focus on Family</w:t>
      </w:r>
    </w:p>
    <w:p>
      <w:pPr>
        <w:spacing w:after="0" w:line="212" w:lineRule="exact"/>
        <w:rPr>
          <w:sz w:val="20"/>
          <w:szCs w:val="20"/>
          <w:color w:val="auto"/>
        </w:rPr>
      </w:pPr>
    </w:p>
    <w:p>
      <w:pPr>
        <w:ind w:right="20"/>
        <w:spacing w:after="0" w:line="255" w:lineRule="auto"/>
        <w:rPr>
          <w:sz w:val="20"/>
          <w:szCs w:val="20"/>
          <w:color w:val="auto"/>
        </w:rPr>
      </w:pPr>
      <w:r>
        <w:rPr>
          <w:rFonts w:ascii="Arial" w:cs="Arial" w:eastAsia="Arial" w:hAnsi="Arial"/>
          <w:sz w:val="15"/>
          <w:szCs w:val="15"/>
          <w:color w:val="auto"/>
        </w:rPr>
        <w:t>We have always emphasized the importance of spending quality time away from work. In addition to generous vacation time, the firm offers fully paid maternity leave for birth mothers, in addition to fully paid parental leave to all new mothers and fathers. We also provide adoption assistance to associates looking to expand their families. In the U.S., the UK, and Canada, we offer our associates backup child care and elder care. We also launched an APAC Family Program working group designed to support working parents and caregivers throughout the region in the workplace.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44F"/>
        </w:rPr>
        <w:t>Safety, Adaptability, and Flexibility for Our Workforce</w:t>
      </w:r>
    </w:p>
    <w:p>
      <w:pPr>
        <w:spacing w:after="0" w:line="212" w:lineRule="exact"/>
        <w:rPr>
          <w:sz w:val="20"/>
          <w:szCs w:val="20"/>
          <w:color w:val="auto"/>
        </w:rPr>
      </w:pPr>
    </w:p>
    <w:p>
      <w:pPr>
        <w:ind w:right="200"/>
        <w:spacing w:after="0" w:line="255" w:lineRule="auto"/>
        <w:rPr>
          <w:sz w:val="20"/>
          <w:szCs w:val="20"/>
          <w:color w:val="auto"/>
        </w:rPr>
      </w:pPr>
      <w:r>
        <w:rPr>
          <w:rFonts w:ascii="Arial" w:cs="Arial" w:eastAsia="Arial" w:hAnsi="Arial"/>
          <w:sz w:val="15"/>
          <w:szCs w:val="15"/>
          <w:color w:val="auto"/>
        </w:rPr>
        <w:t>During 2020, our firm mobilized to ensure the safety of all our associates globally. Beginning first in the Asia-Pacific region, and then worldwide, we migrated to a work from home environment for approximately 97% of our associates. We expanded our offerings for child care and elder care assistance and ensured that our health care coverage included COVID-19 testing and treatment. In response to the challenging situation, we offered our associates five additional wellness days along with free counseling through our Employee Assistance Program.</w:t>
      </w:r>
    </w:p>
    <w:p>
      <w:pPr>
        <w:spacing w:after="0" w:line="167" w:lineRule="exact"/>
        <w:rPr>
          <w:sz w:val="20"/>
          <w:szCs w:val="20"/>
          <w:color w:val="auto"/>
        </w:rPr>
      </w:pPr>
    </w:p>
    <w:p>
      <w:pPr>
        <w:ind w:right="100"/>
        <w:spacing w:after="0" w:line="252" w:lineRule="auto"/>
        <w:rPr>
          <w:sz w:val="20"/>
          <w:szCs w:val="20"/>
          <w:color w:val="auto"/>
        </w:rPr>
      </w:pPr>
      <w:r>
        <w:rPr>
          <w:rFonts w:ascii="Arial" w:cs="Arial" w:eastAsia="Arial" w:hAnsi="Arial"/>
          <w:sz w:val="15"/>
          <w:szCs w:val="15"/>
          <w:color w:val="auto"/>
        </w:rPr>
        <w:t>During 2022, we monitored conditions globally and developed return to the office programs tailored locally, so that associates could be safe knowing their health and the health of their families was not being compromised. This meant a staggered return to the office, so that we could monitor the data and respect local ordinances. In the U.S. employees returned to the office full time; however due to the success of our associates' ability to work remotely, we offered for most associates the ability to work remotely up to two days a week. We believe this approach allows our associates to maintain the important benefits of in-person collaboration while providing additional flexibility for our associates.</w:t>
      </w:r>
    </w:p>
    <w:p>
      <w:pPr>
        <w:spacing w:after="0" w:line="15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3"/>
          <w:szCs w:val="13"/>
          <w:b w:val="1"/>
          <w:bCs w:val="1"/>
          <w:color w:val="00244F"/>
        </w:rPr>
        <w:t>40</w:t>
      </w:r>
      <w:r>
        <w:rPr>
          <w:sz w:val="20"/>
          <w:szCs w:val="20"/>
          <w:color w:val="auto"/>
        </w:rPr>
        <w:tab/>
      </w:r>
      <w:r>
        <w:rPr>
          <w:rFonts w:ascii="Times New Roman" w:cs="Times New Roman" w:eastAsia="Times New Roman" w:hAnsi="Times New Roman"/>
          <w:sz w:val="13"/>
          <w:szCs w:val="13"/>
          <w:b w:val="1"/>
          <w:bCs w:val="1"/>
          <w:color w:val="00244F"/>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42480"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0000EE"/>
        </w:rPr>
        <w:t>Table of Contents</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55"/>
          <w:szCs w:val="55"/>
          <w:color w:val="00244F"/>
        </w:rPr>
        <w:t>Executive Compensation</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244F"/>
        </w:rPr>
        <w:t>Compensation Discussion and Analysis</w:t>
      </w:r>
    </w:p>
    <w:p>
      <w:pPr>
        <w:spacing w:after="0" w:line="225" w:lineRule="exact"/>
        <w:rPr>
          <w:sz w:val="20"/>
          <w:szCs w:val="20"/>
          <w:color w:val="auto"/>
        </w:rPr>
      </w:pPr>
    </w:p>
    <w:p>
      <w:pPr>
        <w:ind w:right="200"/>
        <w:spacing w:after="0" w:line="255" w:lineRule="auto"/>
        <w:rPr>
          <w:sz w:val="20"/>
          <w:szCs w:val="20"/>
          <w:color w:val="auto"/>
        </w:rPr>
      </w:pPr>
      <w:r>
        <w:rPr>
          <w:rFonts w:ascii="Arial" w:cs="Arial" w:eastAsia="Arial" w:hAnsi="Arial"/>
          <w:sz w:val="15"/>
          <w:szCs w:val="15"/>
          <w:color w:val="auto"/>
        </w:rPr>
        <w:t>The Compensation Discussion and Analysis (CD&amp;A) provides an overview and analysis of our executive compensation philosophy, addresses the principal elements used to compensate our executive officers in 2023, and explains how our executive compensation design aligns with the Company's strategic objectives. We also address 2023 compensation decisions for Named Executive Officers (NEOs) and their rationale. This CD&amp;A should be read together with the compensation tables that follow this section. Our NEOs for 2023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1063625" cy="9759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063625" cy="97599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121920</wp:posOffset>
            </wp:positionV>
            <wp:extent cx="3793490" cy="9759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793490" cy="97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620" w:type="dxa"/>
            <w:vAlign w:val="bottom"/>
          </w:tcPr>
          <w:p>
            <w:pPr>
              <w:spacing w:after="0"/>
              <w:rPr>
                <w:sz w:val="20"/>
                <w:szCs w:val="20"/>
                <w:color w:val="auto"/>
              </w:rPr>
            </w:pPr>
            <w:r>
              <w:rPr>
                <w:rFonts w:ascii="Arial" w:cs="Arial" w:eastAsia="Arial" w:hAnsi="Arial"/>
                <w:sz w:val="13"/>
                <w:szCs w:val="13"/>
                <w:b w:val="1"/>
                <w:bCs w:val="1"/>
                <w:color w:val="52BBC1"/>
              </w:rPr>
              <w:t>Robert W. Sharps</w:t>
            </w:r>
          </w:p>
        </w:tc>
        <w:tc>
          <w:tcPr>
            <w:tcW w:w="2160" w:type="dxa"/>
            <w:vAlign w:val="bottom"/>
          </w:tcPr>
          <w:p>
            <w:pPr>
              <w:ind w:left="520"/>
              <w:spacing w:after="0"/>
              <w:rPr>
                <w:sz w:val="20"/>
                <w:szCs w:val="20"/>
                <w:color w:val="auto"/>
              </w:rPr>
            </w:pPr>
            <w:r>
              <w:rPr>
                <w:rFonts w:ascii="Arial" w:cs="Arial" w:eastAsia="Arial" w:hAnsi="Arial"/>
                <w:sz w:val="13"/>
                <w:szCs w:val="13"/>
                <w:b w:val="1"/>
                <w:bCs w:val="1"/>
                <w:color w:val="52BBC1"/>
              </w:rPr>
              <w:t>Jennifer B. Dardis</w:t>
            </w:r>
          </w:p>
        </w:tc>
        <w:tc>
          <w:tcPr>
            <w:tcW w:w="2080" w:type="dxa"/>
            <w:vAlign w:val="bottom"/>
          </w:tcPr>
          <w:p>
            <w:pPr>
              <w:ind w:left="500"/>
              <w:spacing w:after="0"/>
              <w:rPr>
                <w:sz w:val="20"/>
                <w:szCs w:val="20"/>
                <w:color w:val="auto"/>
              </w:rPr>
            </w:pPr>
            <w:r>
              <w:rPr>
                <w:rFonts w:ascii="Arial" w:cs="Arial" w:eastAsia="Arial" w:hAnsi="Arial"/>
                <w:sz w:val="13"/>
                <w:szCs w:val="13"/>
                <w:b w:val="1"/>
                <w:bCs w:val="1"/>
                <w:color w:val="52BBC1"/>
              </w:rPr>
              <w:t>Glenn R. August</w:t>
            </w:r>
          </w:p>
        </w:tc>
        <w:tc>
          <w:tcPr>
            <w:tcW w:w="2240" w:type="dxa"/>
            <w:vAlign w:val="bottom"/>
          </w:tcPr>
          <w:p>
            <w:pPr>
              <w:ind w:left="560"/>
              <w:spacing w:after="0"/>
              <w:rPr>
                <w:sz w:val="20"/>
                <w:szCs w:val="20"/>
                <w:color w:val="auto"/>
              </w:rPr>
            </w:pPr>
            <w:r>
              <w:rPr>
                <w:rFonts w:ascii="Arial" w:cs="Arial" w:eastAsia="Arial" w:hAnsi="Arial"/>
                <w:sz w:val="13"/>
                <w:szCs w:val="13"/>
                <w:b w:val="1"/>
                <w:bCs w:val="1"/>
                <w:color w:val="52BBC1"/>
              </w:rPr>
              <w:t>Justin Thomson</w:t>
            </w:r>
          </w:p>
        </w:tc>
        <w:tc>
          <w:tcPr>
            <w:tcW w:w="1700" w:type="dxa"/>
            <w:vAlign w:val="bottom"/>
          </w:tcPr>
          <w:p>
            <w:pPr>
              <w:ind w:left="440"/>
              <w:spacing w:after="0"/>
              <w:rPr>
                <w:sz w:val="20"/>
                <w:szCs w:val="20"/>
                <w:color w:val="auto"/>
              </w:rPr>
            </w:pPr>
            <w:r>
              <w:rPr>
                <w:rFonts w:ascii="Arial" w:cs="Arial" w:eastAsia="Arial" w:hAnsi="Arial"/>
                <w:sz w:val="13"/>
                <w:szCs w:val="13"/>
                <w:b w:val="1"/>
                <w:bCs w:val="1"/>
                <w:color w:val="52BBC1"/>
              </w:rPr>
              <w:t>Eric L. Veiel</w:t>
            </w:r>
          </w:p>
        </w:tc>
      </w:tr>
      <w:tr>
        <w:trPr>
          <w:trHeight w:val="269"/>
        </w:trPr>
        <w:tc>
          <w:tcPr>
            <w:tcW w:w="1620" w:type="dxa"/>
            <w:vAlign w:val="bottom"/>
          </w:tcPr>
          <w:p>
            <w:pPr>
              <w:spacing w:after="0"/>
              <w:rPr>
                <w:sz w:val="20"/>
                <w:szCs w:val="20"/>
                <w:color w:val="auto"/>
              </w:rPr>
            </w:pPr>
            <w:r>
              <w:rPr>
                <w:rFonts w:ascii="Arial" w:cs="Arial" w:eastAsia="Arial" w:hAnsi="Arial"/>
                <w:sz w:val="13"/>
                <w:szCs w:val="13"/>
                <w:color w:val="auto"/>
              </w:rPr>
              <w:t>Chief Executive</w:t>
            </w:r>
          </w:p>
        </w:tc>
        <w:tc>
          <w:tcPr>
            <w:tcW w:w="2160" w:type="dxa"/>
            <w:vAlign w:val="bottom"/>
          </w:tcPr>
          <w:p>
            <w:pPr>
              <w:ind w:left="520"/>
              <w:spacing w:after="0"/>
              <w:rPr>
                <w:sz w:val="20"/>
                <w:szCs w:val="20"/>
                <w:color w:val="auto"/>
              </w:rPr>
            </w:pPr>
            <w:r>
              <w:rPr>
                <w:rFonts w:ascii="Arial" w:cs="Arial" w:eastAsia="Arial" w:hAnsi="Arial"/>
                <w:sz w:val="13"/>
                <w:szCs w:val="13"/>
                <w:color w:val="auto"/>
              </w:rPr>
              <w:t>Chief Financial</w:t>
            </w:r>
          </w:p>
        </w:tc>
        <w:tc>
          <w:tcPr>
            <w:tcW w:w="2080" w:type="dxa"/>
            <w:vAlign w:val="bottom"/>
          </w:tcPr>
          <w:p>
            <w:pPr>
              <w:ind w:left="500"/>
              <w:spacing w:after="0"/>
              <w:rPr>
                <w:sz w:val="20"/>
                <w:szCs w:val="20"/>
                <w:color w:val="auto"/>
              </w:rPr>
            </w:pPr>
            <w:r>
              <w:rPr>
                <w:rFonts w:ascii="Arial" w:cs="Arial" w:eastAsia="Arial" w:hAnsi="Arial"/>
                <w:sz w:val="13"/>
                <w:szCs w:val="13"/>
                <w:color w:val="auto"/>
              </w:rPr>
              <w:t>Chief Executive</w:t>
            </w:r>
          </w:p>
        </w:tc>
        <w:tc>
          <w:tcPr>
            <w:tcW w:w="2240" w:type="dxa"/>
            <w:vAlign w:val="bottom"/>
          </w:tcPr>
          <w:p>
            <w:pPr>
              <w:ind w:left="560"/>
              <w:spacing w:after="0"/>
              <w:rPr>
                <w:sz w:val="20"/>
                <w:szCs w:val="20"/>
                <w:color w:val="auto"/>
              </w:rPr>
            </w:pPr>
            <w:r>
              <w:rPr>
                <w:rFonts w:ascii="Arial" w:cs="Arial" w:eastAsia="Arial" w:hAnsi="Arial"/>
                <w:sz w:val="13"/>
                <w:szCs w:val="13"/>
                <w:color w:val="auto"/>
              </w:rPr>
              <w:t>Head of International</w:t>
            </w:r>
          </w:p>
        </w:tc>
        <w:tc>
          <w:tcPr>
            <w:tcW w:w="1700" w:type="dxa"/>
            <w:vAlign w:val="bottom"/>
          </w:tcPr>
          <w:p>
            <w:pPr>
              <w:ind w:left="440"/>
              <w:spacing w:after="0"/>
              <w:rPr>
                <w:sz w:val="20"/>
                <w:szCs w:val="20"/>
                <w:color w:val="auto"/>
              </w:rPr>
            </w:pPr>
            <w:r>
              <w:rPr>
                <w:rFonts w:ascii="Arial" w:cs="Arial" w:eastAsia="Arial" w:hAnsi="Arial"/>
                <w:sz w:val="13"/>
                <w:szCs w:val="13"/>
                <w:color w:val="auto"/>
              </w:rPr>
              <w:t>Head of Global</w:t>
            </w:r>
          </w:p>
        </w:tc>
      </w:tr>
      <w:tr>
        <w:trPr>
          <w:trHeight w:val="150"/>
        </w:trPr>
        <w:tc>
          <w:tcPr>
            <w:tcW w:w="1620" w:type="dxa"/>
            <w:vAlign w:val="bottom"/>
          </w:tcPr>
          <w:p>
            <w:pPr>
              <w:spacing w:after="0"/>
              <w:rPr>
                <w:sz w:val="20"/>
                <w:szCs w:val="20"/>
                <w:color w:val="auto"/>
              </w:rPr>
            </w:pPr>
            <w:r>
              <w:rPr>
                <w:rFonts w:ascii="Arial" w:cs="Arial" w:eastAsia="Arial" w:hAnsi="Arial"/>
                <w:sz w:val="13"/>
                <w:szCs w:val="13"/>
                <w:color w:val="auto"/>
              </w:rPr>
              <w:t>Officer and</w:t>
            </w:r>
          </w:p>
        </w:tc>
        <w:tc>
          <w:tcPr>
            <w:tcW w:w="2160" w:type="dxa"/>
            <w:vAlign w:val="bottom"/>
          </w:tcPr>
          <w:p>
            <w:pPr>
              <w:ind w:left="520"/>
              <w:spacing w:after="0"/>
              <w:rPr>
                <w:sz w:val="20"/>
                <w:szCs w:val="20"/>
                <w:color w:val="auto"/>
              </w:rPr>
            </w:pPr>
            <w:r>
              <w:rPr>
                <w:rFonts w:ascii="Arial" w:cs="Arial" w:eastAsia="Arial" w:hAnsi="Arial"/>
                <w:sz w:val="13"/>
                <w:szCs w:val="13"/>
                <w:color w:val="auto"/>
              </w:rPr>
              <w:t>Officer and</w:t>
            </w:r>
          </w:p>
        </w:tc>
        <w:tc>
          <w:tcPr>
            <w:tcW w:w="2080" w:type="dxa"/>
            <w:vAlign w:val="bottom"/>
          </w:tcPr>
          <w:p>
            <w:pPr>
              <w:ind w:left="500"/>
              <w:spacing w:after="0"/>
              <w:rPr>
                <w:sz w:val="20"/>
                <w:szCs w:val="20"/>
                <w:color w:val="auto"/>
              </w:rPr>
            </w:pPr>
            <w:r>
              <w:rPr>
                <w:rFonts w:ascii="Arial" w:cs="Arial" w:eastAsia="Arial" w:hAnsi="Arial"/>
                <w:sz w:val="13"/>
                <w:szCs w:val="13"/>
                <w:color w:val="auto"/>
              </w:rPr>
              <w:t>Officer of Oak Hill</w:t>
            </w:r>
          </w:p>
        </w:tc>
        <w:tc>
          <w:tcPr>
            <w:tcW w:w="2240" w:type="dxa"/>
            <w:vAlign w:val="bottom"/>
          </w:tcPr>
          <w:p>
            <w:pPr>
              <w:ind w:left="560"/>
              <w:spacing w:after="0"/>
              <w:rPr>
                <w:sz w:val="20"/>
                <w:szCs w:val="20"/>
                <w:color w:val="auto"/>
              </w:rPr>
            </w:pPr>
            <w:r>
              <w:rPr>
                <w:rFonts w:ascii="Arial" w:cs="Arial" w:eastAsia="Arial" w:hAnsi="Arial"/>
                <w:sz w:val="13"/>
                <w:szCs w:val="13"/>
                <w:color w:val="auto"/>
              </w:rPr>
              <w:t>Equity and CIO</w:t>
            </w:r>
          </w:p>
        </w:tc>
        <w:tc>
          <w:tcPr>
            <w:tcW w:w="1700" w:type="dxa"/>
            <w:vAlign w:val="bottom"/>
          </w:tcPr>
          <w:p>
            <w:pPr>
              <w:ind w:left="440"/>
              <w:spacing w:after="0"/>
              <w:rPr>
                <w:sz w:val="20"/>
                <w:szCs w:val="20"/>
                <w:color w:val="auto"/>
              </w:rPr>
            </w:pPr>
            <w:r>
              <w:rPr>
                <w:rFonts w:ascii="Arial" w:cs="Arial" w:eastAsia="Arial" w:hAnsi="Arial"/>
                <w:sz w:val="13"/>
                <w:szCs w:val="13"/>
                <w:color w:val="auto"/>
              </w:rPr>
              <w:t>Investments and CIO</w:t>
            </w:r>
          </w:p>
        </w:tc>
      </w:tr>
      <w:tr>
        <w:trPr>
          <w:trHeight w:val="175"/>
        </w:trPr>
        <w:tc>
          <w:tcPr>
            <w:tcW w:w="1620" w:type="dxa"/>
            <w:vAlign w:val="bottom"/>
          </w:tcPr>
          <w:p>
            <w:pPr>
              <w:spacing w:after="0"/>
              <w:rPr>
                <w:sz w:val="20"/>
                <w:szCs w:val="20"/>
                <w:color w:val="auto"/>
              </w:rPr>
            </w:pPr>
            <w:r>
              <w:rPr>
                <w:rFonts w:ascii="Arial" w:cs="Arial" w:eastAsia="Arial" w:hAnsi="Arial"/>
                <w:sz w:val="13"/>
                <w:szCs w:val="13"/>
                <w:color w:val="auto"/>
              </w:rPr>
              <w:t>President</w:t>
            </w:r>
          </w:p>
        </w:tc>
        <w:tc>
          <w:tcPr>
            <w:tcW w:w="2160" w:type="dxa"/>
            <w:vAlign w:val="bottom"/>
          </w:tcPr>
          <w:p>
            <w:pPr>
              <w:ind w:left="520"/>
              <w:spacing w:after="0"/>
              <w:rPr>
                <w:sz w:val="20"/>
                <w:szCs w:val="20"/>
                <w:color w:val="auto"/>
              </w:rPr>
            </w:pPr>
            <w:r>
              <w:rPr>
                <w:rFonts w:ascii="Arial" w:cs="Arial" w:eastAsia="Arial" w:hAnsi="Arial"/>
                <w:sz w:val="13"/>
                <w:szCs w:val="13"/>
                <w:color w:val="auto"/>
              </w:rPr>
              <w:t>Treasurer</w:t>
            </w:r>
          </w:p>
        </w:tc>
        <w:tc>
          <w:tcPr>
            <w:tcW w:w="2080" w:type="dxa"/>
            <w:vAlign w:val="bottom"/>
          </w:tcPr>
          <w:p>
            <w:pPr>
              <w:ind w:left="500"/>
              <w:spacing w:after="0"/>
              <w:rPr>
                <w:sz w:val="20"/>
                <w:szCs w:val="20"/>
                <w:color w:val="auto"/>
              </w:rPr>
            </w:pPr>
            <w:r>
              <w:rPr>
                <w:rFonts w:ascii="Arial" w:cs="Arial" w:eastAsia="Arial" w:hAnsi="Arial"/>
                <w:sz w:val="13"/>
                <w:szCs w:val="13"/>
                <w:color w:val="auto"/>
              </w:rPr>
              <w:t>Advisors, L.P.</w:t>
            </w:r>
          </w:p>
        </w:tc>
        <w:tc>
          <w:tcPr>
            <w:tcW w:w="2240" w:type="dxa"/>
            <w:vAlign w:val="bottom"/>
          </w:tcPr>
          <w:p>
            <w:pPr>
              <w:spacing w:after="0"/>
              <w:rPr>
                <w:sz w:val="15"/>
                <w:szCs w:val="15"/>
                <w:color w:val="auto"/>
              </w:rPr>
            </w:pPr>
          </w:p>
        </w:tc>
        <w:tc>
          <w:tcPr>
            <w:tcW w:w="1700" w:type="dxa"/>
            <w:vAlign w:val="bottom"/>
          </w:tcPr>
          <w:p>
            <w:pPr>
              <w:spacing w:after="0"/>
              <w:rPr>
                <w:sz w:val="15"/>
                <w:szCs w:val="15"/>
                <w:color w:val="auto"/>
              </w:rPr>
            </w:pP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221E1F"/>
        </w:rPr>
        <w:t>Executive Summary</w:t>
      </w:r>
    </w:p>
    <w:p>
      <w:pPr>
        <w:spacing w:after="0" w:line="224" w:lineRule="exact"/>
        <w:rPr>
          <w:sz w:val="20"/>
          <w:szCs w:val="20"/>
          <w:color w:val="auto"/>
        </w:rPr>
      </w:pPr>
    </w:p>
    <w:p>
      <w:pPr>
        <w:ind w:right="100"/>
        <w:spacing w:after="0" w:line="278" w:lineRule="auto"/>
        <w:rPr>
          <w:sz w:val="20"/>
          <w:szCs w:val="20"/>
          <w:color w:val="auto"/>
        </w:rPr>
      </w:pPr>
      <w:r>
        <w:rPr>
          <w:rFonts w:ascii="Arial" w:cs="Arial" w:eastAsia="Arial" w:hAnsi="Arial"/>
          <w:sz w:val="15"/>
          <w:szCs w:val="15"/>
          <w:color w:val="auto"/>
        </w:rPr>
        <w:t>Our compensation programs recognize and reward performance, with a focus on rewarding the achievements of our NEOs, as measured by a number of short-term and long-term factors. Those factors include:</w:t>
      </w:r>
    </w:p>
    <w:p>
      <w:pPr>
        <w:spacing w:after="0" w:line="150" w:lineRule="exact"/>
        <w:rPr>
          <w:sz w:val="20"/>
          <w:szCs w:val="20"/>
          <w:color w:val="auto"/>
        </w:rPr>
      </w:pPr>
    </w:p>
    <w:p>
      <w:pPr>
        <w:ind w:left="240" w:hanging="240"/>
        <w:spacing w:after="0"/>
        <w:tabs>
          <w:tab w:leader="none" w:pos="240" w:val="left"/>
        </w:tabs>
        <w:numPr>
          <w:ilvl w:val="0"/>
          <w:numId w:val="58"/>
        </w:numPr>
        <w:rPr>
          <w:rFonts w:ascii="Arial" w:cs="Arial" w:eastAsia="Arial" w:hAnsi="Arial"/>
          <w:sz w:val="15"/>
          <w:szCs w:val="15"/>
          <w:color w:val="28C0DA"/>
        </w:rPr>
      </w:pPr>
      <w:r>
        <w:rPr>
          <w:rFonts w:ascii="Arial" w:cs="Arial" w:eastAsia="Arial" w:hAnsi="Arial"/>
          <w:sz w:val="15"/>
          <w:szCs w:val="15"/>
          <w:color w:val="auto"/>
        </w:rPr>
        <w:t>the financial performance and financial stability of Price Group;</w:t>
      </w:r>
    </w:p>
    <w:p>
      <w:pPr>
        <w:spacing w:after="0" w:line="89" w:lineRule="exact"/>
        <w:rPr>
          <w:rFonts w:ascii="Arial" w:cs="Arial" w:eastAsia="Arial" w:hAnsi="Arial"/>
          <w:sz w:val="15"/>
          <w:szCs w:val="15"/>
          <w:color w:val="28C0DA"/>
        </w:rPr>
      </w:pPr>
    </w:p>
    <w:p>
      <w:pPr>
        <w:ind w:left="240" w:hanging="240"/>
        <w:spacing w:after="0"/>
        <w:tabs>
          <w:tab w:leader="none" w:pos="240" w:val="left"/>
        </w:tabs>
        <w:numPr>
          <w:ilvl w:val="0"/>
          <w:numId w:val="58"/>
        </w:numPr>
        <w:rPr>
          <w:rFonts w:ascii="Arial" w:cs="Arial" w:eastAsia="Arial" w:hAnsi="Arial"/>
          <w:sz w:val="15"/>
          <w:szCs w:val="15"/>
          <w:color w:val="28C0DA"/>
        </w:rPr>
      </w:pPr>
      <w:r>
        <w:rPr>
          <w:rFonts w:ascii="Arial" w:cs="Arial" w:eastAsia="Arial" w:hAnsi="Arial"/>
          <w:sz w:val="15"/>
          <w:szCs w:val="15"/>
          <w:color w:val="auto"/>
        </w:rPr>
        <w:t>relative investment performance of our investment products; and</w:t>
      </w:r>
    </w:p>
    <w:p>
      <w:pPr>
        <w:spacing w:after="0" w:line="89" w:lineRule="exact"/>
        <w:rPr>
          <w:rFonts w:ascii="Arial" w:cs="Arial" w:eastAsia="Arial" w:hAnsi="Arial"/>
          <w:sz w:val="15"/>
          <w:szCs w:val="15"/>
          <w:color w:val="28C0DA"/>
        </w:rPr>
      </w:pPr>
    </w:p>
    <w:p>
      <w:pPr>
        <w:ind w:left="240" w:hanging="240"/>
        <w:spacing w:after="0"/>
        <w:tabs>
          <w:tab w:leader="none" w:pos="240" w:val="left"/>
        </w:tabs>
        <w:numPr>
          <w:ilvl w:val="0"/>
          <w:numId w:val="58"/>
        </w:numPr>
        <w:rPr>
          <w:rFonts w:ascii="Arial" w:cs="Arial" w:eastAsia="Arial" w:hAnsi="Arial"/>
          <w:sz w:val="15"/>
          <w:szCs w:val="15"/>
          <w:color w:val="28C0DA"/>
        </w:rPr>
      </w:pPr>
      <w:r>
        <w:rPr>
          <w:rFonts w:ascii="Arial" w:cs="Arial" w:eastAsia="Arial" w:hAnsi="Arial"/>
          <w:sz w:val="15"/>
          <w:szCs w:val="15"/>
          <w:color w:val="auto"/>
        </w:rPr>
        <w:t>performance of our NEOs against pre-determined corporate and individual goals.</w:t>
      </w:r>
    </w:p>
    <w:p>
      <w:pPr>
        <w:spacing w:after="0" w:line="202" w:lineRule="exact"/>
        <w:rPr>
          <w:sz w:val="20"/>
          <w:szCs w:val="20"/>
          <w:color w:val="auto"/>
        </w:rPr>
      </w:pPr>
    </w:p>
    <w:p>
      <w:pPr>
        <w:ind w:right="120"/>
        <w:spacing w:after="0" w:line="255" w:lineRule="auto"/>
        <w:rPr>
          <w:sz w:val="20"/>
          <w:szCs w:val="20"/>
          <w:color w:val="auto"/>
        </w:rPr>
      </w:pPr>
      <w:r>
        <w:rPr>
          <w:rFonts w:ascii="Arial" w:cs="Arial" w:eastAsia="Arial" w:hAnsi="Arial"/>
          <w:sz w:val="15"/>
          <w:szCs w:val="15"/>
          <w:color w:val="auto"/>
        </w:rPr>
        <w:t>Our compensation programs also reward NEOs for their contributions to the Company's culture, service quality, customer retention, risk management, corporate reputation and to the quality and collaboration of our associates. A significant portion of our NEO compensation is performance-based and includes a material long-term incentive component tied to either Company stock performance or in the case of Messrs. Thomson and August, tied to investment performance of certain Company sponsored investment products.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44F"/>
        </w:rPr>
        <w:t>2023 Compensation Decisions for Our Chief Executive Officer and Other NEOs</w:t>
      </w:r>
    </w:p>
    <w:p>
      <w:pPr>
        <w:spacing w:after="0" w:line="212" w:lineRule="exact"/>
        <w:rPr>
          <w:sz w:val="20"/>
          <w:szCs w:val="20"/>
          <w:color w:val="auto"/>
        </w:rPr>
      </w:pPr>
    </w:p>
    <w:p>
      <w:pPr>
        <w:ind w:right="40"/>
        <w:spacing w:after="0" w:line="261" w:lineRule="auto"/>
        <w:rPr>
          <w:sz w:val="20"/>
          <w:szCs w:val="20"/>
          <w:color w:val="auto"/>
        </w:rPr>
      </w:pPr>
      <w:r>
        <w:rPr>
          <w:rFonts w:ascii="Arial" w:cs="Arial" w:eastAsia="Arial" w:hAnsi="Arial"/>
          <w:sz w:val="15"/>
          <w:szCs w:val="15"/>
          <w:color w:val="auto"/>
        </w:rPr>
        <w:t>Base salary is the smallest component of overall NEO compensation, with variable performance-based pay delivered in annual variable incentives and long-term variable awards representing most of their compensation. The compensation mix awarded this year to our CEO and President and other NEOs reflects this performance-based compensation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5856605" cy="15951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856605" cy="1595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60" w:type="dxa"/>
            <w:vAlign w:val="bottom"/>
          </w:tcPr>
          <w:p>
            <w:pPr>
              <w:ind w:left="9620"/>
              <w:spacing w:after="0"/>
              <w:rPr>
                <w:sz w:val="20"/>
                <w:szCs w:val="20"/>
                <w:color w:val="auto"/>
              </w:rPr>
            </w:pPr>
            <w:r>
              <w:rPr>
                <w:rFonts w:ascii="Times New Roman" w:cs="Times New Roman" w:eastAsia="Times New Roman" w:hAnsi="Times New Roman"/>
                <w:sz w:val="13"/>
                <w:szCs w:val="13"/>
                <w:b w:val="1"/>
                <w:bCs w:val="1"/>
                <w:color w:val="auto"/>
              </w:rPr>
              <w:t xml:space="preserve">2024 </w:t>
            </w:r>
            <w:r>
              <w:rPr>
                <w:rFonts w:ascii="Times New Roman" w:cs="Times New Roman" w:eastAsia="Times New Roman" w:hAnsi="Times New Roman"/>
                <w:sz w:val="13"/>
                <w:szCs w:val="13"/>
                <w:color w:val="auto"/>
              </w:rPr>
              <w:t>Proxy Statement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244F"/>
              </w:rPr>
              <w:t>41</w:t>
            </w:r>
          </w:p>
        </w:tc>
      </w:tr>
      <w:tr>
        <w:trPr>
          <w:trHeight w:val="385"/>
        </w:trPr>
        <w:tc>
          <w:tcPr>
            <w:tcW w:w="10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3"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u w:val="single" w:color="auto"/>
          <w:color w:val="0000EE"/>
        </w:rPr>
        <w:t>Table of Contents</w:t>
      </w:r>
    </w:p>
    <w:p>
      <w:pPr>
        <w:spacing w:after="0" w:line="396" w:lineRule="exact"/>
        <w:rPr>
          <w:sz w:val="20"/>
          <w:szCs w:val="20"/>
          <w:color w:val="auto"/>
        </w:rPr>
      </w:pPr>
    </w:p>
    <w:p>
      <w:pPr>
        <w:ind w:left="180" w:right="20" w:hanging="180"/>
        <w:spacing w:after="0" w:line="255" w:lineRule="auto"/>
        <w:tabs>
          <w:tab w:leader="none" w:pos="180" w:val="left"/>
        </w:tabs>
        <w:numPr>
          <w:ilvl w:val="0"/>
          <w:numId w:val="59"/>
        </w:numPr>
        <w:rPr>
          <w:rFonts w:ascii="Arial" w:cs="Arial" w:eastAsia="Arial" w:hAnsi="Arial"/>
          <w:sz w:val="15"/>
          <w:szCs w:val="15"/>
          <w:color w:val="28C0DA"/>
        </w:rPr>
      </w:pPr>
      <w:r>
        <w:rPr>
          <w:rFonts w:ascii="Arial" w:cs="Arial" w:eastAsia="Arial" w:hAnsi="Arial"/>
          <w:sz w:val="15"/>
          <w:szCs w:val="15"/>
          <w:color w:val="auto"/>
        </w:rPr>
        <w:t>For 2023, Mr. Sharps' total compensation decreased 7.2% over the prior year resulting from a decline in both the value of his annual bonus and long-term equity awards. The lower total compensation aligns with the Company's overall performance during 2023, though consideration was also given to Mr. Sharps' contributions to the achievement of longer-term financial and strategic results discussed below. Consideration was also given to Mr. Sharps' pay relative to his industry peers and the anticipated reduction of competitive compensation for industry peers during the current market cycle.</w:t>
      </w:r>
    </w:p>
    <w:p>
      <w:pPr>
        <w:spacing w:after="0" w:line="54" w:lineRule="exact"/>
        <w:rPr>
          <w:rFonts w:ascii="Arial" w:cs="Arial" w:eastAsia="Arial" w:hAnsi="Arial"/>
          <w:sz w:val="15"/>
          <w:szCs w:val="15"/>
          <w:color w:val="28C0DA"/>
        </w:rPr>
      </w:pPr>
    </w:p>
    <w:p>
      <w:pPr>
        <w:ind w:left="180" w:right="40" w:hanging="180"/>
        <w:spacing w:after="0" w:line="278" w:lineRule="auto"/>
        <w:tabs>
          <w:tab w:leader="none" w:pos="180" w:val="left"/>
        </w:tabs>
        <w:numPr>
          <w:ilvl w:val="0"/>
          <w:numId w:val="59"/>
        </w:numPr>
        <w:rPr>
          <w:rFonts w:ascii="Arial" w:cs="Arial" w:eastAsia="Arial" w:hAnsi="Arial"/>
          <w:sz w:val="15"/>
          <w:szCs w:val="15"/>
          <w:color w:val="28C0DA"/>
        </w:rPr>
      </w:pPr>
      <w:r>
        <w:rPr>
          <w:rFonts w:ascii="Arial" w:cs="Arial" w:eastAsia="Arial" w:hAnsi="Arial"/>
          <w:sz w:val="15"/>
          <w:szCs w:val="15"/>
          <w:color w:val="auto"/>
        </w:rPr>
        <w:t>Annual compensation for Ms. Dardis and Messrs. Thomson and Veiel also decreased in 2023, consistent with Company financial performance and relative investment performance during the year.</w:t>
      </w:r>
    </w:p>
    <w:p>
      <w:pPr>
        <w:spacing w:after="0" w:line="37" w:lineRule="exact"/>
        <w:rPr>
          <w:rFonts w:ascii="Arial" w:cs="Arial" w:eastAsia="Arial" w:hAnsi="Arial"/>
          <w:sz w:val="15"/>
          <w:szCs w:val="15"/>
          <w:color w:val="28C0DA"/>
        </w:rPr>
      </w:pPr>
    </w:p>
    <w:p>
      <w:pPr>
        <w:ind w:left="180" w:hanging="180"/>
        <w:spacing w:after="0" w:line="261" w:lineRule="auto"/>
        <w:tabs>
          <w:tab w:leader="none" w:pos="180" w:val="left"/>
        </w:tabs>
        <w:numPr>
          <w:ilvl w:val="0"/>
          <w:numId w:val="59"/>
        </w:numPr>
        <w:rPr>
          <w:rFonts w:ascii="Arial" w:cs="Arial" w:eastAsia="Arial" w:hAnsi="Arial"/>
          <w:sz w:val="15"/>
          <w:szCs w:val="15"/>
          <w:color w:val="28C0DA"/>
        </w:rPr>
      </w:pPr>
      <w:r>
        <w:rPr>
          <w:rFonts w:ascii="Arial" w:cs="Arial" w:eastAsia="Arial" w:hAnsi="Arial"/>
          <w:sz w:val="15"/>
          <w:szCs w:val="15"/>
          <w:color w:val="auto"/>
        </w:rPr>
        <w:t>Our AICP in which the majority of our NEOs participate, is funded as a percentage of net operating income (adjusted), and long-term variable awards granted to nearly all of the NEOs were split equally between performance-based RSUs subject to a three-year performance goal followed by two-year time based vesting, and time-based RSUs subject to a three-year vesting schedule.</w:t>
      </w:r>
    </w:p>
    <w:p>
      <w:pPr>
        <w:spacing w:after="0" w:line="49" w:lineRule="exact"/>
        <w:rPr>
          <w:rFonts w:ascii="Arial" w:cs="Arial" w:eastAsia="Arial" w:hAnsi="Arial"/>
          <w:sz w:val="15"/>
          <w:szCs w:val="15"/>
          <w:color w:val="28C0DA"/>
        </w:rPr>
      </w:pPr>
    </w:p>
    <w:p>
      <w:pPr>
        <w:ind w:left="180" w:right="480" w:hanging="180"/>
        <w:spacing w:after="0" w:line="278" w:lineRule="auto"/>
        <w:tabs>
          <w:tab w:leader="none" w:pos="180" w:val="left"/>
        </w:tabs>
        <w:numPr>
          <w:ilvl w:val="0"/>
          <w:numId w:val="59"/>
        </w:numPr>
        <w:rPr>
          <w:rFonts w:ascii="Arial" w:cs="Arial" w:eastAsia="Arial" w:hAnsi="Arial"/>
          <w:sz w:val="15"/>
          <w:szCs w:val="15"/>
          <w:color w:val="28C0DA"/>
        </w:rPr>
      </w:pPr>
      <w:r>
        <w:rPr>
          <w:rFonts w:ascii="Arial" w:cs="Arial" w:eastAsia="Arial" w:hAnsi="Arial"/>
          <w:sz w:val="15"/>
          <w:szCs w:val="15"/>
          <w:color w:val="auto"/>
        </w:rPr>
        <w:t>Annual compensation for Mr. August includes a separate bonus opportunity and long-term variable compensation components due to his leadership of our OHA subsidiary and is determined separately from our other NEOs, as described further below.</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44F"/>
        </w:rPr>
        <w:t>Executive Compensation Practices</w:t>
      </w:r>
    </w:p>
    <w:p>
      <w:pPr>
        <w:spacing w:after="0" w:line="212" w:lineRule="exact"/>
        <w:rPr>
          <w:sz w:val="20"/>
          <w:szCs w:val="20"/>
          <w:color w:val="auto"/>
        </w:rPr>
      </w:pPr>
    </w:p>
    <w:p>
      <w:pPr>
        <w:spacing w:after="0" w:line="252" w:lineRule="auto"/>
        <w:rPr>
          <w:sz w:val="20"/>
          <w:szCs w:val="20"/>
          <w:color w:val="auto"/>
        </w:rPr>
      </w:pPr>
      <w:r>
        <w:rPr>
          <w:rFonts w:ascii="Arial" w:cs="Arial" w:eastAsia="Arial" w:hAnsi="Arial"/>
          <w:sz w:val="15"/>
          <w:szCs w:val="15"/>
          <w:color w:val="auto"/>
        </w:rPr>
        <w:t>At the 2023 Annual Meeting, our stockholders cast a nonbinding advisory vote on the compensation of the NEOs. Approximately 85% of the shares voted at the 2023 Annual Meeting approved the 2022 compensation paid to our NEOs. The Compensation Committee welcomed this feedback and considered this outcome supportive of our approach to executive compensation. Our Compensation Committee considers the results of this say-on-pay vote in connection with setting our overall compensation philosophy, policies, and structure. The Compensation Committee continues to implement and maintain practices in our compensation programs and related areas that reflect responsible corporate governance practices. These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142480" cy="3409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2480" cy="340995"/>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5"/>
          <w:szCs w:val="15"/>
          <w:b w:val="1"/>
          <w:bCs w:val="1"/>
          <w:color w:val="00244F"/>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7142480" cy="23190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2480" cy="2319020"/>
                    </a:xfrm>
                    <a:prstGeom prst="rect">
                      <a:avLst/>
                    </a:prstGeom>
                    <a:noFill/>
                  </pic:spPr>
                </pic:pic>
              </a:graphicData>
            </a:graphic>
          </wp:anchor>
        </w:drawing>
      </w:r>
    </w:p>
    <w:p>
      <w:pPr>
        <w:spacing w:after="0"/>
        <w:rPr>
          <w:sz w:val="20"/>
          <w:szCs w:val="20"/>
          <w:color w:val="auto"/>
        </w:rPr>
      </w:pPr>
      <w:r>
        <w:rPr>
          <w:rFonts w:ascii="Webdings" w:cs="Webdings" w:eastAsia="Webdings" w:hAnsi="Webdings"/>
          <w:sz w:val="18"/>
          <w:szCs w:val="18"/>
          <w:b w:val="1"/>
          <w:bCs w:val="1"/>
          <w:color w:val="00244F"/>
        </w:rPr>
        <w:t>a</w:t>
      </w:r>
      <w:r>
        <w:rPr>
          <w:rFonts w:ascii="Arial" w:cs="Arial" w:eastAsia="Arial" w:hAnsi="Arial"/>
          <w:sz w:val="18"/>
          <w:szCs w:val="18"/>
          <w:color w:val="00244F"/>
        </w:rPr>
        <w:t>  </w:t>
      </w:r>
      <w:r>
        <w:rPr>
          <w:rFonts w:ascii="Arial" w:cs="Arial" w:eastAsia="Arial" w:hAnsi="Arial"/>
          <w:sz w:val="14"/>
          <w:szCs w:val="14"/>
          <w:color w:val="00244F"/>
        </w:rPr>
        <w:t>Include all independent directors on the Compensation Committee.</w:t>
      </w:r>
    </w:p>
    <w:p>
      <w:pPr>
        <w:spacing w:after="0" w:line="84" w:lineRule="exact"/>
        <w:rPr>
          <w:sz w:val="20"/>
          <w:szCs w:val="20"/>
          <w:color w:val="auto"/>
        </w:rPr>
      </w:pPr>
    </w:p>
    <w:p>
      <w:pPr>
        <w:ind w:left="240" w:right="260" w:hanging="239"/>
        <w:spacing w:after="0" w:line="287" w:lineRule="auto"/>
        <w:rPr>
          <w:sz w:val="20"/>
          <w:szCs w:val="20"/>
          <w:color w:val="auto"/>
        </w:rPr>
      </w:pPr>
      <w:r>
        <w:rPr>
          <w:rFonts w:ascii="Webdings" w:cs="Webdings" w:eastAsia="Webdings" w:hAnsi="Webdings"/>
          <w:sz w:val="18"/>
          <w:szCs w:val="18"/>
          <w:b w:val="1"/>
          <w:bCs w:val="1"/>
          <w:color w:val="00244F"/>
        </w:rPr>
        <w:t>a</w:t>
      </w:r>
      <w:r>
        <w:rPr>
          <w:rFonts w:ascii="Arial" w:cs="Arial" w:eastAsia="Arial" w:hAnsi="Arial"/>
          <w:sz w:val="14"/>
          <w:szCs w:val="14"/>
          <w:color w:val="00244F"/>
        </w:rPr>
        <w:t>  Impose stock ownership and retention requirements on our independent directors, executive officers,</w:t>
      </w:r>
      <w:r>
        <w:rPr>
          <w:rFonts w:ascii="Webdings" w:cs="Webdings" w:eastAsia="Webdings" w:hAnsi="Webdings"/>
          <w:sz w:val="18"/>
          <w:szCs w:val="18"/>
          <w:b w:val="1"/>
          <w:bCs w:val="1"/>
          <w:color w:val="00244F"/>
        </w:rPr>
        <w:t xml:space="preserve"> </w:t>
      </w:r>
      <w:r>
        <w:rPr>
          <w:rFonts w:ascii="Arial" w:cs="Arial" w:eastAsia="Arial" w:hAnsi="Arial"/>
          <w:sz w:val="14"/>
          <w:szCs w:val="14"/>
          <w:color w:val="00244F"/>
        </w:rPr>
        <w:t>and other select members of senior management.</w:t>
      </w:r>
    </w:p>
    <w:p>
      <w:pPr>
        <w:spacing w:after="0" w:line="30" w:lineRule="exact"/>
        <w:rPr>
          <w:sz w:val="20"/>
          <w:szCs w:val="20"/>
          <w:color w:val="auto"/>
        </w:rPr>
      </w:pPr>
    </w:p>
    <w:p>
      <w:pPr>
        <w:ind w:left="240" w:right="680" w:hanging="239"/>
        <w:spacing w:after="0" w:line="256" w:lineRule="auto"/>
        <w:rPr>
          <w:sz w:val="20"/>
          <w:szCs w:val="20"/>
          <w:color w:val="auto"/>
        </w:rPr>
      </w:pPr>
      <w:r>
        <w:rPr>
          <w:rFonts w:ascii="Webdings" w:cs="Webdings" w:eastAsia="Webdings" w:hAnsi="Webdings"/>
          <w:sz w:val="18"/>
          <w:szCs w:val="18"/>
          <w:b w:val="1"/>
          <w:bCs w:val="1"/>
          <w:color w:val="00244F"/>
        </w:rPr>
        <w:t>a</w:t>
      </w:r>
      <w:r>
        <w:rPr>
          <w:rFonts w:ascii="Arial" w:cs="Arial" w:eastAsia="Arial" w:hAnsi="Arial"/>
          <w:sz w:val="14"/>
          <w:szCs w:val="14"/>
          <w:color w:val="00244F"/>
        </w:rPr>
        <w:t>  Emphasize variable compensation based on performance, including long-term equity incentive</w:t>
      </w:r>
      <w:r>
        <w:rPr>
          <w:rFonts w:ascii="Webdings" w:cs="Webdings" w:eastAsia="Webdings" w:hAnsi="Webdings"/>
          <w:sz w:val="18"/>
          <w:szCs w:val="18"/>
          <w:b w:val="1"/>
          <w:bCs w:val="1"/>
          <w:color w:val="00244F"/>
        </w:rPr>
        <w:t xml:space="preserve"> </w:t>
      </w:r>
      <w:r>
        <w:rPr>
          <w:rFonts w:ascii="Arial" w:cs="Arial" w:eastAsia="Arial" w:hAnsi="Arial"/>
          <w:sz w:val="14"/>
          <w:szCs w:val="14"/>
          <w:color w:val="00244F"/>
        </w:rPr>
        <w:t>compensation.</w:t>
      </w:r>
    </w:p>
    <w:p>
      <w:pPr>
        <w:spacing w:after="0" w:line="66" w:lineRule="exact"/>
        <w:rPr>
          <w:sz w:val="20"/>
          <w:szCs w:val="20"/>
          <w:color w:val="auto"/>
        </w:rPr>
      </w:pPr>
    </w:p>
    <w:p>
      <w:pPr>
        <w:ind w:left="240" w:right="440" w:hanging="239"/>
        <w:spacing w:after="0" w:line="256" w:lineRule="auto"/>
        <w:rPr>
          <w:sz w:val="20"/>
          <w:szCs w:val="20"/>
          <w:color w:val="auto"/>
        </w:rPr>
      </w:pPr>
      <w:r>
        <w:rPr>
          <w:rFonts w:ascii="Webdings" w:cs="Webdings" w:eastAsia="Webdings" w:hAnsi="Webdings"/>
          <w:sz w:val="18"/>
          <w:szCs w:val="18"/>
          <w:b w:val="1"/>
          <w:bCs w:val="1"/>
          <w:color w:val="00244F"/>
        </w:rPr>
        <w:t>a</w:t>
      </w:r>
      <w:r>
        <w:rPr>
          <w:rFonts w:ascii="Arial" w:cs="Arial" w:eastAsia="Arial" w:hAnsi="Arial"/>
          <w:sz w:val="14"/>
          <w:szCs w:val="14"/>
          <w:color w:val="00244F"/>
        </w:rPr>
        <w:t>  Grant 50% of NEOs’ long-term equity award value as performance-based RSUs, with a three-year</w:t>
      </w:r>
      <w:r>
        <w:rPr>
          <w:rFonts w:ascii="Webdings" w:cs="Webdings" w:eastAsia="Webdings" w:hAnsi="Webdings"/>
          <w:sz w:val="18"/>
          <w:szCs w:val="18"/>
          <w:b w:val="1"/>
          <w:bCs w:val="1"/>
          <w:color w:val="00244F"/>
        </w:rPr>
        <w:t xml:space="preserve"> </w:t>
      </w:r>
      <w:r>
        <w:rPr>
          <w:rFonts w:ascii="Arial" w:cs="Arial" w:eastAsia="Arial" w:hAnsi="Arial"/>
          <w:sz w:val="14"/>
          <w:szCs w:val="14"/>
          <w:color w:val="00244F"/>
        </w:rPr>
        <w:t>objective performance goal and two additional years of time-based vesting.</w:t>
      </w:r>
    </w:p>
    <w:p>
      <w:pPr>
        <w:spacing w:after="0" w:line="66" w:lineRule="exact"/>
        <w:rPr>
          <w:sz w:val="20"/>
          <w:szCs w:val="20"/>
          <w:color w:val="auto"/>
        </w:rPr>
      </w:pPr>
    </w:p>
    <w:p>
      <w:pPr>
        <w:ind w:left="240" w:right="200" w:hanging="239"/>
        <w:spacing w:after="0" w:line="287" w:lineRule="auto"/>
        <w:rPr>
          <w:sz w:val="20"/>
          <w:szCs w:val="20"/>
          <w:color w:val="auto"/>
        </w:rPr>
      </w:pPr>
      <w:r>
        <w:rPr>
          <w:rFonts w:ascii="Webdings" w:cs="Webdings" w:eastAsia="Webdings" w:hAnsi="Webdings"/>
          <w:sz w:val="18"/>
          <w:szCs w:val="18"/>
          <w:b w:val="1"/>
          <w:bCs w:val="1"/>
          <w:color w:val="00244F"/>
        </w:rPr>
        <w:t>a</w:t>
      </w:r>
      <w:r>
        <w:rPr>
          <w:rFonts w:ascii="Arial" w:cs="Arial" w:eastAsia="Arial" w:hAnsi="Arial"/>
          <w:sz w:val="14"/>
          <w:szCs w:val="14"/>
          <w:color w:val="00244F"/>
        </w:rPr>
        <w:t>  Impose double-trigger vesting on acceleration of awards granted under our 2020 Long-Term Incentive</w:t>
      </w:r>
      <w:r>
        <w:rPr>
          <w:rFonts w:ascii="Webdings" w:cs="Webdings" w:eastAsia="Webdings" w:hAnsi="Webdings"/>
          <w:sz w:val="18"/>
          <w:szCs w:val="18"/>
          <w:b w:val="1"/>
          <w:bCs w:val="1"/>
          <w:color w:val="00244F"/>
        </w:rPr>
        <w:t xml:space="preserve"> </w:t>
      </w:r>
      <w:r>
        <w:rPr>
          <w:rFonts w:ascii="Arial" w:cs="Arial" w:eastAsia="Arial" w:hAnsi="Arial"/>
          <w:sz w:val="14"/>
          <w:szCs w:val="14"/>
          <w:color w:val="00244F"/>
        </w:rPr>
        <w:t>Plan (2020 Plan) in the event we are acquired by another company.</w:t>
      </w:r>
    </w:p>
    <w:p>
      <w:pPr>
        <w:spacing w:after="0" w:line="30" w:lineRule="exact"/>
        <w:rPr>
          <w:sz w:val="20"/>
          <w:szCs w:val="20"/>
          <w:color w:val="auto"/>
        </w:rPr>
      </w:pPr>
    </w:p>
    <w:p>
      <w:pPr>
        <w:ind w:left="240" w:right="40" w:hanging="239"/>
        <w:spacing w:after="0" w:line="287" w:lineRule="auto"/>
        <w:rPr>
          <w:sz w:val="20"/>
          <w:szCs w:val="20"/>
          <w:color w:val="auto"/>
        </w:rPr>
      </w:pPr>
      <w:r>
        <w:rPr>
          <w:rFonts w:ascii="Webdings" w:cs="Webdings" w:eastAsia="Webdings" w:hAnsi="Webdings"/>
          <w:sz w:val="18"/>
          <w:szCs w:val="18"/>
          <w:b w:val="1"/>
          <w:bCs w:val="1"/>
          <w:color w:val="00244F"/>
        </w:rPr>
        <w:t>a</w:t>
      </w:r>
      <w:r>
        <w:rPr>
          <w:rFonts w:ascii="Arial" w:cs="Arial" w:eastAsia="Arial" w:hAnsi="Arial"/>
          <w:sz w:val="14"/>
          <w:szCs w:val="14"/>
          <w:color w:val="00244F"/>
        </w:rPr>
        <w:t>  Engage an independent compensation consultant who provides services only to the Board and provides</w:t>
      </w:r>
      <w:r>
        <w:rPr>
          <w:rFonts w:ascii="Webdings" w:cs="Webdings" w:eastAsia="Webdings" w:hAnsi="Webdings"/>
          <w:sz w:val="18"/>
          <w:szCs w:val="18"/>
          <w:b w:val="1"/>
          <w:bCs w:val="1"/>
          <w:color w:val="00244F"/>
        </w:rPr>
        <w:t xml:space="preserve"> </w:t>
      </w:r>
      <w:r>
        <w:rPr>
          <w:rFonts w:ascii="Arial" w:cs="Arial" w:eastAsia="Arial" w:hAnsi="Arial"/>
          <w:sz w:val="14"/>
          <w:szCs w:val="14"/>
          <w:color w:val="00244F"/>
        </w:rPr>
        <w:t>no other services to the Company or its management.</w:t>
      </w:r>
    </w:p>
    <w:p>
      <w:pPr>
        <w:spacing w:after="0" w:line="42" w:lineRule="exact"/>
        <w:rPr>
          <w:sz w:val="20"/>
          <w:szCs w:val="20"/>
          <w:color w:val="auto"/>
        </w:rPr>
      </w:pPr>
    </w:p>
    <w:p>
      <w:pPr>
        <w:ind w:left="240" w:hanging="239"/>
        <w:spacing w:after="0" w:line="256" w:lineRule="auto"/>
        <w:rPr>
          <w:sz w:val="20"/>
          <w:szCs w:val="20"/>
          <w:color w:val="auto"/>
        </w:rPr>
      </w:pPr>
      <w:r>
        <w:rPr>
          <w:rFonts w:ascii="Webdings" w:cs="Webdings" w:eastAsia="Webdings" w:hAnsi="Webdings"/>
          <w:sz w:val="18"/>
          <w:szCs w:val="18"/>
          <w:b w:val="1"/>
          <w:bCs w:val="1"/>
          <w:color w:val="00244F"/>
        </w:rPr>
        <w:t>a</w:t>
      </w:r>
      <w:r>
        <w:rPr>
          <w:rFonts w:ascii="Arial" w:cs="Arial" w:eastAsia="Arial" w:hAnsi="Arial"/>
          <w:sz w:val="14"/>
          <w:szCs w:val="14"/>
          <w:color w:val="00244F"/>
        </w:rPr>
        <w:t>  Use a comprehensive risk management program designed to identify, evaluate, and control risks and our</w:t>
      </w:r>
      <w:r>
        <w:rPr>
          <w:rFonts w:ascii="Webdings" w:cs="Webdings" w:eastAsia="Webdings" w:hAnsi="Webdings"/>
          <w:sz w:val="18"/>
          <w:szCs w:val="18"/>
          <w:b w:val="1"/>
          <w:bCs w:val="1"/>
          <w:color w:val="00244F"/>
        </w:rPr>
        <w:t xml:space="preserve"> </w:t>
      </w:r>
      <w:r>
        <w:rPr>
          <w:rFonts w:ascii="Arial" w:cs="Arial" w:eastAsia="Arial" w:hAnsi="Arial"/>
          <w:sz w:val="14"/>
          <w:szCs w:val="14"/>
          <w:color w:val="00244F"/>
        </w:rPr>
        <w:t>compensation and stock ownership programs work within this risk management framework.</w:t>
      </w:r>
    </w:p>
    <w:p>
      <w:pPr>
        <w:spacing w:after="0" w:line="44" w:lineRule="exact"/>
        <w:rPr>
          <w:sz w:val="20"/>
          <w:szCs w:val="20"/>
          <w:color w:val="auto"/>
        </w:rPr>
      </w:pPr>
    </w:p>
    <w:p>
      <w:pPr>
        <w:ind w:left="240" w:right="260" w:hanging="239"/>
        <w:spacing w:after="0" w:line="269" w:lineRule="auto"/>
        <w:rPr>
          <w:sz w:val="20"/>
          <w:szCs w:val="20"/>
          <w:color w:val="auto"/>
        </w:rPr>
      </w:pPr>
      <w:r>
        <w:rPr>
          <w:rFonts w:ascii="Webdings" w:cs="Webdings" w:eastAsia="Webdings" w:hAnsi="Webdings"/>
          <w:sz w:val="18"/>
          <w:szCs w:val="18"/>
          <w:b w:val="1"/>
          <w:bCs w:val="1"/>
          <w:color w:val="00244F"/>
        </w:rPr>
        <w:t>a</w:t>
      </w:r>
      <w:r>
        <w:rPr>
          <w:rFonts w:ascii="Arial" w:cs="Arial" w:eastAsia="Arial" w:hAnsi="Arial"/>
          <w:sz w:val="18"/>
          <w:szCs w:val="18"/>
          <w:color w:val="00244F"/>
        </w:rPr>
        <w:t>  </w:t>
      </w:r>
      <w:r>
        <w:rPr>
          <w:rFonts w:ascii="Arial" w:cs="Arial" w:eastAsia="Arial" w:hAnsi="Arial"/>
          <w:sz w:val="14"/>
          <w:szCs w:val="14"/>
          <w:color w:val="00244F"/>
        </w:rPr>
        <w:t>Have recoupment policies for both cash and equity incentive compensation in place for executive</w:t>
      </w:r>
      <w:r>
        <w:rPr>
          <w:rFonts w:ascii="Webdings" w:cs="Webdings" w:eastAsia="Webdings" w:hAnsi="Webdings"/>
          <w:sz w:val="18"/>
          <w:szCs w:val="18"/>
          <w:b w:val="1"/>
          <w:bCs w:val="1"/>
          <w:color w:val="00244F"/>
        </w:rPr>
        <w:t xml:space="preserve"> </w:t>
      </w:r>
      <w:r>
        <w:rPr>
          <w:rFonts w:ascii="Arial" w:cs="Arial" w:eastAsia="Arial" w:hAnsi="Arial"/>
          <w:sz w:val="14"/>
          <w:szCs w:val="14"/>
          <w:color w:val="00244F"/>
        </w:rPr>
        <w:t>officers in the event of a material restatement of our financial results within three years of the original reporting.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WHAT WE DON’T DO</w:t>
      </w:r>
    </w:p>
    <w:p>
      <w:pPr>
        <w:spacing w:after="0" w:line="40" w:lineRule="exact"/>
        <w:rPr>
          <w:sz w:val="20"/>
          <w:szCs w:val="20"/>
          <w:color w:val="auto"/>
        </w:rPr>
      </w:pPr>
    </w:p>
    <w:p>
      <w:pPr>
        <w:ind w:left="260" w:right="80" w:hanging="239"/>
        <w:spacing w:after="0" w:line="279" w:lineRule="auto"/>
        <w:rPr>
          <w:sz w:val="20"/>
          <w:szCs w:val="20"/>
          <w:color w:val="auto"/>
        </w:rPr>
      </w:pPr>
      <w:r>
        <w:rPr>
          <w:rFonts w:ascii="Arial" w:cs="Arial" w:eastAsia="Arial" w:hAnsi="Arial"/>
          <w:sz w:val="10"/>
          <w:szCs w:val="10"/>
          <w:b w:val="1"/>
          <w:bCs w:val="1"/>
          <w:color w:val="auto"/>
        </w:rPr>
        <w:t xml:space="preserve">X </w:t>
      </w:r>
      <w:r>
        <w:rPr>
          <w:rFonts w:ascii="Arial" w:cs="Arial" w:eastAsia="Arial" w:hAnsi="Arial"/>
          <w:sz w:val="14"/>
          <w:szCs w:val="14"/>
          <w:color w:val="auto"/>
        </w:rPr>
        <w:t>    Allow executives or independent directors to short-sell the Company stock or hedge to offset a possible decrease in the market value of Company stock held by them.</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 xml:space="preserve">X </w:t>
      </w:r>
      <w:r>
        <w:rPr>
          <w:rFonts w:ascii="Arial" w:cs="Arial" w:eastAsia="Arial" w:hAnsi="Arial"/>
          <w:sz w:val="14"/>
          <w:szCs w:val="14"/>
          <w:color w:val="auto"/>
        </w:rPr>
        <w:t>     Provide excise tax gross-ups.</w:t>
      </w:r>
    </w:p>
    <w:p>
      <w:pPr>
        <w:spacing w:after="0" w:line="101" w:lineRule="exact"/>
        <w:rPr>
          <w:sz w:val="20"/>
          <w:szCs w:val="20"/>
          <w:color w:val="auto"/>
        </w:rPr>
      </w:pPr>
    </w:p>
    <w:p>
      <w:pPr>
        <w:ind w:left="260" w:right="340" w:hanging="239"/>
        <w:spacing w:after="0" w:line="315" w:lineRule="auto"/>
        <w:rPr>
          <w:sz w:val="20"/>
          <w:szCs w:val="20"/>
          <w:color w:val="auto"/>
        </w:rPr>
      </w:pPr>
      <w:r>
        <w:rPr>
          <w:rFonts w:ascii="Arial" w:cs="Arial" w:eastAsia="Arial" w:hAnsi="Arial"/>
          <w:sz w:val="10"/>
          <w:szCs w:val="10"/>
          <w:b w:val="1"/>
          <w:bCs w:val="1"/>
          <w:color w:val="auto"/>
        </w:rPr>
        <w:t xml:space="preserve">X </w:t>
      </w:r>
      <w:r>
        <w:rPr>
          <w:rFonts w:ascii="Arial" w:cs="Arial" w:eastAsia="Arial" w:hAnsi="Arial"/>
          <w:sz w:val="14"/>
          <w:szCs w:val="14"/>
          <w:color w:val="auto"/>
        </w:rPr>
        <w:t>     Pay dividends on unearned performance-based</w:t>
      </w:r>
      <w:r>
        <w:rPr>
          <w:rFonts w:ascii="Arial" w:cs="Arial" w:eastAsia="Arial" w:hAnsi="Arial"/>
          <w:sz w:val="10"/>
          <w:szCs w:val="10"/>
          <w:b w:val="1"/>
          <w:bCs w:val="1"/>
          <w:color w:val="auto"/>
        </w:rPr>
        <w:t xml:space="preserve"> </w:t>
      </w:r>
      <w:r>
        <w:rPr>
          <w:rFonts w:ascii="Arial" w:cs="Arial" w:eastAsia="Arial" w:hAnsi="Arial"/>
          <w:sz w:val="14"/>
          <w:szCs w:val="14"/>
          <w:color w:val="auto"/>
        </w:rPr>
        <w:t>RSUs.</w:t>
      </w:r>
    </w:p>
    <w:p>
      <w:pPr>
        <w:spacing w:after="0" w:line="15" w:lineRule="exact"/>
        <w:rPr>
          <w:sz w:val="20"/>
          <w:szCs w:val="20"/>
          <w:color w:val="auto"/>
        </w:rPr>
      </w:pPr>
    </w:p>
    <w:p>
      <w:pPr>
        <w:ind w:left="260" w:right="480" w:hanging="239"/>
        <w:spacing w:after="0" w:line="315" w:lineRule="auto"/>
        <w:rPr>
          <w:sz w:val="20"/>
          <w:szCs w:val="20"/>
          <w:color w:val="auto"/>
        </w:rPr>
      </w:pPr>
      <w:r>
        <w:rPr>
          <w:rFonts w:ascii="Arial" w:cs="Arial" w:eastAsia="Arial" w:hAnsi="Arial"/>
          <w:sz w:val="10"/>
          <w:szCs w:val="10"/>
          <w:b w:val="1"/>
          <w:bCs w:val="1"/>
          <w:color w:val="auto"/>
        </w:rPr>
        <w:t xml:space="preserve">X </w:t>
      </w:r>
      <w:r>
        <w:rPr>
          <w:rFonts w:ascii="Arial" w:cs="Arial" w:eastAsia="Arial" w:hAnsi="Arial"/>
          <w:sz w:val="14"/>
          <w:szCs w:val="14"/>
          <w:color w:val="auto"/>
        </w:rPr>
        <w:t>     Accelerate the vesting of equity awards on an</w:t>
      </w:r>
      <w:r>
        <w:rPr>
          <w:rFonts w:ascii="Arial" w:cs="Arial" w:eastAsia="Arial" w:hAnsi="Arial"/>
          <w:sz w:val="10"/>
          <w:szCs w:val="10"/>
          <w:b w:val="1"/>
          <w:bCs w:val="1"/>
          <w:color w:val="auto"/>
        </w:rPr>
        <w:t xml:space="preserve"> </w:t>
      </w:r>
      <w:r>
        <w:rPr>
          <w:rFonts w:ascii="Arial" w:cs="Arial" w:eastAsia="Arial" w:hAnsi="Arial"/>
          <w:sz w:val="14"/>
          <w:szCs w:val="14"/>
          <w:color w:val="auto"/>
        </w:rPr>
        <w:t>executive officer’s retirement.</w:t>
      </w:r>
    </w:p>
    <w:p>
      <w:pPr>
        <w:spacing w:after="0" w:line="2" w:lineRule="exact"/>
        <w:rPr>
          <w:sz w:val="20"/>
          <w:szCs w:val="20"/>
          <w:color w:val="auto"/>
        </w:rPr>
      </w:pPr>
    </w:p>
    <w:p>
      <w:pPr>
        <w:ind w:left="260" w:right="20" w:hanging="239"/>
        <w:spacing w:after="0" w:line="315" w:lineRule="auto"/>
        <w:rPr>
          <w:sz w:val="20"/>
          <w:szCs w:val="20"/>
          <w:color w:val="auto"/>
        </w:rPr>
      </w:pPr>
      <w:r>
        <w:rPr>
          <w:rFonts w:ascii="Arial" w:cs="Arial" w:eastAsia="Arial" w:hAnsi="Arial"/>
          <w:sz w:val="10"/>
          <w:szCs w:val="10"/>
          <w:b w:val="1"/>
          <w:bCs w:val="1"/>
          <w:color w:val="auto"/>
        </w:rPr>
        <w:t xml:space="preserve">X </w:t>
      </w:r>
      <w:r>
        <w:rPr>
          <w:rFonts w:ascii="Arial" w:cs="Arial" w:eastAsia="Arial" w:hAnsi="Arial"/>
          <w:sz w:val="14"/>
          <w:szCs w:val="14"/>
          <w:color w:val="auto"/>
        </w:rPr>
        <w:t>     Permit the repricing or exchange of equity awards in</w:t>
      </w:r>
      <w:r>
        <w:rPr>
          <w:rFonts w:ascii="Arial" w:cs="Arial" w:eastAsia="Arial" w:hAnsi="Arial"/>
          <w:sz w:val="10"/>
          <w:szCs w:val="10"/>
          <w:b w:val="1"/>
          <w:bCs w:val="1"/>
          <w:color w:val="auto"/>
        </w:rPr>
        <w:t xml:space="preserve"> </w:t>
      </w:r>
      <w:r>
        <w:rPr>
          <w:rFonts w:ascii="Arial" w:cs="Arial" w:eastAsia="Arial" w:hAnsi="Arial"/>
          <w:sz w:val="14"/>
          <w:szCs w:val="14"/>
          <w:color w:val="auto"/>
        </w:rPr>
        <w:t>any scenario without stockholder approval.</w:t>
      </w:r>
    </w:p>
    <w:p>
      <w:pPr>
        <w:spacing w:after="0" w:line="15" w:lineRule="exact"/>
        <w:rPr>
          <w:sz w:val="20"/>
          <w:szCs w:val="20"/>
          <w:color w:val="auto"/>
        </w:rPr>
      </w:pPr>
    </w:p>
    <w:p>
      <w:pPr>
        <w:ind w:left="260" w:right="240" w:hanging="239"/>
        <w:spacing w:after="0" w:line="288" w:lineRule="auto"/>
        <w:rPr>
          <w:sz w:val="20"/>
          <w:szCs w:val="20"/>
          <w:color w:val="auto"/>
        </w:rPr>
      </w:pPr>
      <w:r>
        <w:rPr>
          <w:rFonts w:ascii="Arial" w:cs="Arial" w:eastAsia="Arial" w:hAnsi="Arial"/>
          <w:sz w:val="10"/>
          <w:szCs w:val="10"/>
          <w:b w:val="1"/>
          <w:bCs w:val="1"/>
          <w:color w:val="auto"/>
        </w:rPr>
        <w:t xml:space="preserve">X </w:t>
      </w:r>
      <w:r>
        <w:rPr>
          <w:rFonts w:ascii="Arial" w:cs="Arial" w:eastAsia="Arial" w:hAnsi="Arial"/>
          <w:sz w:val="14"/>
          <w:szCs w:val="14"/>
          <w:color w:val="auto"/>
        </w:rPr>
        <w:t>     Sponsor any supplemental executive retirement</w:t>
      </w:r>
      <w:r>
        <w:rPr>
          <w:rFonts w:ascii="Arial" w:cs="Arial" w:eastAsia="Arial" w:hAnsi="Arial"/>
          <w:sz w:val="10"/>
          <w:szCs w:val="10"/>
          <w:b w:val="1"/>
          <w:bCs w:val="1"/>
          <w:color w:val="auto"/>
        </w:rPr>
        <w:t xml:space="preserve"> </w:t>
      </w:r>
      <w:r>
        <w:rPr>
          <w:rFonts w:ascii="Arial" w:cs="Arial" w:eastAsia="Arial" w:hAnsi="Arial"/>
          <w:sz w:val="14"/>
          <w:szCs w:val="14"/>
          <w:color w:val="auto"/>
        </w:rPr>
        <w:t>plans or provide significant perquisites and other personal benefits to our executive officers.</w:t>
      </w:r>
    </w:p>
    <w:p>
      <w:pPr>
        <w:spacing w:after="0" w:line="611" w:lineRule="exact"/>
        <w:rPr>
          <w:sz w:val="20"/>
          <w:szCs w:val="20"/>
          <w:color w:val="auto"/>
        </w:rPr>
      </w:pPr>
    </w:p>
    <w:p>
      <w:pPr>
        <w:sectPr>
          <w:pgSz w:w="11900" w:h="16838" w:orient="portrait"/>
          <w:cols w:equalWidth="0" w:num="2">
            <w:col w:w="7160" w:space="340"/>
            <w:col w:w="3720"/>
          </w:cols>
          <w:pgMar w:left="320" w:top="223" w:right="359" w:bottom="1440" w:gutter="0" w:footer="0" w:header="0"/>
          <w:type w:val="continuous"/>
        </w:sectPr>
      </w:pPr>
    </w:p>
    <w:p>
      <w:pPr>
        <w:spacing w:after="0" w:line="200" w:lineRule="exact"/>
        <w:rPr>
          <w:sz w:val="20"/>
          <w:szCs w:val="20"/>
          <w:color w:val="auto"/>
        </w:rPr>
      </w:pPr>
    </w:p>
    <w:p>
      <w:pPr>
        <w:spacing w:after="0" w:line="23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3"/>
          <w:szCs w:val="13"/>
          <w:b w:val="1"/>
          <w:bCs w:val="1"/>
          <w:color w:val="00244F"/>
        </w:rPr>
        <w:t>42</w:t>
      </w:r>
      <w:r>
        <w:rPr>
          <w:sz w:val="20"/>
          <w:szCs w:val="20"/>
          <w:color w:val="auto"/>
        </w:rPr>
        <w:tab/>
      </w:r>
      <w:r>
        <w:rPr>
          <w:rFonts w:ascii="Times New Roman" w:cs="Times New Roman" w:eastAsia="Times New Roman" w:hAnsi="Times New Roman"/>
          <w:sz w:val="13"/>
          <w:szCs w:val="13"/>
          <w:b w:val="1"/>
          <w:bCs w:val="1"/>
          <w:color w:val="00244F"/>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42480"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7"/>
          <w:szCs w:val="17"/>
          <w:u w:val="single" w:color="auto"/>
          <w:color w:val="0000EE"/>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221E1F"/>
        </w:rPr>
        <w:t>Executive Compensation Philosophy and Objectives</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Our NEO and overall compensation programs are designed to accomplish two core objectives:</w:t>
      </w:r>
    </w:p>
    <w:p>
      <w:pPr>
        <w:spacing w:after="0" w:line="202" w:lineRule="exact"/>
        <w:rPr>
          <w:sz w:val="20"/>
          <w:szCs w:val="20"/>
          <w:color w:val="auto"/>
        </w:rPr>
      </w:pPr>
    </w:p>
    <w:p>
      <w:pPr>
        <w:ind w:left="180" w:hanging="180"/>
        <w:spacing w:after="0"/>
        <w:tabs>
          <w:tab w:leader="none" w:pos="180" w:val="left"/>
        </w:tabs>
        <w:numPr>
          <w:ilvl w:val="0"/>
          <w:numId w:val="60"/>
        </w:numPr>
        <w:rPr>
          <w:rFonts w:ascii="Arial" w:cs="Arial" w:eastAsia="Arial" w:hAnsi="Arial"/>
          <w:sz w:val="15"/>
          <w:szCs w:val="15"/>
          <w:color w:val="28C0DA"/>
        </w:rPr>
      </w:pPr>
      <w:r>
        <w:rPr>
          <w:rFonts w:ascii="Arial" w:cs="Arial" w:eastAsia="Arial" w:hAnsi="Arial"/>
          <w:sz w:val="15"/>
          <w:szCs w:val="15"/>
          <w:color w:val="auto"/>
        </w:rPr>
        <w:t>attract and retain talented and highly skilled professionals with deep experience in investments, business leadership and client service; and</w:t>
      </w:r>
    </w:p>
    <w:p>
      <w:pPr>
        <w:spacing w:after="0" w:line="89" w:lineRule="exact"/>
        <w:rPr>
          <w:rFonts w:ascii="Arial" w:cs="Arial" w:eastAsia="Arial" w:hAnsi="Arial"/>
          <w:sz w:val="15"/>
          <w:szCs w:val="15"/>
          <w:color w:val="28C0DA"/>
        </w:rPr>
      </w:pPr>
    </w:p>
    <w:p>
      <w:pPr>
        <w:ind w:left="180" w:right="240" w:hanging="180"/>
        <w:spacing w:after="0" w:line="278" w:lineRule="auto"/>
        <w:tabs>
          <w:tab w:leader="none" w:pos="180" w:val="left"/>
        </w:tabs>
        <w:numPr>
          <w:ilvl w:val="0"/>
          <w:numId w:val="60"/>
        </w:numPr>
        <w:rPr>
          <w:rFonts w:ascii="Arial" w:cs="Arial" w:eastAsia="Arial" w:hAnsi="Arial"/>
          <w:sz w:val="15"/>
          <w:szCs w:val="15"/>
          <w:color w:val="28C0DA"/>
        </w:rPr>
      </w:pPr>
      <w:r>
        <w:rPr>
          <w:rFonts w:ascii="Arial" w:cs="Arial" w:eastAsia="Arial" w:hAnsi="Arial"/>
          <w:sz w:val="15"/>
          <w:szCs w:val="15"/>
          <w:color w:val="auto"/>
        </w:rPr>
        <w:t>maintain alignment of interests between our professionals and our stockholders by focusing on long-term performance and value creation, emphasizing appropriate risk-taking, reinforcing a "client focused" and collaborative culture, and rewarding associates for the achievement of strategic goals.</w:t>
      </w:r>
    </w:p>
    <w:p>
      <w:pPr>
        <w:spacing w:after="0" w:line="150" w:lineRule="exact"/>
        <w:rPr>
          <w:sz w:val="20"/>
          <w:szCs w:val="20"/>
          <w:color w:val="auto"/>
        </w:rPr>
      </w:pPr>
    </w:p>
    <w:p>
      <w:pPr>
        <w:ind w:right="40"/>
        <w:spacing w:after="0" w:line="247" w:lineRule="auto"/>
        <w:rPr>
          <w:sz w:val="20"/>
          <w:szCs w:val="20"/>
          <w:color w:val="auto"/>
        </w:rPr>
      </w:pPr>
      <w:r>
        <w:rPr>
          <w:rFonts w:ascii="Arial" w:cs="Arial" w:eastAsia="Arial" w:hAnsi="Arial"/>
          <w:sz w:val="15"/>
          <w:szCs w:val="15"/>
          <w:color w:val="auto"/>
        </w:rPr>
        <w:t>We believe NEO compensation should be straight forward, goal-oriented, longer-term focused, transparent, and consistent with stockholder interests. In addition, NEO compensation should be linked directly to Company performance, as well as to individual success in achieving long-term strategic goals. As a result, the primary form of compensation to our NEOs and other employees is a combination of annual cash bonus payments tied to the performance of the Company and long-term equity awards subject to both performance and time-based vesting. Similarly, the primary form of compensation to the CEO of OHA and other OHA senior employees is generally a combination of annual cash bonus payments tied to the management and performance fees earned from products managed by OHA, along with carried interest, which is based on the investment performance of affiliated funds over a long-term duration. Because the amount of carried interest payable is directly tied to the realized investment performance of the OHA products, we believe this fosters a strong alignment of interests among the investors in those funds and the OHA CEO and OHA employees and thus benefits our stockholders. In addition, several of our competitors use participation in carried interest as an important compensation element, and we believe that we must do the same in order to attract and retain the most qualified personnel to lead business units where carried interest is an important feature.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44F"/>
        </w:rPr>
        <w:t>Compensation Committee's Use of Judgment in Determining Incentive Compensation</w:t>
      </w:r>
    </w:p>
    <w:p>
      <w:pPr>
        <w:spacing w:after="0" w:line="212" w:lineRule="exact"/>
        <w:rPr>
          <w:sz w:val="20"/>
          <w:szCs w:val="20"/>
          <w:color w:val="auto"/>
        </w:rPr>
      </w:pPr>
    </w:p>
    <w:p>
      <w:pPr>
        <w:spacing w:after="0" w:line="246" w:lineRule="auto"/>
        <w:rPr>
          <w:sz w:val="20"/>
          <w:szCs w:val="20"/>
          <w:color w:val="auto"/>
        </w:rPr>
      </w:pPr>
      <w:r>
        <w:rPr>
          <w:rFonts w:ascii="Arial" w:cs="Arial" w:eastAsia="Arial" w:hAnsi="Arial"/>
          <w:sz w:val="15"/>
          <w:szCs w:val="15"/>
          <w:color w:val="auto"/>
        </w:rPr>
        <w:t>The Compensation Committee believes that thoughtful consideration of qualitative performance is a critical feature of the Company's executive compensation program. While the Compensation Committee uses financial and other metrics to evaluate the performance of our senior executives, our business is dynamic and requires us to respond rapidly to changes in market conditions and other factors outside our control that impact our financial performance. The Compensation Committee believes that sole reliance on a rigid, formulaic program based strictly on quantitative metrics could have unintended consequences, such as encouraging executives to place undue focus on shorter-term results at the expense of longer-term success of the Company. In addition, formulaic incentives alone would not permit incorporating factors beyond the control of our executives, such as recognition of investment in long-term goals, strategic developments, and individual achievements. Even though we have not used formulas or assign specific weights to metrics for 2023, the Compensation Committee uses a rigorous performance assessment framework to set the overall bonus pool and determine individual bonuses. The Compensation Committee uses market data and performance metrics to establish ranges for incentive awards and applies its judgment to make compensation decisions for the NEOs, only after following an in-depth review of Company and individual performance, evaluating peer group pay and assessing qualitative factors relating to the Company's strategic priorities. In addition, the Compensation Committee solicits the CEO and President's recommendations for the other NEOs' compensation, as well as his views on their individual performance and contributions to the Company. We believe the thoughtful consideration of these additional factors allows the Compensation Committee to fully consider the overall performance of our executives over time, ensuring we attract and retain essential talent, all while maintaining the Company's positive long-term financial results.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44F"/>
        </w:rPr>
        <w:t>Key Elements of 2023 NEO Compensation</w:t>
      </w:r>
    </w:p>
    <w:p>
      <w:pPr>
        <w:spacing w:after="0" w:line="212" w:lineRule="exact"/>
        <w:rPr>
          <w:sz w:val="20"/>
          <w:szCs w:val="20"/>
          <w:color w:val="auto"/>
        </w:rPr>
      </w:pPr>
    </w:p>
    <w:p>
      <w:pPr>
        <w:ind w:right="20"/>
        <w:spacing w:after="0" w:line="250" w:lineRule="auto"/>
        <w:rPr>
          <w:sz w:val="20"/>
          <w:szCs w:val="20"/>
          <w:color w:val="auto"/>
        </w:rPr>
      </w:pPr>
      <w:r>
        <w:rPr>
          <w:rFonts w:ascii="Arial" w:cs="Arial" w:eastAsia="Arial" w:hAnsi="Arial"/>
          <w:sz w:val="15"/>
          <w:szCs w:val="15"/>
          <w:color w:val="auto"/>
        </w:rPr>
        <w:t>Our compensation program consists primarily of three elements: non-variable cash compensation, annual variable compensation (in the form of cash bonuses), and long-term variable incentive compensation (in the form of equity awards, deferred cash compensation and/or carried interest). Most NEO compensation is variable and performance-based, aligned to Company and individual performance against goals. There is no pre-established mix between cash and noncash compensation or between short-term and long-term awards. Instead, each year, the Compensation Committee determines the appropriate level and mix of short-term and long-term awards for our NEOs to recognize annual performance and to encourage meeting our long-term strategic goals. For Mr. August, a significant portion of his compensation is tied to the performance of OHA-managed products and he did not receive awards of Company stock during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60" w:type="dxa"/>
            <w:vAlign w:val="bottom"/>
          </w:tcPr>
          <w:p>
            <w:pPr>
              <w:ind w:left="9620"/>
              <w:spacing w:after="0"/>
              <w:rPr>
                <w:sz w:val="20"/>
                <w:szCs w:val="20"/>
                <w:color w:val="auto"/>
              </w:rPr>
            </w:pPr>
            <w:r>
              <w:rPr>
                <w:rFonts w:ascii="Times New Roman" w:cs="Times New Roman" w:eastAsia="Times New Roman" w:hAnsi="Times New Roman"/>
                <w:sz w:val="13"/>
                <w:szCs w:val="13"/>
                <w:b w:val="1"/>
                <w:bCs w:val="1"/>
                <w:color w:val="auto"/>
              </w:rPr>
              <w:t xml:space="preserve">2024 </w:t>
            </w:r>
            <w:r>
              <w:rPr>
                <w:rFonts w:ascii="Times New Roman" w:cs="Times New Roman" w:eastAsia="Times New Roman" w:hAnsi="Times New Roman"/>
                <w:sz w:val="13"/>
                <w:szCs w:val="13"/>
                <w:color w:val="auto"/>
              </w:rPr>
              <w:t>Proxy Statement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244F"/>
              </w:rPr>
              <w:t>43</w:t>
            </w:r>
          </w:p>
        </w:tc>
      </w:tr>
      <w:tr>
        <w:trPr>
          <w:trHeight w:val="385"/>
        </w:trPr>
        <w:tc>
          <w:tcPr>
            <w:tcW w:w="10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3"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u w:val="single" w:color="auto"/>
          <w:color w:val="0000EE"/>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44F"/>
        </w:rPr>
        <w:t>Non-variable Compensation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21E1F"/>
        </w:rPr>
        <w:t>Base Salary</w:t>
      </w:r>
    </w:p>
    <w:p>
      <w:pPr>
        <w:spacing w:after="0" w:line="100" w:lineRule="exact"/>
        <w:rPr>
          <w:sz w:val="20"/>
          <w:szCs w:val="20"/>
          <w:color w:val="auto"/>
        </w:rPr>
      </w:pPr>
    </w:p>
    <w:p>
      <w:pPr>
        <w:ind w:right="200"/>
        <w:spacing w:after="0" w:line="261" w:lineRule="auto"/>
        <w:rPr>
          <w:sz w:val="20"/>
          <w:szCs w:val="20"/>
          <w:color w:val="auto"/>
        </w:rPr>
      </w:pPr>
      <w:r>
        <w:rPr>
          <w:rFonts w:ascii="Arial" w:cs="Arial" w:eastAsia="Arial" w:hAnsi="Arial"/>
          <w:sz w:val="15"/>
          <w:szCs w:val="15"/>
          <w:color w:val="auto"/>
        </w:rPr>
        <w:t>Salary provides our NEOs a fixed compensation for the day-to-day performance of their job responsibilities. We have capped base salaries for all our employees, including NEOs to not exceed $350,000 (or local currency equivalent). We believe that the majority of our NEOs' compensation should be variable in nature and tied to the performance of the Company.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Fixed Annual Supplemental Compensation</w:t>
      </w:r>
    </w:p>
    <w:p>
      <w:pPr>
        <w:spacing w:after="0" w:line="100" w:lineRule="exact"/>
        <w:rPr>
          <w:sz w:val="20"/>
          <w:szCs w:val="20"/>
          <w:color w:val="auto"/>
        </w:rPr>
      </w:pPr>
    </w:p>
    <w:p>
      <w:pPr>
        <w:ind w:right="80"/>
        <w:spacing w:after="0" w:line="255" w:lineRule="auto"/>
        <w:rPr>
          <w:sz w:val="20"/>
          <w:szCs w:val="20"/>
          <w:color w:val="auto"/>
        </w:rPr>
      </w:pPr>
      <w:r>
        <w:rPr>
          <w:rFonts w:ascii="Arial" w:cs="Arial" w:eastAsia="Arial" w:hAnsi="Arial"/>
          <w:sz w:val="15"/>
          <w:szCs w:val="15"/>
          <w:color w:val="auto"/>
        </w:rPr>
        <w:t>As a component of compensation for NEOs employed by T. Rowe Price International Ltd (TRPIL), our UK subsidiary, the Compensation Committee approved the payment of additional fixed annual supplemental compensation. This supplemental compensation is intended to help satisfy new regulatory requirements concerning the ratio of an executive's fixed compensation to their variable compensation, along with deferral requirements related to the variable compensation. Similar to base salary, this compensation is paid monthly and is not subject to forfeiture or tied to performance.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44F"/>
        </w:rPr>
        <w:t>Annual Variable Compensation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Annual Incentive Compensation Plan Bonus Pool</w:t>
      </w:r>
    </w:p>
    <w:p>
      <w:pPr>
        <w:spacing w:after="0" w:line="100"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The AICP provides that, unless otherwise approved by the Compensation Committee, the maximum bonus pool for participating executives is equal to 5% of the Company's net operating income adjusted to exclude, if any, (i) the effects of goodwill impairment; (ii) the cumulative effect of changes in accounting policies or principles;</w:t>
      </w:r>
    </w:p>
    <w:p>
      <w:pPr>
        <w:ind w:right="40"/>
        <w:spacing w:after="0" w:line="247" w:lineRule="auto"/>
        <w:tabs>
          <w:tab w:leader="none" w:pos="241" w:val="left"/>
        </w:tabs>
        <w:numPr>
          <w:ilvl w:val="0"/>
          <w:numId w:val="61"/>
        </w:numPr>
        <w:rPr>
          <w:rFonts w:ascii="Arial" w:cs="Arial" w:eastAsia="Arial" w:hAnsi="Arial"/>
          <w:sz w:val="15"/>
          <w:szCs w:val="15"/>
          <w:color w:val="auto"/>
        </w:rPr>
      </w:pPr>
      <w:r>
        <w:rPr>
          <w:rFonts w:ascii="Arial" w:cs="Arial" w:eastAsia="Arial" w:hAnsi="Arial"/>
          <w:sz w:val="15"/>
          <w:szCs w:val="15"/>
          <w:color w:val="auto"/>
        </w:rPr>
        <w:t>gains or losses from discontinued operations; and (iv) unusual or nonrecurring gains, losses, or expenses. The Compensation Committee also established maximum individual bonuses as a percentage of the AICP formula; however, they retained the right to award an amount that was less than each NEO's maximum. The amounts awarded under the AICP are part of the Company's annual bonus program applicable to all employees other than those supporting the OHA business. The OHA CEO along with all OHA employees are not eligible to participate in the AICP, as they participate in a separate incentive program that was contractually agreed to at the time of the acquisition.</w:t>
      </w:r>
    </w:p>
    <w:p>
      <w:pPr>
        <w:spacing w:after="0" w:line="173" w:lineRule="exact"/>
        <w:rPr>
          <w:sz w:val="20"/>
          <w:szCs w:val="20"/>
          <w:color w:val="auto"/>
        </w:rPr>
      </w:pPr>
    </w:p>
    <w:p>
      <w:pPr>
        <w:ind w:right="220"/>
        <w:spacing w:after="0" w:line="261" w:lineRule="auto"/>
        <w:rPr>
          <w:sz w:val="20"/>
          <w:szCs w:val="20"/>
          <w:color w:val="auto"/>
        </w:rPr>
      </w:pPr>
      <w:r>
        <w:rPr>
          <w:rFonts w:ascii="Arial" w:cs="Arial" w:eastAsia="Arial" w:hAnsi="Arial"/>
          <w:sz w:val="15"/>
          <w:szCs w:val="15"/>
          <w:color w:val="auto"/>
        </w:rPr>
        <w:t>The Company's annual bonus program is managed by the Compensation Committee and the Management Compensation and Development Committee and is funded based on the Company's financial results. Additional considerations include the Company's investment performance, service quality for clients, and progress toward stated objectives relating to the Company's long-term strategies.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OHA Compensation Pool (OHA Pool)</w:t>
      </w:r>
    </w:p>
    <w:p>
      <w:pPr>
        <w:spacing w:after="0" w:line="100" w:lineRule="exact"/>
        <w:rPr>
          <w:sz w:val="20"/>
          <w:szCs w:val="20"/>
          <w:color w:val="auto"/>
        </w:rPr>
      </w:pPr>
    </w:p>
    <w:p>
      <w:pPr>
        <w:ind w:right="20"/>
        <w:spacing w:after="0" w:line="250" w:lineRule="auto"/>
        <w:rPr>
          <w:sz w:val="20"/>
          <w:szCs w:val="20"/>
          <w:color w:val="auto"/>
        </w:rPr>
      </w:pPr>
      <w:r>
        <w:rPr>
          <w:rFonts w:ascii="Arial" w:cs="Arial" w:eastAsia="Arial" w:hAnsi="Arial"/>
          <w:sz w:val="15"/>
          <w:szCs w:val="15"/>
          <w:color w:val="auto"/>
        </w:rPr>
        <w:t>In connection with our acquisition of OHA in 2021, the Company agreed that employees who work at OHA, including Mr. August, would be eligible to receive an allocation of a defined percentage of the management fees and current performance fees paid to OHA during the year, which constitutes the OHA Pool. On an annual basis, participants are awarded a cash bonus from this OHA Pool based on the participant's allocation percentage as determined by OHA's CEO. The Compensation Committee oversees the allocations to Mr. August from the OHA Pool. Because the aggregate amount of compensation payable through the OHA Pool is directly tied to the performance of the investment products OHA manages, this fosters a strong alignment of interests between the investors in those products and the NEOs supporting OHA, and this alignment benefits our stockholders.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44F"/>
        </w:rPr>
        <w:t>Long-Term Variable Incentive Compensation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Long-Term Equity Awards</w:t>
      </w:r>
    </w:p>
    <w:p>
      <w:pPr>
        <w:spacing w:after="0" w:line="100" w:lineRule="exact"/>
        <w:rPr>
          <w:sz w:val="20"/>
          <w:szCs w:val="20"/>
          <w:color w:val="auto"/>
        </w:rPr>
      </w:pPr>
    </w:p>
    <w:p>
      <w:pPr>
        <w:jc w:val="both"/>
        <w:ind w:right="360"/>
        <w:spacing w:after="0" w:line="261" w:lineRule="auto"/>
        <w:rPr>
          <w:sz w:val="20"/>
          <w:szCs w:val="20"/>
          <w:color w:val="auto"/>
        </w:rPr>
      </w:pPr>
      <w:r>
        <w:rPr>
          <w:rFonts w:ascii="Arial" w:cs="Arial" w:eastAsia="Arial" w:hAnsi="Arial"/>
          <w:sz w:val="15"/>
          <w:szCs w:val="15"/>
          <w:color w:val="auto"/>
        </w:rPr>
        <w:t>We believe our long-term equity program is a significant factor in maintaining a strong correlation between the compensation of our top managers and professionals, including our NEOs, and the long-term interests of our clients and stockholders. In the case of our NEOs, we split the long-term equity awards equally between time-based and performance-based awards to emphasize long-term stockholder alignment for our NEOs.</w:t>
      </w:r>
    </w:p>
    <w:p>
      <w:pPr>
        <w:spacing w:after="0" w:line="162" w:lineRule="exact"/>
        <w:rPr>
          <w:sz w:val="20"/>
          <w:szCs w:val="20"/>
          <w:color w:val="auto"/>
        </w:rPr>
      </w:pPr>
    </w:p>
    <w:p>
      <w:pPr>
        <w:ind w:right="100"/>
        <w:spacing w:after="0" w:line="252" w:lineRule="auto"/>
        <w:rPr>
          <w:sz w:val="20"/>
          <w:szCs w:val="20"/>
          <w:color w:val="auto"/>
        </w:rPr>
      </w:pPr>
      <w:r>
        <w:rPr>
          <w:rFonts w:ascii="Arial" w:cs="Arial" w:eastAsia="Arial" w:hAnsi="Arial"/>
          <w:sz w:val="15"/>
          <w:szCs w:val="15"/>
          <w:color w:val="auto"/>
        </w:rPr>
        <w:t>The performance-based RSUs are subject to a three-year performance period that begins on January 1 of the year following the grant and ends on December 31 of the third year following the grant. The performance goal for the performance-based RSUs is the Company's operating margin relative to peers. The number of performance-based RSUs earned, if any, is determined by comparing the Company's operating margin with the average operating margin of a peer group for the same period. Any performance-based RSUs earned after the three-year performance period will vest in equal annual installments beginning in December of the year following the end of the performance period (years four and five</w:t>
      </w:r>
    </w:p>
    <w:p>
      <w:pPr>
        <w:spacing w:after="0" w:line="15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3"/>
          <w:szCs w:val="13"/>
          <w:b w:val="1"/>
          <w:bCs w:val="1"/>
          <w:color w:val="00244F"/>
        </w:rPr>
        <w:t>44</w:t>
        <w:tab/>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42480"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u w:val="single" w:color="auto"/>
          <w:color w:val="0000EE"/>
        </w:rPr>
        <w:t>Table of Contents</w:t>
      </w:r>
    </w:p>
    <w:p>
      <w:pPr>
        <w:spacing w:after="0" w:line="396" w:lineRule="exact"/>
        <w:rPr>
          <w:sz w:val="20"/>
          <w:szCs w:val="20"/>
          <w:color w:val="auto"/>
        </w:rPr>
      </w:pPr>
    </w:p>
    <w:p>
      <w:pPr>
        <w:spacing w:after="0"/>
        <w:rPr>
          <w:sz w:val="20"/>
          <w:szCs w:val="20"/>
          <w:color w:val="auto"/>
        </w:rPr>
      </w:pPr>
      <w:r>
        <w:rPr>
          <w:rFonts w:ascii="Arial" w:cs="Arial" w:eastAsia="Arial" w:hAnsi="Arial"/>
          <w:sz w:val="15"/>
          <w:szCs w:val="15"/>
          <w:color w:val="auto"/>
        </w:rPr>
        <w:t>after the grant). The time-based RSUs awarded to our NEOs vest in equal annual installments over three years beginning in December in the year following the grant.</w:t>
      </w:r>
    </w:p>
    <w:p>
      <w:pPr>
        <w:spacing w:after="0" w:line="202" w:lineRule="exact"/>
        <w:rPr>
          <w:sz w:val="20"/>
          <w:szCs w:val="20"/>
          <w:color w:val="auto"/>
        </w:rPr>
      </w:pPr>
    </w:p>
    <w:p>
      <w:pPr>
        <w:jc w:val="both"/>
        <w:ind w:right="120"/>
        <w:spacing w:after="0" w:line="261" w:lineRule="auto"/>
        <w:rPr>
          <w:sz w:val="20"/>
          <w:szCs w:val="20"/>
          <w:color w:val="auto"/>
        </w:rPr>
      </w:pPr>
      <w:r>
        <w:rPr>
          <w:rFonts w:ascii="Arial" w:cs="Arial" w:eastAsia="Arial" w:hAnsi="Arial"/>
          <w:sz w:val="15"/>
          <w:szCs w:val="15"/>
          <w:color w:val="auto"/>
        </w:rPr>
        <w:t>Equity awards reflect long-term value added by the individual as well as their potential for future contributions. The total award granted to an NEO from year to year also reflects individual performance and an assessment of compensation positioning versus the market. The ultimate value realized from an equity award fluctuates with the Company's stock price, thus aligning NEO pay with stockholder interests.</w:t>
      </w:r>
    </w:p>
    <w:p>
      <w:pPr>
        <w:spacing w:after="0" w:line="162" w:lineRule="exact"/>
        <w:rPr>
          <w:sz w:val="20"/>
          <w:szCs w:val="20"/>
          <w:color w:val="auto"/>
        </w:rPr>
      </w:pPr>
    </w:p>
    <w:p>
      <w:pPr>
        <w:ind w:right="40"/>
        <w:spacing w:after="0" w:line="278" w:lineRule="auto"/>
        <w:rPr>
          <w:sz w:val="20"/>
          <w:szCs w:val="20"/>
          <w:color w:val="auto"/>
        </w:rPr>
      </w:pPr>
      <w:r>
        <w:rPr>
          <w:rFonts w:ascii="Arial" w:cs="Arial" w:eastAsia="Arial" w:hAnsi="Arial"/>
          <w:sz w:val="15"/>
          <w:szCs w:val="15"/>
          <w:color w:val="auto"/>
        </w:rPr>
        <w:t>The Compensation Committee did not approve any long-term equity awards to Mr. August in 2023, due to Mr. August's compensation being directly tied to OHA results in the form of carried interest.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Mutual Fund Unit Plan (MFUP)</w:t>
      </w:r>
    </w:p>
    <w:p>
      <w:pPr>
        <w:spacing w:after="0" w:line="213" w:lineRule="exact"/>
        <w:rPr>
          <w:sz w:val="20"/>
          <w:szCs w:val="20"/>
          <w:color w:val="auto"/>
        </w:rPr>
      </w:pPr>
    </w:p>
    <w:p>
      <w:pPr>
        <w:ind w:right="80"/>
        <w:spacing w:after="0" w:line="255" w:lineRule="auto"/>
        <w:rPr>
          <w:sz w:val="20"/>
          <w:szCs w:val="20"/>
          <w:color w:val="auto"/>
        </w:rPr>
      </w:pPr>
      <w:r>
        <w:rPr>
          <w:rFonts w:ascii="Arial" w:cs="Arial" w:eastAsia="Arial" w:hAnsi="Arial"/>
          <w:sz w:val="15"/>
          <w:szCs w:val="15"/>
          <w:color w:val="auto"/>
        </w:rPr>
        <w:t>As a component of compensation for NEOs employed by TRPIL, our UK subsidiary, the Compensation Committee has adopted the MFUP. Pursuant to the MFUP, Mr. Thomson is eligible to receive grants of MFUs in lieu of time-based RSUs. Mr. Thomson's MFU award represents 50% of his annual long-term incentive compensation. The MFUs vest ratably over a three-year period, and are settled in cash. The MFUs represent hypothetical investments in products managed by TRPIL in order to satisfy the regulatory requirements affecting that entity.</w:t>
      </w:r>
    </w:p>
    <w:p>
      <w:pPr>
        <w:spacing w:after="0" w:line="167" w:lineRule="exact"/>
        <w:rPr>
          <w:sz w:val="20"/>
          <w:szCs w:val="20"/>
          <w:color w:val="auto"/>
        </w:rPr>
      </w:pPr>
    </w:p>
    <w:p>
      <w:pPr>
        <w:ind w:right="580"/>
        <w:spacing w:after="0" w:line="278" w:lineRule="auto"/>
        <w:rPr>
          <w:sz w:val="20"/>
          <w:szCs w:val="20"/>
          <w:color w:val="auto"/>
        </w:rPr>
      </w:pPr>
      <w:r>
        <w:rPr>
          <w:rFonts w:ascii="Arial" w:cs="Arial" w:eastAsia="Arial" w:hAnsi="Arial"/>
          <w:sz w:val="15"/>
          <w:szCs w:val="15"/>
          <w:color w:val="auto"/>
        </w:rPr>
        <w:t>Once granted, the MFUs are not forfeitable and are not subject to such NEO's continued employment with the Company, but they are subject to certain clawback provisions.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Carried Interest</w:t>
      </w:r>
    </w:p>
    <w:p>
      <w:pPr>
        <w:spacing w:after="0" w:line="213" w:lineRule="exact"/>
        <w:rPr>
          <w:sz w:val="20"/>
          <w:szCs w:val="20"/>
          <w:color w:val="auto"/>
        </w:rPr>
      </w:pPr>
    </w:p>
    <w:p>
      <w:pPr>
        <w:ind w:right="60"/>
        <w:spacing w:after="0" w:line="267" w:lineRule="auto"/>
        <w:rPr>
          <w:sz w:val="20"/>
          <w:szCs w:val="20"/>
          <w:color w:val="auto"/>
        </w:rPr>
      </w:pPr>
      <w:r>
        <w:rPr>
          <w:rFonts w:ascii="Arial" w:cs="Arial" w:eastAsia="Arial" w:hAnsi="Arial"/>
          <w:sz w:val="14"/>
          <w:szCs w:val="14"/>
          <w:color w:val="auto"/>
        </w:rPr>
        <w:t>During 2023, Mr. August, or entities he controls, received distributions of carried interest with respect to certain OHA funds. Such funds are structured so that the general partner is entitled to the allocation of a portion of the income otherwise available to the limited partners of such fund, commonly referred to as carried interest. Carried interest is typically structured as a distribution of net proceeds available for distribution from the applicable fund after return of capital and certain preferred and other distributions as set forth in the fund agreement. Timing of cash distributions of carried interest to a funds' general partners depends on the timing of the cash realizations of the investments owned by the OHA funds. While the Company owns a controlling equity interest in these general partners, entities controlled by Mr. August and other OHA senior professionals also have a direct interest in the general partners and as a result the carried interest earned from certain OHA funds. Because the aggregate amount of carried interest payable to Mr. August, or entities he controls, is directly tied to the performance of the corresponding OHA funds, we believe this fosters a strong alignment of interests with the investors in those funds and that this alignment benefits our stockholders. In addition, most alternative asset managers use participation in carried interest as a significant element of compensation for their professionals and is critical in order to retain and incentivize such professionals.</w:t>
      </w:r>
    </w:p>
    <w:p>
      <w:pPr>
        <w:spacing w:after="0" w:line="163"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For proxy statement reporting and financial accounting purposes, we treat the income allocated to OHA personnel who participate in the carried interest generated by OHA funds as compensation. The amount of carried interest realized and allocated to Mr. August is reflected as "All Other Compensation" in the Summary Compensation Table.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44F"/>
        </w:rPr>
        <w:t>Other Compensation and Benefits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Defined Contribution Plan</w:t>
      </w:r>
    </w:p>
    <w:p>
      <w:pPr>
        <w:spacing w:after="0" w:line="213" w:lineRule="exact"/>
        <w:rPr>
          <w:sz w:val="20"/>
          <w:szCs w:val="20"/>
          <w:color w:val="auto"/>
        </w:rPr>
      </w:pPr>
    </w:p>
    <w:p>
      <w:pPr>
        <w:ind w:right="40"/>
        <w:spacing w:after="0" w:line="250" w:lineRule="auto"/>
        <w:rPr>
          <w:sz w:val="20"/>
          <w:szCs w:val="20"/>
          <w:color w:val="auto"/>
        </w:rPr>
      </w:pPr>
      <w:r>
        <w:rPr>
          <w:rFonts w:ascii="Arial" w:cs="Arial" w:eastAsia="Arial" w:hAnsi="Arial"/>
          <w:sz w:val="15"/>
          <w:szCs w:val="15"/>
          <w:color w:val="auto"/>
        </w:rPr>
        <w:t>Our U.S. retirement programs provide retirement benefits based on participant elective deferrals, Company contributions, and the investment performance of each participant's account. For 2023, we contributed $174,000 to these programs for our U.S.-based NEOs as a group. We provide these programs to all U.S. employees in order to assist them in their retirement planning. The contribution amounts are based on plan formulas that apply to all employees. Mr. Thomson is located in the UK, and we pay him cash in lieu of a contribution to the UK pension program as a result of a Fixed Protection election made with the UK tax authorities, which required him to opt out of the UK pension program. In 2023, we paid him $27,995, which is based on the contribution formula in the program and is equal to the amount he would have received had he stayed in the program.</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Supplemental Savings Plan</w:t>
      </w:r>
    </w:p>
    <w:p>
      <w:pPr>
        <w:spacing w:after="0" w:line="213" w:lineRule="exact"/>
        <w:rPr>
          <w:sz w:val="20"/>
          <w:szCs w:val="20"/>
          <w:color w:val="auto"/>
        </w:rPr>
      </w:pPr>
    </w:p>
    <w:p>
      <w:pPr>
        <w:ind w:right="60"/>
        <w:spacing w:after="0" w:line="255" w:lineRule="auto"/>
        <w:rPr>
          <w:sz w:val="20"/>
          <w:szCs w:val="20"/>
          <w:color w:val="auto"/>
        </w:rPr>
      </w:pPr>
      <w:r>
        <w:rPr>
          <w:rFonts w:ascii="Arial" w:cs="Arial" w:eastAsia="Arial" w:hAnsi="Arial"/>
          <w:sz w:val="15"/>
          <w:szCs w:val="15"/>
          <w:color w:val="auto"/>
        </w:rPr>
        <w:t>The Supplemental Savings Plan provides certain senior officers the opportunity to defer receipt of a portion of their cash incentive compensation earned for a year during which services are provided. The amounts deferred are adjusted in accordance with the hypothetical investments chosen by the officer from the list of products offered under our U.S. retirement program. Prior to 2021, any amounts deferred were required to be deferred for a period of at least two years but could be deferred for a longer period or until termination of employment. In 2020, the Supplemental Savings Plan was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020" w:type="dxa"/>
            <w:vAlign w:val="bottom"/>
          </w:tcPr>
          <w:p>
            <w:pPr>
              <w:ind w:left="9720"/>
              <w:spacing w:after="0"/>
              <w:rPr>
                <w:sz w:val="20"/>
                <w:szCs w:val="20"/>
                <w:color w:val="auto"/>
              </w:rPr>
            </w:pPr>
            <w:r>
              <w:rPr>
                <w:rFonts w:ascii="Times New Roman" w:cs="Times New Roman" w:eastAsia="Times New Roman" w:hAnsi="Times New Roman"/>
                <w:sz w:val="13"/>
                <w:szCs w:val="13"/>
                <w:b w:val="1"/>
                <w:bCs w:val="1"/>
                <w:color w:val="auto"/>
              </w:rPr>
              <w:t xml:space="preserve">2024 </w:t>
            </w:r>
            <w:r>
              <w:rPr>
                <w:rFonts w:ascii="Times New Roman" w:cs="Times New Roman" w:eastAsia="Times New Roman" w:hAnsi="Times New Roman"/>
                <w:sz w:val="13"/>
                <w:szCs w:val="13"/>
                <w:color w:val="auto"/>
              </w:rPr>
              <w:t>Proxy Statement</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244F"/>
              </w:rPr>
              <w:t>45</w:t>
            </w:r>
          </w:p>
        </w:tc>
      </w:tr>
      <w:tr>
        <w:trPr>
          <w:trHeight w:val="385"/>
        </w:trPr>
        <w:tc>
          <w:tcPr>
            <w:tcW w:w="1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3"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u w:val="single" w:color="auto"/>
          <w:color w:val="0000EE"/>
        </w:rPr>
        <w:t>Table of Contents</w:t>
      </w:r>
    </w:p>
    <w:p>
      <w:pPr>
        <w:spacing w:after="0" w:line="396" w:lineRule="exact"/>
        <w:rPr>
          <w:sz w:val="20"/>
          <w:szCs w:val="20"/>
          <w:color w:val="auto"/>
        </w:rPr>
      </w:pPr>
    </w:p>
    <w:p>
      <w:pPr>
        <w:ind w:right="20"/>
        <w:spacing w:after="0" w:line="252" w:lineRule="auto"/>
        <w:rPr>
          <w:sz w:val="20"/>
          <w:szCs w:val="20"/>
          <w:color w:val="auto"/>
        </w:rPr>
      </w:pPr>
      <w:r>
        <w:rPr>
          <w:rFonts w:ascii="Arial" w:cs="Arial" w:eastAsia="Arial" w:hAnsi="Arial"/>
          <w:sz w:val="15"/>
          <w:szCs w:val="15"/>
          <w:color w:val="auto"/>
        </w:rPr>
        <w:t>amended, with the changes beginning with deferrals of 2021 compensation. The changes include reducing limits on the maximum permitted deferral to be the lesser of 50% of cash incentive compensation or $2 million, increasing the minimum deferral period to at least five years, reducing the maximum number of installment payments to 10 years, and to providing for an automatic lump-sum payment upon termination prior to age 58 (or age 55 for our UK associates). For deferrals in 2023, the automatic lump-sum payment upon termination prior to age 55 will apply to all employees. All NEOs, except for Mr. August, were eligible to participate in the Supplemental Savings Plan in 2023. See our Nonqualified Deferred Compensation Table on page 69 for more information.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Perquisites and Other Personal Benefits</w:t>
      </w:r>
    </w:p>
    <w:p>
      <w:pPr>
        <w:spacing w:after="0" w:line="213"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We do not provide significant perquisites or other personal benefits to our executive officers. We make programs related to executive health benefits and parking available to all senior officers. We also cover certain costs associated with the NEOs' spouses' participation in events held in connection with the annual Price Group and Price funds joint Boards of Directors meeting as well as other Board and business-related functions. For Mr. August, we provide certain accounting, tax, and legal services to certain entities he controls and that are limited partners in certain affiliated partnerships. Additionally, the Compensation Committee has approved the payment of fees to the Federal Trade Commission for any filings required to be made by our executive officers under the Hart-Scott-Rodino Antitrust Improvements Act of 1976 (HSR Act), as amended, as a result of their stock ownership of the Company. The executive officer is responsible for any taxes due as a result of the Company paying the HSR Act filing fees and is not provided a tax gross-up payment. In addition the Company may be offered opportunities to purchase tickets to special events through sponsorships or relationships we maintain and our executive officers may utilize these opportunities and they purchase the tickets themselves.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Post-employment Payments</w:t>
      </w:r>
    </w:p>
    <w:p>
      <w:pPr>
        <w:spacing w:after="0" w:line="213" w:lineRule="exact"/>
        <w:rPr>
          <w:sz w:val="20"/>
          <w:szCs w:val="20"/>
          <w:color w:val="auto"/>
        </w:rPr>
      </w:pPr>
    </w:p>
    <w:p>
      <w:pPr>
        <w:ind w:right="20"/>
        <w:spacing w:after="0" w:line="247" w:lineRule="auto"/>
        <w:rPr>
          <w:sz w:val="20"/>
          <w:szCs w:val="20"/>
          <w:color w:val="auto"/>
        </w:rPr>
      </w:pPr>
      <w:r>
        <w:rPr>
          <w:rFonts w:ascii="Arial" w:cs="Arial" w:eastAsia="Arial" w:hAnsi="Arial"/>
          <w:sz w:val="15"/>
          <w:szCs w:val="15"/>
          <w:color w:val="auto"/>
        </w:rPr>
        <w:t>Other than for Mr. August, we have not entered into severance or other post-employment agreements with any of our NEOs. Consequently, we generally do not have any commitments to make post-employment payments to them. Under the terms of Mr. August's employment agreement, if his employment is terminated by the Company without "cause" or by him for "good reason" (each as defined in the employment agreement), in addition to accrued benefits, he will be entitled to: (a) 12 months of base salary continuation; (b) a prorated portion of his annual bonus for the year in which termination occurs, if any, based on actual results for such year and payable at the same time bonuses for such year are paid to other senior executives of the Company; and (c) subject to his eligibility and timely election, the Company will pay the employer-paid portion of his COBRA coverage for 12 months following termination. Mr. August's receipt of severance benefits, other than accrued benefits, is subject to his execution and nonrevocation of a general release of claims in favor of the Company and continued compliance with the restrictive covenants contained in the employment agreement. Pursuant to the employment agreement, Mr. August will be subject to noncompetition and employee and customer nonsolicitation and noninterference covenants during employment and for two years following termination, as well as ongoing confidentiality obligations.</w:t>
      </w:r>
    </w:p>
    <w:p>
      <w:pPr>
        <w:spacing w:after="0" w:line="177" w:lineRule="exact"/>
        <w:rPr>
          <w:sz w:val="20"/>
          <w:szCs w:val="20"/>
          <w:color w:val="auto"/>
        </w:rPr>
      </w:pPr>
    </w:p>
    <w:p>
      <w:pPr>
        <w:ind w:right="40"/>
        <w:spacing w:after="0" w:line="248" w:lineRule="auto"/>
        <w:rPr>
          <w:sz w:val="20"/>
          <w:szCs w:val="20"/>
          <w:color w:val="auto"/>
        </w:rPr>
      </w:pPr>
      <w:r>
        <w:rPr>
          <w:rFonts w:ascii="Arial" w:cs="Arial" w:eastAsia="Arial" w:hAnsi="Arial"/>
          <w:sz w:val="15"/>
          <w:szCs w:val="15"/>
          <w:color w:val="auto"/>
        </w:rPr>
        <w:t>All agreements for stock option and stock awards granted to employees from our equity plans include provisions that provide for the acceleration of the vesting of outstanding equity awards upon the grantee's death or termination of employment due to total disability and for "double trigger" vesting acceleration in the event the equity incentive awards are not terminated as part of the change-in-control transaction. This means that in such a circumstance, accelerated vesting only occurs if, at the time of or within 18 months after the change-in-control transaction, a participant's employment is terminated involuntarily without cause or the participant resigns with good reason (generally requiring a material diminution in authority or duties, material reduction in compensation, or relocation by a substantial distance). If the acquiring entity requires that we terminate outstanding equity incentive awards as part of the change-in-control transaction, vesting also will accelerate and award holders will be given an opportunity to exercise outstanding stock options before such termination. The Compensation Committee can modify or rescind these provisions or adopt other acceleration provisions. See our Potential Payments on Termination or Change in Control on page 70 for further details.</w:t>
      </w:r>
    </w:p>
    <w:p>
      <w:pPr>
        <w:spacing w:after="0" w:line="16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3"/>
          <w:szCs w:val="13"/>
          <w:b w:val="1"/>
          <w:bCs w:val="1"/>
          <w:color w:val="00244F"/>
        </w:rPr>
        <w:t>46</w:t>
        <w:tab/>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42480"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bookmarkStart w:id="51" w:name="page52"/>
    <w:bookmarkEnd w:id="51"/>
    <w:p>
      <w:pPr>
        <w:spacing w:after="0"/>
        <w:rPr>
          <w:sz w:val="20"/>
          <w:szCs w:val="20"/>
          <w:color w:val="auto"/>
        </w:rPr>
      </w:pPr>
      <w:r>
        <w:rPr>
          <w:rFonts w:ascii="Arial" w:cs="Arial" w:eastAsia="Arial" w:hAnsi="Arial"/>
          <w:sz w:val="17"/>
          <w:szCs w:val="17"/>
          <w:u w:val="single" w:color="auto"/>
          <w:color w:val="0000EE"/>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Overview of Compensation Elements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Non-variable Compensation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4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ELEMENT</w:t>
            </w:r>
          </w:p>
        </w:tc>
        <w:tc>
          <w:tcPr>
            <w:tcW w:w="240" w:type="dxa"/>
            <w:vAlign w:val="bottom"/>
            <w:tcBorders>
              <w:right w:val="single" w:sz="8" w:color="auto"/>
            </w:tcBorders>
          </w:tcPr>
          <w:p>
            <w:pPr>
              <w:spacing w:after="0"/>
              <w:rPr>
                <w:sz w:val="15"/>
                <w:szCs w:val="15"/>
                <w:color w:val="auto"/>
              </w:rPr>
            </w:pPr>
          </w:p>
        </w:tc>
        <w:tc>
          <w:tcPr>
            <w:tcW w:w="604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KEY FEATURES</w:t>
            </w:r>
          </w:p>
        </w:tc>
      </w:tr>
      <w:tr>
        <w:trPr>
          <w:trHeight w:val="236"/>
        </w:trPr>
        <w:tc>
          <w:tcPr>
            <w:tcW w:w="1440" w:type="dxa"/>
            <w:vAlign w:val="bottom"/>
          </w:tcPr>
          <w:p>
            <w:pPr>
              <w:ind w:left="80"/>
              <w:spacing w:after="0"/>
              <w:rPr>
                <w:sz w:val="20"/>
                <w:szCs w:val="20"/>
                <w:color w:val="auto"/>
              </w:rPr>
            </w:pPr>
            <w:r>
              <w:rPr>
                <w:rFonts w:ascii="Arial" w:cs="Arial" w:eastAsia="Arial" w:hAnsi="Arial"/>
                <w:sz w:val="15"/>
                <w:szCs w:val="15"/>
                <w:b w:val="1"/>
                <w:bCs w:val="1"/>
                <w:color w:val="00244F"/>
              </w:rPr>
              <w:t>Base Salary</w:t>
            </w:r>
          </w:p>
        </w:tc>
        <w:tc>
          <w:tcPr>
            <w:tcW w:w="240" w:type="dxa"/>
            <w:vAlign w:val="bottom"/>
          </w:tcPr>
          <w:p>
            <w:pPr>
              <w:spacing w:after="0"/>
              <w:rPr>
                <w:sz w:val="20"/>
                <w:szCs w:val="20"/>
                <w:color w:val="auto"/>
              </w:rPr>
            </w:pPr>
          </w:p>
        </w:tc>
        <w:tc>
          <w:tcPr>
            <w:tcW w:w="6040" w:type="dxa"/>
            <w:vAlign w:val="bottom"/>
          </w:tcPr>
          <w:p>
            <w:pPr>
              <w:ind w:left="60"/>
              <w:spacing w:after="0"/>
              <w:rPr>
                <w:sz w:val="20"/>
                <w:szCs w:val="20"/>
                <w:color w:val="auto"/>
              </w:rPr>
            </w:pPr>
            <w:r>
              <w:rPr>
                <w:rFonts w:ascii="Arial" w:cs="Arial" w:eastAsia="Arial" w:hAnsi="Arial"/>
                <w:sz w:val="15"/>
                <w:szCs w:val="15"/>
                <w:b w:val="1"/>
                <w:bCs w:val="1"/>
                <w:color w:val="28C0DA"/>
              </w:rPr>
              <w:t xml:space="preserve">•  </w:t>
            </w:r>
            <w:r>
              <w:rPr>
                <w:rFonts w:ascii="Arial" w:cs="Arial" w:eastAsia="Arial" w:hAnsi="Arial"/>
                <w:sz w:val="15"/>
                <w:szCs w:val="15"/>
                <w:color w:val="000000"/>
              </w:rPr>
              <w:t>Fixed annual cash amount.</w:t>
            </w:r>
          </w:p>
        </w:tc>
      </w:tr>
      <w:tr>
        <w:trPr>
          <w:trHeight w:val="232"/>
        </w:trPr>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40" w:type="dxa"/>
            <w:vAlign w:val="bottom"/>
          </w:tcPr>
          <w:p>
            <w:pPr>
              <w:ind w:left="60"/>
              <w:spacing w:after="0"/>
              <w:rPr>
                <w:sz w:val="20"/>
                <w:szCs w:val="20"/>
                <w:color w:val="auto"/>
              </w:rPr>
            </w:pPr>
            <w:r>
              <w:rPr>
                <w:rFonts w:ascii="Arial" w:cs="Arial" w:eastAsia="Arial" w:hAnsi="Arial"/>
                <w:sz w:val="15"/>
                <w:szCs w:val="15"/>
                <w:b w:val="1"/>
                <w:bCs w:val="1"/>
                <w:color w:val="28C0DA"/>
              </w:rPr>
              <w:t xml:space="preserve">•  </w:t>
            </w:r>
            <w:r>
              <w:rPr>
                <w:rFonts w:ascii="Arial" w:cs="Arial" w:eastAsia="Arial" w:hAnsi="Arial"/>
                <w:sz w:val="15"/>
                <w:szCs w:val="15"/>
                <w:color w:val="000000"/>
              </w:rPr>
              <w:t>Salary paid to our most senior personnel in the U.S. has been capped at $350,000</w:t>
            </w:r>
          </w:p>
        </w:tc>
      </w:tr>
      <w:tr>
        <w:trPr>
          <w:trHeight w:val="198"/>
        </w:trPr>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40" w:type="dxa"/>
            <w:vAlign w:val="bottom"/>
          </w:tcPr>
          <w:p>
            <w:pPr>
              <w:ind w:left="240"/>
              <w:spacing w:after="0"/>
              <w:rPr>
                <w:sz w:val="20"/>
                <w:szCs w:val="20"/>
                <w:color w:val="auto"/>
              </w:rPr>
            </w:pPr>
            <w:r>
              <w:rPr>
                <w:rFonts w:ascii="Arial" w:cs="Arial" w:eastAsia="Arial" w:hAnsi="Arial"/>
                <w:sz w:val="15"/>
                <w:szCs w:val="15"/>
                <w:color w:val="auto"/>
              </w:rPr>
              <w:t>since 2005.</w:t>
            </w:r>
          </w:p>
        </w:tc>
      </w:tr>
      <w:tr>
        <w:trPr>
          <w:trHeight w:val="227"/>
        </w:trPr>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40" w:type="dxa"/>
            <w:vAlign w:val="bottom"/>
          </w:tcPr>
          <w:p>
            <w:pPr>
              <w:ind w:left="60"/>
              <w:spacing w:after="0"/>
              <w:rPr>
                <w:sz w:val="20"/>
                <w:szCs w:val="20"/>
                <w:color w:val="auto"/>
              </w:rPr>
            </w:pPr>
            <w:r>
              <w:rPr>
                <w:rFonts w:ascii="Arial" w:cs="Arial" w:eastAsia="Arial" w:hAnsi="Arial"/>
                <w:sz w:val="15"/>
                <w:szCs w:val="15"/>
                <w:b w:val="1"/>
                <w:bCs w:val="1"/>
                <w:color w:val="28C0DA"/>
              </w:rPr>
              <w:t xml:space="preserve">•  </w:t>
            </w:r>
            <w:r>
              <w:rPr>
                <w:rFonts w:ascii="Arial" w:cs="Arial" w:eastAsia="Arial" w:hAnsi="Arial"/>
                <w:sz w:val="15"/>
                <w:szCs w:val="15"/>
                <w:color w:val="000000"/>
              </w:rPr>
              <w:t>Salaries for personnel outside the U.S. are also capped at comparable levels of local</w:t>
            </w:r>
          </w:p>
        </w:tc>
      </w:tr>
      <w:tr>
        <w:trPr>
          <w:trHeight w:val="198"/>
        </w:trPr>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40" w:type="dxa"/>
            <w:vAlign w:val="bottom"/>
          </w:tcPr>
          <w:p>
            <w:pPr>
              <w:ind w:left="240"/>
              <w:spacing w:after="0"/>
              <w:rPr>
                <w:sz w:val="20"/>
                <w:szCs w:val="20"/>
                <w:color w:val="auto"/>
              </w:rPr>
            </w:pPr>
            <w:r>
              <w:rPr>
                <w:rFonts w:ascii="Arial" w:cs="Arial" w:eastAsia="Arial" w:hAnsi="Arial"/>
                <w:sz w:val="15"/>
                <w:szCs w:val="15"/>
                <w:color w:val="auto"/>
              </w:rPr>
              <w:t>currency.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4896485"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896485" cy="7620"/>
                    </a:xfrm>
                    <a:prstGeom prst="rect">
                      <a:avLst/>
                    </a:prstGeom>
                    <a:noFill/>
                  </pic:spPr>
                </pic:pic>
              </a:graphicData>
            </a:graphic>
          </wp:anchor>
        </w:drawing>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UK Based Employees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4896485"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89648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-91440</wp:posOffset>
            </wp:positionV>
            <wp:extent cx="2110740" cy="1187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110740" cy="118745"/>
                    </a:xfrm>
                    <a:prstGeom prst="rect">
                      <a:avLst/>
                    </a:prstGeom>
                    <a:noFill/>
                  </pic:spPr>
                </pic:pic>
              </a:graphicData>
            </a:graphic>
          </wp:anchor>
        </w:drawing>
      </w:r>
    </w:p>
    <w:p>
      <w:pPr>
        <w:spacing w:after="0" w:line="60" w:lineRule="exact"/>
        <w:rPr>
          <w:sz w:val="20"/>
          <w:szCs w:val="20"/>
          <w:color w:val="auto"/>
        </w:rPr>
      </w:pPr>
    </w:p>
    <w:p>
      <w:pPr>
        <w:ind w:left="160" w:right="300" w:hanging="179"/>
        <w:spacing w:after="0" w:line="250" w:lineRule="auto"/>
        <w:rPr>
          <w:sz w:val="20"/>
          <w:szCs w:val="20"/>
          <w:color w:val="auto"/>
        </w:rPr>
      </w:pPr>
      <w:r>
        <w:rPr>
          <w:rFonts w:ascii="Arial" w:cs="Arial" w:eastAsia="Arial" w:hAnsi="Arial"/>
          <w:sz w:val="15"/>
          <w:szCs w:val="15"/>
          <w:b w:val="1"/>
          <w:bCs w:val="1"/>
          <w:color w:val="28C0DA"/>
        </w:rPr>
        <w:t xml:space="preserve">• </w:t>
      </w:r>
      <w:r>
        <w:rPr>
          <w:rFonts w:ascii="Arial" w:cs="Arial" w:eastAsia="Arial" w:hAnsi="Arial"/>
          <w:sz w:val="15"/>
          <w:szCs w:val="15"/>
          <w:color w:val="000000"/>
        </w:rPr>
        <w:t>Represents a small component of total</w:t>
      </w:r>
      <w:r>
        <w:rPr>
          <w:rFonts w:ascii="Arial" w:cs="Arial" w:eastAsia="Arial" w:hAnsi="Arial"/>
          <w:sz w:val="15"/>
          <w:szCs w:val="15"/>
          <w:b w:val="1"/>
          <w:bCs w:val="1"/>
          <w:color w:val="28C0DA"/>
        </w:rPr>
        <w:t xml:space="preserve"> </w:t>
      </w:r>
      <w:r>
        <w:rPr>
          <w:rFonts w:ascii="Arial" w:cs="Arial" w:eastAsia="Arial" w:hAnsi="Arial"/>
          <w:sz w:val="15"/>
          <w:szCs w:val="15"/>
          <w:color w:val="000000"/>
        </w:rPr>
        <w:t>compensation, so that most of NEO compensation is dependent on variable performance-based annual incentive compensation as well as long-term equity incentives and/or carried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45720</wp:posOffset>
            </wp:positionV>
            <wp:extent cx="2110740"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110740" cy="762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227965</wp:posOffset>
            </wp:positionV>
            <wp:extent cx="2110740"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110740" cy="7620"/>
                    </a:xfrm>
                    <a:prstGeom prst="rect">
                      <a:avLst/>
                    </a:prstGeom>
                    <a:noFill/>
                  </pic:spPr>
                </pic:pic>
              </a:graphicData>
            </a:graphic>
          </wp:anchor>
        </w:drawing>
      </w:r>
    </w:p>
    <w:p>
      <w:pPr>
        <w:spacing w:after="0" w:line="409" w:lineRule="exact"/>
        <w:rPr>
          <w:sz w:val="20"/>
          <w:szCs w:val="20"/>
          <w:color w:val="auto"/>
        </w:rPr>
      </w:pPr>
    </w:p>
    <w:p>
      <w:pPr>
        <w:sectPr>
          <w:pgSz w:w="11900" w:h="16838" w:orient="portrait"/>
          <w:cols w:equalWidth="0" w:num="2">
            <w:col w:w="7720" w:space="300"/>
            <w:col w:w="3220"/>
          </w:cols>
          <w:pgMar w:left="320" w:top="223" w:right="339" w:bottom="1440" w:gutter="0" w:footer="0" w:header="0"/>
        </w:sectPr>
      </w:pPr>
    </w:p>
    <w:p>
      <w:pPr>
        <w:ind w:left="80"/>
        <w:spacing w:after="0"/>
        <w:rPr>
          <w:sz w:val="20"/>
          <w:szCs w:val="20"/>
          <w:color w:val="auto"/>
        </w:rPr>
      </w:pPr>
      <w:r>
        <w:rPr>
          <w:rFonts w:ascii="Arial" w:cs="Arial" w:eastAsia="Arial" w:hAnsi="Arial"/>
          <w:sz w:val="15"/>
          <w:szCs w:val="15"/>
          <w:b w:val="1"/>
          <w:bCs w:val="1"/>
          <w:color w:val="00244F"/>
        </w:rPr>
        <w:t>Fixed Annual</w:t>
      </w:r>
    </w:p>
    <w:p>
      <w:pPr>
        <w:spacing w:after="0" w:line="16"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00244F"/>
        </w:rPr>
        <w:t>Supplemental</w:t>
      </w:r>
    </w:p>
    <w:p>
      <w:pPr>
        <w:spacing w:after="0" w:line="14"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00244F"/>
        </w:rPr>
        <w:t>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556260</wp:posOffset>
            </wp:positionV>
            <wp:extent cx="920750"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92075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75" w:hanging="175"/>
        <w:spacing w:after="0" w:line="278" w:lineRule="auto"/>
        <w:tabs>
          <w:tab w:leader="none" w:pos="172" w:val="left"/>
        </w:tabs>
        <w:numPr>
          <w:ilvl w:val="0"/>
          <w:numId w:val="62"/>
        </w:numPr>
        <w:rPr>
          <w:rFonts w:ascii="Arial" w:cs="Arial" w:eastAsia="Arial" w:hAnsi="Arial"/>
          <w:sz w:val="15"/>
          <w:szCs w:val="15"/>
          <w:b w:val="1"/>
          <w:bCs w:val="1"/>
          <w:color w:val="28C0DA"/>
        </w:rPr>
      </w:pPr>
      <w:r>
        <w:rPr>
          <w:rFonts w:ascii="Arial" w:cs="Arial" w:eastAsia="Arial" w:hAnsi="Arial"/>
          <w:sz w:val="15"/>
          <w:szCs w:val="15"/>
          <w:color w:val="auto"/>
        </w:rPr>
        <w:t>Only for UK based senior executives whose variable incentive compensation program was reduced as a result of regulatory changes.</w:t>
      </w:r>
    </w:p>
    <w:p>
      <w:pPr>
        <w:spacing w:after="0" w:line="37" w:lineRule="exact"/>
        <w:rPr>
          <w:rFonts w:ascii="Arial" w:cs="Arial" w:eastAsia="Arial" w:hAnsi="Arial"/>
          <w:sz w:val="15"/>
          <w:szCs w:val="15"/>
          <w:b w:val="1"/>
          <w:bCs w:val="1"/>
          <w:color w:val="28C0DA"/>
        </w:rPr>
      </w:pPr>
    </w:p>
    <w:p>
      <w:pPr>
        <w:ind w:left="175" w:right="360" w:hanging="175"/>
        <w:spacing w:after="0" w:line="278" w:lineRule="auto"/>
        <w:tabs>
          <w:tab w:leader="none" w:pos="172" w:val="left"/>
        </w:tabs>
        <w:numPr>
          <w:ilvl w:val="0"/>
          <w:numId w:val="62"/>
        </w:numPr>
        <w:rPr>
          <w:rFonts w:ascii="Arial" w:cs="Arial" w:eastAsia="Arial" w:hAnsi="Arial"/>
          <w:sz w:val="15"/>
          <w:szCs w:val="15"/>
          <w:b w:val="1"/>
          <w:bCs w:val="1"/>
          <w:color w:val="28C0DA"/>
        </w:rPr>
      </w:pPr>
      <w:r>
        <w:rPr>
          <w:rFonts w:ascii="Arial" w:cs="Arial" w:eastAsia="Arial" w:hAnsi="Arial"/>
          <w:sz w:val="15"/>
          <w:szCs w:val="15"/>
          <w:color w:val="auto"/>
        </w:rPr>
        <w:t>Not subject to forfeiture or clawback, and paid in monthly installments during the year.</w:t>
      </w:r>
    </w:p>
    <w:p>
      <w:pPr>
        <w:spacing w:after="0" w:line="37" w:lineRule="exact"/>
        <w:rPr>
          <w:rFonts w:ascii="Arial" w:cs="Arial" w:eastAsia="Arial" w:hAnsi="Arial"/>
          <w:sz w:val="15"/>
          <w:szCs w:val="15"/>
          <w:b w:val="1"/>
          <w:bCs w:val="1"/>
          <w:color w:val="28C0DA"/>
        </w:rPr>
      </w:pPr>
    </w:p>
    <w:p>
      <w:pPr>
        <w:ind w:left="175" w:hanging="175"/>
        <w:spacing w:after="0"/>
        <w:tabs>
          <w:tab w:leader="none" w:pos="175" w:val="left"/>
        </w:tabs>
        <w:numPr>
          <w:ilvl w:val="0"/>
          <w:numId w:val="62"/>
        </w:numPr>
        <w:rPr>
          <w:rFonts w:ascii="Arial" w:cs="Arial" w:eastAsia="Arial" w:hAnsi="Arial"/>
          <w:sz w:val="15"/>
          <w:szCs w:val="15"/>
          <w:b w:val="1"/>
          <w:bCs w:val="1"/>
          <w:color w:val="28C0DA"/>
        </w:rPr>
      </w:pPr>
      <w:r>
        <w:rPr>
          <w:rFonts w:ascii="Arial" w:cs="Arial" w:eastAsia="Arial" w:hAnsi="Arial"/>
          <w:sz w:val="15"/>
          <w:szCs w:val="15"/>
          <w:color w:val="auto"/>
        </w:rPr>
        <w:t>Not included for determining retirement or 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231775</wp:posOffset>
            </wp:positionV>
            <wp:extent cx="3841115"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84111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28C0DA"/>
        </w:rPr>
        <w:t xml:space="preserve">•  </w:t>
      </w:r>
      <w:r>
        <w:rPr>
          <w:rFonts w:ascii="Arial" w:cs="Arial" w:eastAsia="Arial" w:hAnsi="Arial"/>
          <w:sz w:val="15"/>
          <w:szCs w:val="15"/>
          <w:color w:val="000000"/>
        </w:rPr>
        <w:t>Provides supplemental compensation to</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5"/>
          <w:szCs w:val="15"/>
          <w:color w:val="auto"/>
        </w:rPr>
        <w:t>applicable individuals to ensure they were</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not negatively impacted by required</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regulatory compensation changes.</w:t>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b w:val="1"/>
          <w:bCs w:val="1"/>
          <w:color w:val="28C0DA"/>
        </w:rPr>
        <w:t xml:space="preserve">•  </w:t>
      </w:r>
      <w:r>
        <w:rPr>
          <w:rFonts w:ascii="Arial" w:cs="Arial" w:eastAsia="Arial" w:hAnsi="Arial"/>
          <w:sz w:val="15"/>
          <w:szCs w:val="15"/>
          <w:color w:val="000000"/>
        </w:rPr>
        <w:t>Represents a small component of total</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compensation, so that most NEO</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compensation is variable.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55880</wp:posOffset>
            </wp:positionV>
            <wp:extent cx="2110740"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110740" cy="7620"/>
                    </a:xfrm>
                    <a:prstGeom prst="rect">
                      <a:avLst/>
                    </a:prstGeom>
                    <a:noFill/>
                  </pic:spPr>
                </pic:pic>
              </a:graphicData>
            </a:graphic>
          </wp:anchor>
        </w:drawing>
      </w:r>
    </w:p>
    <w:p>
      <w:pPr>
        <w:spacing w:after="0" w:line="143" w:lineRule="exact"/>
        <w:rPr>
          <w:sz w:val="20"/>
          <w:szCs w:val="20"/>
          <w:color w:val="auto"/>
        </w:rPr>
      </w:pPr>
    </w:p>
    <w:p>
      <w:pPr>
        <w:sectPr>
          <w:pgSz w:w="11900" w:h="16838" w:orient="portrait"/>
          <w:cols w:equalWidth="0" w:num="3">
            <w:col w:w="1060" w:space="685"/>
            <w:col w:w="5855" w:space="400"/>
            <w:col w:w="3240"/>
          </w:cols>
          <w:pgMar w:left="320" w:top="22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Annual Variable Compensation</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4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ELEMENT</w:t>
            </w:r>
          </w:p>
        </w:tc>
        <w:tc>
          <w:tcPr>
            <w:tcW w:w="220" w:type="dxa"/>
            <w:vAlign w:val="bottom"/>
            <w:tcBorders>
              <w:right w:val="single" w:sz="8" w:color="auto"/>
            </w:tcBorders>
          </w:tcPr>
          <w:p>
            <w:pPr>
              <w:spacing w:after="0"/>
              <w:rPr>
                <w:sz w:val="15"/>
                <w:szCs w:val="15"/>
                <w:color w:val="auto"/>
              </w:rPr>
            </w:pPr>
          </w:p>
        </w:tc>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KEY FEATURES</w:t>
            </w:r>
          </w:p>
        </w:tc>
      </w:tr>
      <w:tr>
        <w:trPr>
          <w:trHeight w:val="205"/>
        </w:trPr>
        <w:tc>
          <w:tcPr>
            <w:tcW w:w="1440" w:type="dxa"/>
            <w:vAlign w:val="bottom"/>
          </w:tcPr>
          <w:p>
            <w:pPr>
              <w:ind w:left="80"/>
              <w:spacing w:after="0"/>
              <w:rPr>
                <w:sz w:val="20"/>
                <w:szCs w:val="20"/>
                <w:color w:val="auto"/>
              </w:rPr>
            </w:pPr>
            <w:r>
              <w:rPr>
                <w:rFonts w:ascii="Arial" w:cs="Arial" w:eastAsia="Arial" w:hAnsi="Arial"/>
                <w:sz w:val="15"/>
                <w:szCs w:val="15"/>
                <w:b w:val="1"/>
                <w:bCs w:val="1"/>
                <w:color w:val="00244F"/>
              </w:rPr>
              <w:t>AICP</w:t>
            </w:r>
          </w:p>
        </w:tc>
        <w:tc>
          <w:tcPr>
            <w:tcW w:w="220" w:type="dxa"/>
            <w:vAlign w:val="bottom"/>
          </w:tcPr>
          <w:p>
            <w:pPr>
              <w:spacing w:after="0"/>
              <w:rPr>
                <w:sz w:val="17"/>
                <w:szCs w:val="17"/>
                <w:color w:val="auto"/>
              </w:rPr>
            </w:pPr>
          </w:p>
        </w:tc>
        <w:tc>
          <w:tcPr>
            <w:tcW w:w="6060" w:type="dxa"/>
            <w:vAlign w:val="bottom"/>
          </w:tcPr>
          <w:p>
            <w:pPr>
              <w:ind w:left="80"/>
              <w:spacing w:after="0"/>
              <w:rPr>
                <w:sz w:val="20"/>
                <w:szCs w:val="20"/>
                <w:color w:val="auto"/>
              </w:rPr>
            </w:pPr>
            <w:r>
              <w:rPr>
                <w:rFonts w:ascii="Arial" w:cs="Arial" w:eastAsia="Arial" w:hAnsi="Arial"/>
                <w:sz w:val="15"/>
                <w:szCs w:val="15"/>
                <w:b w:val="1"/>
                <w:bCs w:val="1"/>
                <w:color w:val="28C0DA"/>
              </w:rPr>
              <w:t xml:space="preserve">• </w:t>
            </w:r>
            <w:r>
              <w:rPr>
                <w:rFonts w:ascii="Arial" w:cs="Arial" w:eastAsia="Arial" w:hAnsi="Arial"/>
                <w:sz w:val="15"/>
                <w:szCs w:val="15"/>
                <w:color w:val="000000"/>
              </w:rPr>
              <w:t>Performance based and represents a material portion of the NEO’s total</w:t>
            </w:r>
          </w:p>
        </w:tc>
      </w:tr>
      <w:tr>
        <w:trPr>
          <w:trHeight w:val="198"/>
        </w:trPr>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60" w:type="dxa"/>
            <w:vAlign w:val="bottom"/>
          </w:tcPr>
          <w:p>
            <w:pPr>
              <w:ind w:left="260"/>
              <w:spacing w:after="0"/>
              <w:rPr>
                <w:sz w:val="20"/>
                <w:szCs w:val="20"/>
                <w:color w:val="auto"/>
              </w:rPr>
            </w:pPr>
            <w:r>
              <w:rPr>
                <w:rFonts w:ascii="Arial" w:cs="Arial" w:eastAsia="Arial" w:hAnsi="Arial"/>
                <w:sz w:val="15"/>
                <w:szCs w:val="15"/>
                <w:color w:val="auto"/>
              </w:rPr>
              <w:t>compensation.</w:t>
            </w:r>
          </w:p>
        </w:tc>
      </w:tr>
    </w:tbl>
    <w:p>
      <w:pPr>
        <w:spacing w:after="0" w:line="40" w:lineRule="exact"/>
        <w:rPr>
          <w:sz w:val="20"/>
          <w:szCs w:val="20"/>
          <w:color w:val="auto"/>
        </w:rPr>
      </w:pPr>
    </w:p>
    <w:p>
      <w:pPr>
        <w:ind w:left="1920" w:hanging="187"/>
        <w:spacing w:after="0"/>
        <w:tabs>
          <w:tab w:leader="none" w:pos="1920" w:val="left"/>
        </w:tabs>
        <w:numPr>
          <w:ilvl w:val="0"/>
          <w:numId w:val="63"/>
        </w:numPr>
        <w:rPr>
          <w:rFonts w:ascii="Arial" w:cs="Arial" w:eastAsia="Arial" w:hAnsi="Arial"/>
          <w:sz w:val="15"/>
          <w:szCs w:val="15"/>
          <w:b w:val="1"/>
          <w:bCs w:val="1"/>
          <w:color w:val="28C0DA"/>
        </w:rPr>
      </w:pPr>
      <w:r>
        <w:rPr>
          <w:rFonts w:ascii="Arial" w:cs="Arial" w:eastAsia="Arial" w:hAnsi="Arial"/>
          <w:sz w:val="15"/>
          <w:szCs w:val="15"/>
          <w:color w:val="auto"/>
        </w:rPr>
        <w:t>Administered by the Compensation Committee.</w:t>
      </w:r>
    </w:p>
    <w:p>
      <w:pPr>
        <w:spacing w:after="0" w:line="64" w:lineRule="exact"/>
        <w:rPr>
          <w:rFonts w:ascii="Arial" w:cs="Arial" w:eastAsia="Arial" w:hAnsi="Arial"/>
          <w:sz w:val="15"/>
          <w:szCs w:val="15"/>
          <w:b w:val="1"/>
          <w:bCs w:val="1"/>
          <w:color w:val="28C0DA"/>
        </w:rPr>
      </w:pPr>
    </w:p>
    <w:p>
      <w:pPr>
        <w:ind w:left="1920" w:right="300" w:hanging="187"/>
        <w:spacing w:after="0" w:line="288" w:lineRule="auto"/>
        <w:tabs>
          <w:tab w:leader="none" w:pos="1917" w:val="left"/>
        </w:tabs>
        <w:numPr>
          <w:ilvl w:val="0"/>
          <w:numId w:val="63"/>
        </w:numPr>
        <w:rPr>
          <w:rFonts w:ascii="Arial" w:cs="Arial" w:eastAsia="Arial" w:hAnsi="Arial"/>
          <w:sz w:val="14"/>
          <w:szCs w:val="14"/>
          <w:b w:val="1"/>
          <w:bCs w:val="1"/>
          <w:color w:val="28C0DA"/>
        </w:rPr>
      </w:pPr>
      <w:r>
        <w:rPr>
          <w:rFonts w:ascii="Arial" w:cs="Arial" w:eastAsia="Arial" w:hAnsi="Arial"/>
          <w:sz w:val="14"/>
          <w:szCs w:val="14"/>
          <w:color w:val="auto"/>
        </w:rPr>
        <w:t>The AICP is part of the Company’s annual bonus pool, in which most employees participate. Executive officers and other employees engaged in the OHA business participate in the OHA Pool and not the AICP or the Company’s overall bonus pool.</w:t>
      </w:r>
    </w:p>
    <w:p>
      <w:pPr>
        <w:spacing w:after="0" w:line="7" w:lineRule="exact"/>
        <w:rPr>
          <w:rFonts w:ascii="Arial" w:cs="Arial" w:eastAsia="Arial" w:hAnsi="Arial"/>
          <w:sz w:val="14"/>
          <w:szCs w:val="14"/>
          <w:b w:val="1"/>
          <w:bCs w:val="1"/>
          <w:color w:val="28C0DA"/>
        </w:rPr>
      </w:pPr>
    </w:p>
    <w:p>
      <w:pPr>
        <w:ind w:left="1920" w:right="200" w:hanging="187"/>
        <w:spacing w:after="0" w:line="252" w:lineRule="auto"/>
        <w:tabs>
          <w:tab w:leader="none" w:pos="1917" w:val="left"/>
        </w:tabs>
        <w:numPr>
          <w:ilvl w:val="0"/>
          <w:numId w:val="63"/>
        </w:numPr>
        <w:rPr>
          <w:rFonts w:ascii="Arial" w:cs="Arial" w:eastAsia="Arial" w:hAnsi="Arial"/>
          <w:sz w:val="15"/>
          <w:szCs w:val="15"/>
          <w:b w:val="1"/>
          <w:bCs w:val="1"/>
          <w:color w:val="28C0DA"/>
        </w:rPr>
      </w:pPr>
      <w:r>
        <w:rPr>
          <w:rFonts w:ascii="Arial" w:cs="Arial" w:eastAsia="Arial" w:hAnsi="Arial"/>
          <w:sz w:val="15"/>
          <w:szCs w:val="15"/>
          <w:color w:val="auto"/>
        </w:rPr>
        <w:t>The AICP sets an aggregate maximum bonus pool for eligible NEOs based solely on Company financial performance in the current year. The Compensation Committee annually determines the maximum percentage of the total AICP pool that can be awarded to each NEO. This is a limit on the amount that can be awarded to each NEO that is tied to financial performance.</w:t>
      </w:r>
    </w:p>
    <w:p>
      <w:pPr>
        <w:spacing w:after="0" w:line="31" w:lineRule="exact"/>
        <w:rPr>
          <w:rFonts w:ascii="Arial" w:cs="Arial" w:eastAsia="Arial" w:hAnsi="Arial"/>
          <w:sz w:val="15"/>
          <w:szCs w:val="15"/>
          <w:b w:val="1"/>
          <w:bCs w:val="1"/>
          <w:color w:val="28C0DA"/>
        </w:rPr>
      </w:pPr>
    </w:p>
    <w:p>
      <w:pPr>
        <w:ind w:left="1920" w:right="180" w:hanging="187"/>
        <w:spacing w:after="0" w:line="307" w:lineRule="auto"/>
        <w:tabs>
          <w:tab w:leader="none" w:pos="1917" w:val="left"/>
        </w:tabs>
        <w:numPr>
          <w:ilvl w:val="0"/>
          <w:numId w:val="63"/>
        </w:numPr>
        <w:rPr>
          <w:rFonts w:ascii="Arial" w:cs="Arial" w:eastAsia="Arial" w:hAnsi="Arial"/>
          <w:sz w:val="14"/>
          <w:szCs w:val="14"/>
          <w:b w:val="1"/>
          <w:bCs w:val="1"/>
          <w:color w:val="28C0DA"/>
        </w:rPr>
      </w:pPr>
      <w:r>
        <w:rPr>
          <w:rFonts w:ascii="Arial" w:cs="Arial" w:eastAsia="Arial" w:hAnsi="Arial"/>
          <w:sz w:val="14"/>
          <w:szCs w:val="14"/>
          <w:color w:val="auto"/>
        </w:rPr>
        <w:t>Actual bonus amounts reflect the Company’s financial and operating performance relative to annual goals and objectives plus individual performance and contributions.</w:t>
      </w:r>
    </w:p>
    <w:p>
      <w:pPr>
        <w:ind w:left="1920" w:right="320" w:hanging="187"/>
        <w:spacing w:after="0" w:line="278" w:lineRule="auto"/>
        <w:tabs>
          <w:tab w:leader="none" w:pos="1917" w:val="left"/>
        </w:tabs>
        <w:numPr>
          <w:ilvl w:val="0"/>
          <w:numId w:val="63"/>
        </w:numPr>
        <w:rPr>
          <w:rFonts w:ascii="Arial" w:cs="Arial" w:eastAsia="Arial" w:hAnsi="Arial"/>
          <w:sz w:val="15"/>
          <w:szCs w:val="15"/>
          <w:b w:val="1"/>
          <w:bCs w:val="1"/>
          <w:color w:val="28C0DA"/>
        </w:rPr>
      </w:pPr>
      <w:r>
        <w:rPr>
          <w:rFonts w:ascii="Arial" w:cs="Arial" w:eastAsia="Arial" w:hAnsi="Arial"/>
          <w:sz w:val="15"/>
          <w:szCs w:val="15"/>
          <w:color w:val="auto"/>
        </w:rPr>
        <w:t>Actual bonus amounts for each NEO are typically lower than the maximum amount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4896485"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896485" cy="7620"/>
                    </a:xfrm>
                    <a:prstGeom prst="rect">
                      <a:avLst/>
                    </a:prstGeom>
                    <a:noFill/>
                  </pic:spPr>
                </pic:pic>
              </a:graphicData>
            </a:graphic>
          </wp:anchor>
        </w:drawing>
      </w:r>
    </w:p>
    <w:p>
      <w:pPr>
        <w:spacing w:after="0" w:line="55"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OHA Employees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4896485"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896485" cy="7620"/>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40" w:type="dxa"/>
            <w:vAlign w:val="bottom"/>
          </w:tcPr>
          <w:p>
            <w:pPr>
              <w:ind w:left="80"/>
              <w:spacing w:after="0"/>
              <w:rPr>
                <w:sz w:val="20"/>
                <w:szCs w:val="20"/>
                <w:color w:val="auto"/>
              </w:rPr>
            </w:pPr>
            <w:r>
              <w:rPr>
                <w:rFonts w:ascii="Arial" w:cs="Arial" w:eastAsia="Arial" w:hAnsi="Arial"/>
                <w:sz w:val="15"/>
                <w:szCs w:val="15"/>
                <w:b w:val="1"/>
                <w:bCs w:val="1"/>
                <w:color w:val="00244F"/>
              </w:rPr>
              <w:t>OHA Pool</w:t>
            </w:r>
          </w:p>
        </w:tc>
        <w:tc>
          <w:tcPr>
            <w:tcW w:w="200" w:type="dxa"/>
            <w:vAlign w:val="bottom"/>
          </w:tcPr>
          <w:p>
            <w:pPr>
              <w:spacing w:after="0"/>
              <w:rPr>
                <w:sz w:val="15"/>
                <w:szCs w:val="15"/>
                <w:color w:val="auto"/>
              </w:rPr>
            </w:pPr>
          </w:p>
        </w:tc>
        <w:tc>
          <w:tcPr>
            <w:tcW w:w="200" w:type="dxa"/>
            <w:vAlign w:val="bottom"/>
          </w:tcPr>
          <w:p>
            <w:pPr>
              <w:ind w:left="100"/>
              <w:spacing w:after="0"/>
              <w:rPr>
                <w:sz w:val="20"/>
                <w:szCs w:val="20"/>
                <w:color w:val="auto"/>
              </w:rPr>
            </w:pPr>
            <w:r>
              <w:rPr>
                <w:rFonts w:ascii="Arial" w:cs="Arial" w:eastAsia="Arial" w:hAnsi="Arial"/>
                <w:sz w:val="15"/>
                <w:szCs w:val="15"/>
                <w:b w:val="1"/>
                <w:bCs w:val="1"/>
                <w:color w:val="28C0DA"/>
              </w:rPr>
              <w:t>•</w:t>
            </w:r>
          </w:p>
        </w:tc>
        <w:tc>
          <w:tcPr>
            <w:tcW w:w="5880" w:type="dxa"/>
            <w:vAlign w:val="bottom"/>
          </w:tcPr>
          <w:p>
            <w:pPr>
              <w:ind w:left="80"/>
              <w:spacing w:after="0"/>
              <w:rPr>
                <w:sz w:val="20"/>
                <w:szCs w:val="20"/>
                <w:color w:val="auto"/>
              </w:rPr>
            </w:pPr>
            <w:r>
              <w:rPr>
                <w:rFonts w:ascii="Arial" w:cs="Arial" w:eastAsia="Arial" w:hAnsi="Arial"/>
                <w:sz w:val="15"/>
                <w:szCs w:val="15"/>
                <w:color w:val="auto"/>
              </w:rPr>
              <w:t>Represents a fixed percentage of the management fees and current performance fees</w:t>
            </w:r>
          </w:p>
        </w:tc>
      </w:tr>
      <w:tr>
        <w:trPr>
          <w:trHeight w:val="198"/>
        </w:trPr>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80" w:type="dxa"/>
            <w:vAlign w:val="bottom"/>
          </w:tcPr>
          <w:p>
            <w:pPr>
              <w:ind w:left="80"/>
              <w:spacing w:after="0"/>
              <w:rPr>
                <w:sz w:val="20"/>
                <w:szCs w:val="20"/>
                <w:color w:val="auto"/>
              </w:rPr>
            </w:pPr>
            <w:r>
              <w:rPr>
                <w:rFonts w:ascii="Arial" w:cs="Arial" w:eastAsia="Arial" w:hAnsi="Arial"/>
                <w:sz w:val="15"/>
                <w:szCs w:val="15"/>
                <w:color w:val="auto"/>
              </w:rPr>
              <w:t>earned from OHA managed funds.</w:t>
            </w:r>
          </w:p>
        </w:tc>
      </w:tr>
      <w:tr>
        <w:trPr>
          <w:trHeight w:val="245"/>
        </w:trPr>
        <w:tc>
          <w:tcPr>
            <w:tcW w:w="1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ind w:left="100"/>
              <w:spacing w:after="0"/>
              <w:rPr>
                <w:sz w:val="20"/>
                <w:szCs w:val="20"/>
                <w:color w:val="auto"/>
              </w:rPr>
            </w:pPr>
            <w:r>
              <w:rPr>
                <w:rFonts w:ascii="Arial" w:cs="Arial" w:eastAsia="Arial" w:hAnsi="Arial"/>
                <w:sz w:val="15"/>
                <w:szCs w:val="15"/>
                <w:b w:val="1"/>
                <w:bCs w:val="1"/>
                <w:color w:val="28C0DA"/>
              </w:rPr>
              <w:t>•</w:t>
            </w:r>
          </w:p>
        </w:tc>
        <w:tc>
          <w:tcPr>
            <w:tcW w:w="5880" w:type="dxa"/>
            <w:vAlign w:val="bottom"/>
          </w:tcPr>
          <w:p>
            <w:pPr>
              <w:ind w:left="80"/>
              <w:spacing w:after="0"/>
              <w:rPr>
                <w:sz w:val="20"/>
                <w:szCs w:val="20"/>
                <w:color w:val="auto"/>
              </w:rPr>
            </w:pPr>
            <w:r>
              <w:rPr>
                <w:rFonts w:ascii="Arial" w:cs="Arial" w:eastAsia="Arial" w:hAnsi="Arial"/>
                <w:sz w:val="15"/>
                <w:szCs w:val="15"/>
                <w:color w:val="auto"/>
              </w:rPr>
              <w:t>The OHA Pool represents an annual bonus program for all OHA employees.</w:t>
            </w:r>
          </w:p>
        </w:tc>
      </w:tr>
      <w:tr>
        <w:trPr>
          <w:trHeight w:val="169"/>
        </w:trPr>
        <w:tc>
          <w:tcPr>
            <w:tcW w:w="1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80" w:type="dxa"/>
            <w:vAlign w:val="bottom"/>
            <w:tcBorders>
              <w:bottom w:val="single" w:sz="8" w:color="auto"/>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467995</wp:posOffset>
            </wp:positionV>
            <wp:extent cx="7142480"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-91440</wp:posOffset>
            </wp:positionV>
            <wp:extent cx="2110740" cy="1187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110740" cy="118745"/>
                    </a:xfrm>
                    <a:prstGeom prst="rect">
                      <a:avLst/>
                    </a:prstGeom>
                    <a:noFill/>
                  </pic:spPr>
                </pic:pic>
              </a:graphicData>
            </a:graphic>
          </wp:anchor>
        </w:drawing>
      </w:r>
    </w:p>
    <w:p>
      <w:pPr>
        <w:spacing w:after="0" w:line="60" w:lineRule="exact"/>
        <w:rPr>
          <w:sz w:val="20"/>
          <w:szCs w:val="20"/>
          <w:color w:val="auto"/>
        </w:rPr>
      </w:pPr>
    </w:p>
    <w:p>
      <w:pPr>
        <w:ind w:left="200" w:right="120" w:hanging="173"/>
        <w:spacing w:after="0" w:line="252" w:lineRule="auto"/>
        <w:tabs>
          <w:tab w:leader="none" w:pos="198" w:val="left"/>
        </w:tabs>
        <w:numPr>
          <w:ilvl w:val="0"/>
          <w:numId w:val="64"/>
        </w:numPr>
        <w:rPr>
          <w:rFonts w:ascii="Arial" w:cs="Arial" w:eastAsia="Arial" w:hAnsi="Arial"/>
          <w:sz w:val="15"/>
          <w:szCs w:val="15"/>
          <w:b w:val="1"/>
          <w:bCs w:val="1"/>
          <w:color w:val="28C0DA"/>
        </w:rPr>
      </w:pPr>
      <w:r>
        <w:rPr>
          <w:rFonts w:ascii="Arial" w:cs="Arial" w:eastAsia="Arial" w:hAnsi="Arial"/>
          <w:sz w:val="15"/>
          <w:szCs w:val="15"/>
          <w:color w:val="auto"/>
        </w:rPr>
        <w:t>Provides structure for incentive compensation and, coupled with the use of judgment by the Compensation Committee, aligns cash compensation to the Company’s annual performance.</w:t>
      </w:r>
    </w:p>
    <w:p>
      <w:pPr>
        <w:spacing w:after="0" w:line="31" w:lineRule="exact"/>
        <w:rPr>
          <w:rFonts w:ascii="Arial" w:cs="Arial" w:eastAsia="Arial" w:hAnsi="Arial"/>
          <w:sz w:val="15"/>
          <w:szCs w:val="15"/>
          <w:b w:val="1"/>
          <w:bCs w:val="1"/>
          <w:color w:val="28C0DA"/>
        </w:rPr>
      </w:pPr>
    </w:p>
    <w:p>
      <w:pPr>
        <w:jc w:val="both"/>
        <w:ind w:left="200" w:right="220" w:hanging="173"/>
        <w:spacing w:after="0" w:line="261" w:lineRule="auto"/>
        <w:tabs>
          <w:tab w:leader="none" w:pos="239" w:val="left"/>
        </w:tabs>
        <w:numPr>
          <w:ilvl w:val="0"/>
          <w:numId w:val="64"/>
        </w:numPr>
        <w:rPr>
          <w:rFonts w:ascii="Arial" w:cs="Arial" w:eastAsia="Arial" w:hAnsi="Arial"/>
          <w:sz w:val="15"/>
          <w:szCs w:val="15"/>
          <w:b w:val="1"/>
          <w:bCs w:val="1"/>
          <w:color w:val="28C0DA"/>
        </w:rPr>
      </w:pPr>
      <w:r>
        <w:rPr>
          <w:rFonts w:ascii="Arial" w:cs="Arial" w:eastAsia="Arial" w:hAnsi="Arial"/>
          <w:sz w:val="15"/>
          <w:szCs w:val="15"/>
          <w:color w:val="auto"/>
        </w:rPr>
        <w:t>Rewards NEOs for achievement of annual Company goals and objectives of our long-term strategy.</w:t>
      </w:r>
    </w:p>
    <w:p>
      <w:pPr>
        <w:spacing w:after="0" w:line="24" w:lineRule="exact"/>
        <w:rPr>
          <w:rFonts w:ascii="Arial" w:cs="Arial" w:eastAsia="Arial" w:hAnsi="Arial"/>
          <w:sz w:val="15"/>
          <w:szCs w:val="15"/>
          <w:b w:val="1"/>
          <w:bCs w:val="1"/>
          <w:color w:val="28C0DA"/>
        </w:rPr>
      </w:pPr>
    </w:p>
    <w:p>
      <w:pPr>
        <w:jc w:val="both"/>
        <w:ind w:left="200" w:right="140" w:hanging="173"/>
        <w:spacing w:after="0" w:line="315" w:lineRule="auto"/>
        <w:tabs>
          <w:tab w:leader="none" w:pos="239" w:val="left"/>
        </w:tabs>
        <w:numPr>
          <w:ilvl w:val="0"/>
          <w:numId w:val="64"/>
        </w:numPr>
        <w:rPr>
          <w:rFonts w:ascii="Arial" w:cs="Arial" w:eastAsia="Arial" w:hAnsi="Arial"/>
          <w:sz w:val="14"/>
          <w:szCs w:val="14"/>
          <w:b w:val="1"/>
          <w:bCs w:val="1"/>
          <w:color w:val="28C0DA"/>
        </w:rPr>
      </w:pPr>
      <w:r>
        <w:rPr>
          <w:rFonts w:ascii="Arial" w:cs="Arial" w:eastAsia="Arial" w:hAnsi="Arial"/>
          <w:sz w:val="14"/>
          <w:szCs w:val="14"/>
          <w:color w:val="auto"/>
        </w:rPr>
        <w:t>Provides competitive cash compensation to attract and retain diverse high-quality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675640</wp:posOffset>
            </wp:positionV>
            <wp:extent cx="2110740"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110740" cy="7620"/>
                    </a:xfrm>
                    <a:prstGeom prst="rect">
                      <a:avLst/>
                    </a:prstGeom>
                    <a:noFill/>
                  </pic:spPr>
                </pic:pic>
              </a:graphicData>
            </a:graphic>
          </wp:anchor>
        </w:drawing>
        <w:drawing>
          <wp:anchor simplePos="0" relativeHeight="251657728" behindDoc="1" locked="0" layoutInCell="0" allowOverlap="1">
            <wp:simplePos x="0" y="0"/>
            <wp:positionH relativeFrom="column">
              <wp:posOffset>-34925</wp:posOffset>
            </wp:positionH>
            <wp:positionV relativeFrom="paragraph">
              <wp:posOffset>858520</wp:posOffset>
            </wp:positionV>
            <wp:extent cx="2110740"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11074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0" w:right="300" w:hanging="173"/>
        <w:spacing w:after="0" w:line="255" w:lineRule="auto"/>
        <w:tabs>
          <w:tab w:leader="none" w:pos="198" w:val="left"/>
        </w:tabs>
        <w:numPr>
          <w:ilvl w:val="0"/>
          <w:numId w:val="65"/>
        </w:numPr>
        <w:rPr>
          <w:rFonts w:ascii="Arial" w:cs="Arial" w:eastAsia="Arial" w:hAnsi="Arial"/>
          <w:sz w:val="15"/>
          <w:szCs w:val="15"/>
          <w:b w:val="1"/>
          <w:bCs w:val="1"/>
          <w:color w:val="28C0DA"/>
        </w:rPr>
      </w:pPr>
      <w:r>
        <w:rPr>
          <w:rFonts w:ascii="Arial" w:cs="Arial" w:eastAsia="Arial" w:hAnsi="Arial"/>
          <w:sz w:val="15"/>
          <w:szCs w:val="15"/>
          <w:color w:val="auto"/>
        </w:rPr>
        <w:t>Creates a strong link between realized compensation for an NEO who is an executive of OHA and performance of the OHA managed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34290</wp:posOffset>
            </wp:positionV>
            <wp:extent cx="211074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110740" cy="7620"/>
                    </a:xfrm>
                    <a:prstGeom prst="rect">
                      <a:avLst/>
                    </a:prstGeom>
                    <a:noFill/>
                  </pic:spPr>
                </pic:pic>
              </a:graphicData>
            </a:graphic>
          </wp:anchor>
        </w:drawing>
      </w:r>
    </w:p>
    <w:p>
      <w:pPr>
        <w:spacing w:after="0" w:line="224" w:lineRule="exact"/>
        <w:rPr>
          <w:sz w:val="20"/>
          <w:szCs w:val="20"/>
          <w:color w:val="auto"/>
        </w:rPr>
      </w:pPr>
    </w:p>
    <w:tbl>
      <w:tblPr>
        <w:tblLayout w:type="fixed"/>
        <w:tblInd w:w="1740" w:type="dxa"/>
        <w:tblCellMar>
          <w:top w:w="0" w:type="dxa"/>
          <w:left w:w="0" w:type="dxa"/>
          <w:bottom w:w="0" w:type="dxa"/>
          <w:right w:w="0" w:type="dxa"/>
        </w:tblCellMar>
      </w:tblPr>
      <w:tr>
        <w:trPr>
          <w:trHeight w:val="175"/>
        </w:trPr>
        <w:tc>
          <w:tcPr>
            <w:tcW w:w="13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 xml:space="preserve">2024 </w:t>
            </w:r>
            <w:r>
              <w:rPr>
                <w:rFonts w:ascii="Times New Roman" w:cs="Times New Roman" w:eastAsia="Times New Roman" w:hAnsi="Times New Roman"/>
                <w:sz w:val="13"/>
                <w:szCs w:val="13"/>
                <w:color w:val="auto"/>
              </w:rPr>
              <w:t>Proxy Statement</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244F"/>
              </w:rPr>
              <w:t>47</w:t>
            </w:r>
          </w:p>
        </w:tc>
      </w:tr>
    </w:tbl>
    <w:p>
      <w:pPr>
        <w:sectPr>
          <w:pgSz w:w="11900" w:h="16838" w:orient="portrait"/>
          <w:cols w:equalWidth="0" w:num="2">
            <w:col w:w="7720" w:space="260"/>
            <w:col w:w="3260"/>
          </w:cols>
          <w:pgMar w:left="320" w:top="223" w:right="3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7"/>
          <w:szCs w:val="17"/>
          <w:u w:val="single" w:color="auto"/>
          <w:color w:val="0000EE"/>
        </w:rPr>
        <w:t>Table of Contents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Long Term Variable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1047750</wp:posOffset>
            </wp:positionH>
            <wp:positionV relativeFrom="paragraph">
              <wp:posOffset>149860</wp:posOffset>
            </wp:positionV>
            <wp:extent cx="6094730" cy="1187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94730" cy="118745"/>
                    </a:xfrm>
                    <a:prstGeom prst="rect">
                      <a:avLst/>
                    </a:prstGeom>
                    <a:noFill/>
                  </pic:spPr>
                </pic:pic>
              </a:graphicData>
            </a:graphic>
          </wp:anchor>
        </w:drawing>
      </w:r>
    </w:p>
    <w:p>
      <w:pPr>
        <w:sectPr>
          <w:pgSz w:w="11900" w:h="16838" w:orient="portrait"/>
          <w:cols w:equalWidth="0" w:num="1">
            <w:col w:w="11140"/>
          </w:cols>
          <w:pgMar w:left="320" w:top="223" w:right="439" w:bottom="1440" w:gutter="0" w:footer="0" w:header="0"/>
        </w:sectPr>
      </w:pPr>
    </w:p>
    <w:p>
      <w:pPr>
        <w:spacing w:after="0" w:line="244" w:lineRule="exact"/>
        <w:rPr>
          <w:sz w:val="20"/>
          <w:szCs w:val="20"/>
          <w:color w:val="auto"/>
        </w:rPr>
      </w:pPr>
    </w:p>
    <w:p>
      <w:pPr>
        <w:ind w:left="80"/>
        <w:spacing w:after="0"/>
        <w:rPr>
          <w:sz w:val="20"/>
          <w:szCs w:val="20"/>
          <w:color w:val="auto"/>
        </w:rPr>
      </w:pPr>
      <w:r>
        <w:rPr>
          <w:rFonts w:ascii="Arial" w:cs="Arial" w:eastAsia="Arial" w:hAnsi="Arial"/>
          <w:sz w:val="12"/>
          <w:szCs w:val="12"/>
          <w:b w:val="1"/>
          <w:bCs w:val="1"/>
          <w:color w:val="auto"/>
        </w:rPr>
        <w:t>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912495"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912495" cy="7620"/>
                    </a:xfrm>
                    <a:prstGeom prst="rect">
                      <a:avLst/>
                    </a:prstGeom>
                    <a:noFill/>
                  </pic:spPr>
                </pic:pic>
              </a:graphicData>
            </a:graphic>
          </wp:anchor>
        </w:drawing>
      </w:r>
    </w:p>
    <w:p>
      <w:pPr>
        <w:spacing w:after="0" w:line="60" w:lineRule="exact"/>
        <w:rPr>
          <w:sz w:val="20"/>
          <w:szCs w:val="20"/>
          <w:color w:val="auto"/>
        </w:rPr>
      </w:pPr>
    </w:p>
    <w:p>
      <w:pPr>
        <w:ind w:left="80"/>
        <w:spacing w:after="0" w:line="327" w:lineRule="auto"/>
        <w:rPr>
          <w:sz w:val="20"/>
          <w:szCs w:val="20"/>
          <w:color w:val="auto"/>
        </w:rPr>
      </w:pPr>
      <w:r>
        <w:rPr>
          <w:rFonts w:ascii="Arial" w:cs="Arial" w:eastAsia="Arial" w:hAnsi="Arial"/>
          <w:sz w:val="14"/>
          <w:szCs w:val="14"/>
          <w:b w:val="1"/>
          <w:bCs w:val="1"/>
          <w:color w:val="00244F"/>
        </w:rPr>
        <w:t>Long-Term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1554480</wp:posOffset>
            </wp:positionV>
            <wp:extent cx="912495"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91249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KEY FEATURES</w:t>
      </w:r>
    </w:p>
    <w:p>
      <w:pPr>
        <w:spacing w:after="0" w:line="80" w:lineRule="exact"/>
        <w:rPr>
          <w:sz w:val="20"/>
          <w:szCs w:val="20"/>
          <w:color w:val="auto"/>
        </w:rPr>
      </w:pPr>
    </w:p>
    <w:p>
      <w:pPr>
        <w:ind w:left="127" w:hanging="127"/>
        <w:spacing w:after="0"/>
        <w:tabs>
          <w:tab w:leader="none" w:pos="127" w:val="left"/>
        </w:tabs>
        <w:numPr>
          <w:ilvl w:val="0"/>
          <w:numId w:val="66"/>
        </w:numPr>
        <w:rPr>
          <w:rFonts w:ascii="Arial" w:cs="Arial" w:eastAsia="Arial" w:hAnsi="Arial"/>
          <w:sz w:val="15"/>
          <w:szCs w:val="15"/>
          <w:b w:val="1"/>
          <w:bCs w:val="1"/>
          <w:color w:val="28C0DA"/>
        </w:rPr>
      </w:pPr>
      <w:r>
        <w:rPr>
          <w:rFonts w:ascii="Arial" w:cs="Arial" w:eastAsia="Arial" w:hAnsi="Arial"/>
          <w:sz w:val="15"/>
          <w:szCs w:val="15"/>
          <w:color w:val="auto"/>
        </w:rPr>
        <w:t>Represents a significant portion of total compensation and are earned over five years.</w:t>
      </w:r>
    </w:p>
    <w:p>
      <w:pPr>
        <w:spacing w:after="0" w:line="89" w:lineRule="exact"/>
        <w:rPr>
          <w:rFonts w:ascii="Arial" w:cs="Arial" w:eastAsia="Arial" w:hAnsi="Arial"/>
          <w:sz w:val="15"/>
          <w:szCs w:val="15"/>
          <w:b w:val="1"/>
          <w:bCs w:val="1"/>
          <w:color w:val="28C0DA"/>
        </w:rPr>
      </w:pPr>
    </w:p>
    <w:p>
      <w:pPr>
        <w:ind w:left="187" w:right="140" w:hanging="187"/>
        <w:spacing w:after="0" w:line="261" w:lineRule="auto"/>
        <w:tabs>
          <w:tab w:leader="none" w:pos="140" w:val="left"/>
        </w:tabs>
        <w:numPr>
          <w:ilvl w:val="0"/>
          <w:numId w:val="66"/>
        </w:numPr>
        <w:rPr>
          <w:rFonts w:ascii="Arial" w:cs="Arial" w:eastAsia="Arial" w:hAnsi="Arial"/>
          <w:sz w:val="15"/>
          <w:szCs w:val="15"/>
          <w:b w:val="1"/>
          <w:bCs w:val="1"/>
          <w:color w:val="28C0DA"/>
        </w:rPr>
      </w:pPr>
      <w:r>
        <w:rPr>
          <w:rFonts w:ascii="Arial" w:cs="Arial" w:eastAsia="Arial" w:hAnsi="Arial"/>
          <w:sz w:val="15"/>
          <w:szCs w:val="15"/>
          <w:color w:val="auto"/>
        </w:rPr>
        <w:t>The grant value for each NEO reflects level of corporate management and functional responsibility, competitive assessment of similar roles within the marketplace, individual performance, and expected future long-term contributions.</w:t>
      </w:r>
    </w:p>
    <w:p>
      <w:pPr>
        <w:spacing w:after="0" w:line="37" w:lineRule="exact"/>
        <w:rPr>
          <w:rFonts w:ascii="Arial" w:cs="Arial" w:eastAsia="Arial" w:hAnsi="Arial"/>
          <w:sz w:val="15"/>
          <w:szCs w:val="15"/>
          <w:b w:val="1"/>
          <w:bCs w:val="1"/>
          <w:color w:val="28C0DA"/>
        </w:rPr>
      </w:pPr>
    </w:p>
    <w:p>
      <w:pPr>
        <w:ind w:left="187" w:right="40" w:hanging="187"/>
        <w:spacing w:after="0" w:line="271" w:lineRule="auto"/>
        <w:tabs>
          <w:tab w:leader="none" w:pos="185" w:val="left"/>
        </w:tabs>
        <w:numPr>
          <w:ilvl w:val="0"/>
          <w:numId w:val="66"/>
        </w:numPr>
        <w:rPr>
          <w:rFonts w:ascii="Arial" w:cs="Arial" w:eastAsia="Arial" w:hAnsi="Arial"/>
          <w:sz w:val="14"/>
          <w:szCs w:val="14"/>
          <w:b w:val="1"/>
          <w:bCs w:val="1"/>
          <w:color w:val="28C0DA"/>
        </w:rPr>
      </w:pPr>
      <w:r>
        <w:rPr>
          <w:rFonts w:ascii="Arial" w:cs="Arial" w:eastAsia="Arial" w:hAnsi="Arial"/>
          <w:sz w:val="14"/>
          <w:szCs w:val="14"/>
          <w:color w:val="auto"/>
        </w:rPr>
        <w:t>For 2023, 50% of the long-term equity award for NEOs were in performance-based RSUs tied to the attainment of a three-year objective performance goal. An NEO can earn from 0-100% of the performance RSUs based on the Company’s operating margin relative to the average operating margin for peers over the same period. If the Company achieves the three-year objective performance goal for the period 2024 through 2026, these awards would vest 50% per year starting in December 2027.</w:t>
      </w:r>
    </w:p>
    <w:p>
      <w:pPr>
        <w:spacing w:after="0" w:line="46" w:lineRule="exact"/>
        <w:rPr>
          <w:rFonts w:ascii="Arial" w:cs="Arial" w:eastAsia="Arial" w:hAnsi="Arial"/>
          <w:sz w:val="14"/>
          <w:szCs w:val="14"/>
          <w:b w:val="1"/>
          <w:bCs w:val="1"/>
          <w:color w:val="28C0DA"/>
        </w:rPr>
      </w:pPr>
    </w:p>
    <w:p>
      <w:pPr>
        <w:ind w:left="187" w:hanging="187"/>
        <w:spacing w:after="0" w:line="278" w:lineRule="auto"/>
        <w:tabs>
          <w:tab w:leader="none" w:pos="185" w:val="left"/>
        </w:tabs>
        <w:numPr>
          <w:ilvl w:val="0"/>
          <w:numId w:val="66"/>
        </w:numPr>
        <w:rPr>
          <w:rFonts w:ascii="Arial" w:cs="Arial" w:eastAsia="Arial" w:hAnsi="Arial"/>
          <w:sz w:val="15"/>
          <w:szCs w:val="15"/>
          <w:b w:val="1"/>
          <w:bCs w:val="1"/>
          <w:color w:val="28C0DA"/>
        </w:rPr>
      </w:pPr>
      <w:r>
        <w:rPr>
          <w:rFonts w:ascii="Arial" w:cs="Arial" w:eastAsia="Arial" w:hAnsi="Arial"/>
          <w:sz w:val="15"/>
          <w:szCs w:val="15"/>
          <w:color w:val="auto"/>
        </w:rPr>
        <w:t>The remaining 50% of the long-term equity award for NEOs were in time-based RSUs that vest at 33⅓% per year starting in December 2024.</w:t>
      </w:r>
    </w:p>
    <w:p>
      <w:pPr>
        <w:spacing w:after="0" w:line="37" w:lineRule="exact"/>
        <w:rPr>
          <w:rFonts w:ascii="Arial" w:cs="Arial" w:eastAsia="Arial" w:hAnsi="Arial"/>
          <w:sz w:val="15"/>
          <w:szCs w:val="15"/>
          <w:b w:val="1"/>
          <w:bCs w:val="1"/>
          <w:color w:val="28C0DA"/>
        </w:rPr>
      </w:pPr>
    </w:p>
    <w:p>
      <w:pPr>
        <w:ind w:left="187" w:right="880" w:hanging="187"/>
        <w:spacing w:after="0" w:line="278" w:lineRule="auto"/>
        <w:tabs>
          <w:tab w:leader="none" w:pos="185" w:val="left"/>
        </w:tabs>
        <w:numPr>
          <w:ilvl w:val="0"/>
          <w:numId w:val="66"/>
        </w:numPr>
        <w:rPr>
          <w:rFonts w:ascii="Arial" w:cs="Arial" w:eastAsia="Arial" w:hAnsi="Arial"/>
          <w:sz w:val="15"/>
          <w:szCs w:val="15"/>
          <w:b w:val="1"/>
          <w:bCs w:val="1"/>
          <w:color w:val="28C0DA"/>
        </w:rPr>
      </w:pPr>
      <w:r>
        <w:rPr>
          <w:rFonts w:ascii="Arial" w:cs="Arial" w:eastAsia="Arial" w:hAnsi="Arial"/>
          <w:sz w:val="15"/>
          <w:szCs w:val="15"/>
          <w:color w:val="auto"/>
        </w:rPr>
        <w:t>Grants are awarded at the regularly scheduled December meeting of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31750</wp:posOffset>
            </wp:positionV>
            <wp:extent cx="3848735"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84873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PURPOSE</w:t>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b w:val="1"/>
          <w:bCs w:val="1"/>
          <w:color w:val="28C0DA"/>
        </w:rPr>
        <w:t xml:space="preserve">•  </w:t>
      </w:r>
      <w:r>
        <w:rPr>
          <w:rFonts w:ascii="Arial" w:cs="Arial" w:eastAsia="Arial" w:hAnsi="Arial"/>
          <w:sz w:val="15"/>
          <w:szCs w:val="15"/>
          <w:color w:val="000000"/>
        </w:rPr>
        <w:t>Creates a strong link between NEO realized</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compensation and stock performance.</w:t>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b w:val="1"/>
          <w:bCs w:val="1"/>
          <w:color w:val="28C0DA"/>
        </w:rPr>
        <w:t xml:space="preserve">•  </w:t>
      </w:r>
      <w:r>
        <w:rPr>
          <w:rFonts w:ascii="Arial" w:cs="Arial" w:eastAsia="Arial" w:hAnsi="Arial"/>
          <w:sz w:val="15"/>
          <w:szCs w:val="15"/>
          <w:color w:val="000000"/>
        </w:rPr>
        <w:t>Provides a significant incentive to protect</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5"/>
          <w:szCs w:val="15"/>
          <w:color w:val="auto"/>
        </w:rPr>
        <w:t>and enhance stockholder value and</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profitability.</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b w:val="1"/>
          <w:bCs w:val="1"/>
          <w:color w:val="28C0DA"/>
        </w:rPr>
        <w:t xml:space="preserve">•  </w:t>
      </w:r>
      <w:r>
        <w:rPr>
          <w:rFonts w:ascii="Arial" w:cs="Arial" w:eastAsia="Arial" w:hAnsi="Arial"/>
          <w:sz w:val="15"/>
          <w:szCs w:val="15"/>
          <w:color w:val="000000"/>
        </w:rPr>
        <w:t>Enhances the link between compensation</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5"/>
          <w:szCs w:val="15"/>
          <w:color w:val="auto"/>
        </w:rPr>
        <w:t>and long-term Company performance</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through performance-based RSUs.</w:t>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b w:val="1"/>
          <w:bCs w:val="1"/>
          <w:color w:val="28C0DA"/>
        </w:rPr>
        <w:t xml:space="preserve">•  </w:t>
      </w:r>
      <w:r>
        <w:rPr>
          <w:rFonts w:ascii="Arial" w:cs="Arial" w:eastAsia="Arial" w:hAnsi="Arial"/>
          <w:sz w:val="15"/>
          <w:szCs w:val="15"/>
          <w:color w:val="000000"/>
        </w:rPr>
        <w:t>Provides competitive compensation to</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5"/>
          <w:szCs w:val="15"/>
          <w:color w:val="auto"/>
        </w:rPr>
        <w:t>attract and retain diverse high-quality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556260</wp:posOffset>
            </wp:positionV>
            <wp:extent cx="2110740"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110740" cy="7620"/>
                    </a:xfrm>
                    <a:prstGeom prst="rect">
                      <a:avLst/>
                    </a:prstGeom>
                    <a:noFill/>
                  </pic:spPr>
                </pic:pic>
              </a:graphicData>
            </a:graphic>
          </wp:anchor>
        </w:drawing>
      </w:r>
    </w:p>
    <w:p>
      <w:pPr>
        <w:spacing w:after="0" w:line="925" w:lineRule="exact"/>
        <w:rPr>
          <w:sz w:val="20"/>
          <w:szCs w:val="20"/>
          <w:color w:val="auto"/>
        </w:rPr>
      </w:pPr>
    </w:p>
    <w:p>
      <w:pPr>
        <w:sectPr>
          <w:pgSz w:w="11900" w:h="16838" w:orient="portrait"/>
          <w:cols w:equalWidth="0" w:num="3">
            <w:col w:w="1120" w:space="613"/>
            <w:col w:w="5867" w:space="400"/>
            <w:col w:w="3140"/>
          </w:cols>
          <w:pgMar w:left="320" w:top="223" w:right="439" w:bottom="1440" w:gutter="0" w:footer="0" w:header="0"/>
          <w:type w:val="continuous"/>
        </w:sectPr>
      </w:pPr>
    </w:p>
    <w:p>
      <w:pPr>
        <w:ind w:left="300"/>
        <w:spacing w:after="0"/>
        <w:rPr>
          <w:sz w:val="20"/>
          <w:szCs w:val="20"/>
          <w:color w:val="auto"/>
        </w:rPr>
      </w:pPr>
      <w:r>
        <w:rPr>
          <w:rFonts w:ascii="Arial" w:cs="Arial" w:eastAsia="Arial" w:hAnsi="Arial"/>
          <w:sz w:val="15"/>
          <w:szCs w:val="15"/>
          <w:b w:val="1"/>
          <w:bCs w:val="1"/>
          <w:color w:val="auto"/>
        </w:rPr>
        <w:t>UK Based NEOs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4896485"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896485" cy="7620"/>
                    </a:xfrm>
                    <a:prstGeom prst="rect">
                      <a:avLst/>
                    </a:prstGeom>
                    <a:noFill/>
                  </pic:spPr>
                </pic:pic>
              </a:graphicData>
            </a:graphic>
          </wp:anchor>
        </w:drawing>
      </w:r>
    </w:p>
    <w:p>
      <w:pPr>
        <w:spacing w:after="0" w:line="95" w:lineRule="exact"/>
        <w:rPr>
          <w:sz w:val="20"/>
          <w:szCs w:val="20"/>
          <w:color w:val="auto"/>
        </w:rPr>
      </w:pPr>
    </w:p>
    <w:p>
      <w:pPr>
        <w:ind w:left="80"/>
        <w:spacing w:after="0"/>
        <w:tabs>
          <w:tab w:leader="none" w:pos="1720" w:val="left"/>
        </w:tabs>
        <w:rPr>
          <w:sz w:val="20"/>
          <w:szCs w:val="20"/>
          <w:color w:val="auto"/>
        </w:rPr>
      </w:pPr>
      <w:r>
        <w:rPr>
          <w:rFonts w:ascii="Arial" w:cs="Arial" w:eastAsia="Arial" w:hAnsi="Arial"/>
          <w:sz w:val="15"/>
          <w:szCs w:val="15"/>
          <w:b w:val="1"/>
          <w:bCs w:val="1"/>
          <w:color w:val="00244F"/>
        </w:rPr>
        <w:t>MFUP</w:t>
      </w:r>
      <w:r>
        <w:rPr>
          <w:sz w:val="20"/>
          <w:szCs w:val="20"/>
          <w:color w:val="auto"/>
        </w:rPr>
        <w:tab/>
      </w:r>
      <w:r>
        <w:rPr>
          <w:rFonts w:ascii="Arial" w:cs="Arial" w:eastAsia="Arial" w:hAnsi="Arial"/>
          <w:sz w:val="15"/>
          <w:szCs w:val="15"/>
          <w:b w:val="1"/>
          <w:bCs w:val="1"/>
          <w:color w:val="28C0DA"/>
        </w:rPr>
        <w:t xml:space="preserve">•  </w:t>
      </w:r>
      <w:r>
        <w:rPr>
          <w:rFonts w:ascii="Arial" w:cs="Arial" w:eastAsia="Arial" w:hAnsi="Arial"/>
          <w:sz w:val="15"/>
          <w:szCs w:val="15"/>
          <w:color w:val="000000"/>
        </w:rPr>
        <w:t>For NEOs in the UK, a portion of their variable compensation is deferred into the</w:t>
      </w:r>
    </w:p>
    <w:p>
      <w:pPr>
        <w:spacing w:after="0" w:line="16" w:lineRule="exact"/>
        <w:rPr>
          <w:sz w:val="20"/>
          <w:szCs w:val="20"/>
          <w:color w:val="auto"/>
        </w:rPr>
      </w:pPr>
    </w:p>
    <w:p>
      <w:pPr>
        <w:ind w:left="1920"/>
        <w:spacing w:after="0"/>
        <w:rPr>
          <w:sz w:val="20"/>
          <w:szCs w:val="20"/>
          <w:color w:val="auto"/>
        </w:rPr>
      </w:pPr>
      <w:r>
        <w:rPr>
          <w:rFonts w:ascii="Arial" w:cs="Arial" w:eastAsia="Arial" w:hAnsi="Arial"/>
          <w:sz w:val="15"/>
          <w:szCs w:val="15"/>
          <w:color w:val="auto"/>
        </w:rPr>
        <w:t>MFUP, in the form of MFUs.</w:t>
      </w:r>
    </w:p>
    <w:p>
      <w:pPr>
        <w:spacing w:after="0" w:line="76"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28C0DA"/>
        </w:rPr>
        <w:t xml:space="preserve">•  </w:t>
      </w:r>
      <w:r>
        <w:rPr>
          <w:rFonts w:ascii="Arial" w:cs="Arial" w:eastAsia="Arial" w:hAnsi="Arial"/>
          <w:sz w:val="15"/>
          <w:szCs w:val="15"/>
          <w:color w:val="000000"/>
        </w:rPr>
        <w:t>Administered by the Compensation Committee.</w:t>
      </w:r>
    </w:p>
    <w:p>
      <w:pPr>
        <w:spacing w:after="0" w:line="90"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28C0DA"/>
        </w:rPr>
        <w:t xml:space="preserve">•  </w:t>
      </w:r>
      <w:r>
        <w:rPr>
          <w:rFonts w:ascii="Arial" w:cs="Arial" w:eastAsia="Arial" w:hAnsi="Arial"/>
          <w:sz w:val="15"/>
          <w:szCs w:val="15"/>
          <w:color w:val="000000"/>
        </w:rPr>
        <w:t>MFUs are measured against a basket of strategies managed by TRPIL.</w:t>
      </w:r>
    </w:p>
    <w:p>
      <w:pPr>
        <w:spacing w:after="0" w:line="77"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28C0DA"/>
        </w:rPr>
        <w:t xml:space="preserve">•  </w:t>
      </w:r>
      <w:r>
        <w:rPr>
          <w:rFonts w:ascii="Arial" w:cs="Arial" w:eastAsia="Arial" w:hAnsi="Arial"/>
          <w:sz w:val="15"/>
          <w:szCs w:val="15"/>
          <w:color w:val="000000"/>
        </w:rPr>
        <w:t>MFUs will vest ratably over three years and are settled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4896485"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896485" cy="7620"/>
                    </a:xfrm>
                    <a:prstGeom prst="rect">
                      <a:avLst/>
                    </a:prstGeom>
                    <a:noFill/>
                  </pic:spPr>
                </pic:pic>
              </a:graphicData>
            </a:graphic>
          </wp:anchor>
        </w:drawing>
      </w:r>
    </w:p>
    <w:p>
      <w:pPr>
        <w:spacing w:after="0" w:line="132"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OHA Employees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4896485"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896485" cy="7620"/>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40" w:type="dxa"/>
            <w:vAlign w:val="bottom"/>
          </w:tcPr>
          <w:p>
            <w:pPr>
              <w:ind w:left="80"/>
              <w:spacing w:after="0"/>
              <w:rPr>
                <w:sz w:val="20"/>
                <w:szCs w:val="20"/>
                <w:color w:val="auto"/>
              </w:rPr>
            </w:pPr>
            <w:r>
              <w:rPr>
                <w:rFonts w:ascii="Arial" w:cs="Arial" w:eastAsia="Arial" w:hAnsi="Arial"/>
                <w:sz w:val="15"/>
                <w:szCs w:val="15"/>
                <w:b w:val="1"/>
                <w:bCs w:val="1"/>
                <w:color w:val="00244F"/>
              </w:rPr>
              <w:t>Carried Interest</w:t>
            </w:r>
          </w:p>
        </w:tc>
        <w:tc>
          <w:tcPr>
            <w:tcW w:w="200" w:type="dxa"/>
            <w:vAlign w:val="bottom"/>
          </w:tcPr>
          <w:p>
            <w:pPr>
              <w:spacing w:after="0"/>
              <w:rPr>
                <w:sz w:val="15"/>
                <w:szCs w:val="15"/>
                <w:color w:val="auto"/>
              </w:rPr>
            </w:pPr>
          </w:p>
        </w:tc>
        <w:tc>
          <w:tcPr>
            <w:tcW w:w="6080" w:type="dxa"/>
            <w:vAlign w:val="bottom"/>
          </w:tcPr>
          <w:p>
            <w:pPr>
              <w:ind w:left="100"/>
              <w:spacing w:after="0"/>
              <w:rPr>
                <w:sz w:val="20"/>
                <w:szCs w:val="20"/>
                <w:color w:val="auto"/>
              </w:rPr>
            </w:pPr>
            <w:r>
              <w:rPr>
                <w:rFonts w:ascii="Arial" w:cs="Arial" w:eastAsia="Arial" w:hAnsi="Arial"/>
                <w:sz w:val="15"/>
                <w:szCs w:val="15"/>
                <w:b w:val="1"/>
                <w:bCs w:val="1"/>
                <w:color w:val="28C0DA"/>
              </w:rPr>
              <w:t xml:space="preserve">•  </w:t>
            </w:r>
            <w:r>
              <w:rPr>
                <w:rFonts w:ascii="Arial" w:cs="Arial" w:eastAsia="Arial" w:hAnsi="Arial"/>
                <w:sz w:val="15"/>
                <w:szCs w:val="15"/>
                <w:color w:val="000000"/>
              </w:rPr>
              <w:t>Represents the amount of net proceeds of an OHA fund that is available for</w:t>
            </w:r>
          </w:p>
        </w:tc>
      </w:tr>
      <w:tr>
        <w:trPr>
          <w:trHeight w:val="175"/>
        </w:trPr>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80" w:type="dxa"/>
            <w:vAlign w:val="bottom"/>
          </w:tcPr>
          <w:p>
            <w:pPr>
              <w:ind w:left="280"/>
              <w:spacing w:after="0"/>
              <w:rPr>
                <w:sz w:val="20"/>
                <w:szCs w:val="20"/>
                <w:color w:val="auto"/>
              </w:rPr>
            </w:pPr>
            <w:r>
              <w:rPr>
                <w:rFonts w:ascii="Arial" w:cs="Arial" w:eastAsia="Arial" w:hAnsi="Arial"/>
                <w:sz w:val="15"/>
                <w:szCs w:val="15"/>
                <w:color w:val="auto"/>
              </w:rPr>
              <w:t>distribution pursuant to the partnership agreement for the fund, as determined by the</w:t>
            </w:r>
          </w:p>
        </w:tc>
      </w:tr>
      <w:tr>
        <w:trPr>
          <w:trHeight w:val="175"/>
        </w:trPr>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80" w:type="dxa"/>
            <w:vAlign w:val="bottom"/>
          </w:tcPr>
          <w:p>
            <w:pPr>
              <w:ind w:left="280"/>
              <w:spacing w:after="0"/>
              <w:rPr>
                <w:sz w:val="20"/>
                <w:szCs w:val="20"/>
                <w:color w:val="auto"/>
              </w:rPr>
            </w:pPr>
            <w:r>
              <w:rPr>
                <w:rFonts w:ascii="Arial" w:cs="Arial" w:eastAsia="Arial" w:hAnsi="Arial"/>
                <w:sz w:val="15"/>
                <w:szCs w:val="15"/>
                <w:color w:val="auto"/>
              </w:rPr>
              <w:t>general partner of the fund in its discretion, and distributed in accordance with the</w:t>
            </w:r>
          </w:p>
        </w:tc>
      </w:tr>
      <w:tr>
        <w:trPr>
          <w:trHeight w:val="198"/>
        </w:trPr>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80" w:type="dxa"/>
            <w:vAlign w:val="bottom"/>
          </w:tcPr>
          <w:p>
            <w:pPr>
              <w:ind w:left="280"/>
              <w:spacing w:after="0"/>
              <w:rPr>
                <w:sz w:val="20"/>
                <w:szCs w:val="20"/>
                <w:color w:val="auto"/>
              </w:rPr>
            </w:pPr>
            <w:r>
              <w:rPr>
                <w:rFonts w:ascii="Arial" w:cs="Arial" w:eastAsia="Arial" w:hAnsi="Arial"/>
                <w:sz w:val="15"/>
                <w:szCs w:val="15"/>
                <w:color w:val="auto"/>
              </w:rPr>
              <w:t>allocation provisions set forth in the partnership agreement for the fund.</w:t>
            </w:r>
          </w:p>
        </w:tc>
      </w:tr>
      <w:tr>
        <w:trPr>
          <w:trHeight w:val="77"/>
        </w:trPr>
        <w:tc>
          <w:tcPr>
            <w:tcW w:w="144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080" w:type="dxa"/>
            <w:vAlign w:val="bottom"/>
            <w:tcBorders>
              <w:bottom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Arial" w:cs="Arial" w:eastAsia="Arial" w:hAnsi="Arial"/>
          <w:sz w:val="15"/>
          <w:szCs w:val="15"/>
          <w:b w:val="1"/>
          <w:bCs w:val="1"/>
          <w:color w:val="28C0DA"/>
        </w:rPr>
        <w:t xml:space="preserve">•  </w:t>
      </w:r>
      <w:r>
        <w:rPr>
          <w:rFonts w:ascii="Arial" w:cs="Arial" w:eastAsia="Arial" w:hAnsi="Arial"/>
          <w:sz w:val="15"/>
          <w:szCs w:val="15"/>
          <w:color w:val="000000"/>
        </w:rPr>
        <w:t>Designed to meet regulatory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-140970</wp:posOffset>
            </wp:positionV>
            <wp:extent cx="2110740"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110740" cy="762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5"/>
          <w:szCs w:val="15"/>
          <w:color w:val="auto"/>
        </w:rPr>
        <w:t>for NEOs located in the UK.</w:t>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b w:val="1"/>
          <w:bCs w:val="1"/>
          <w:color w:val="28C0DA"/>
        </w:rPr>
        <w:t xml:space="preserve">•  </w:t>
      </w:r>
      <w:r>
        <w:rPr>
          <w:rFonts w:ascii="Arial" w:cs="Arial" w:eastAsia="Arial" w:hAnsi="Arial"/>
          <w:sz w:val="15"/>
          <w:szCs w:val="15"/>
          <w:color w:val="000000"/>
        </w:rPr>
        <w:t>The MFUP is designed to align the interests</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5"/>
          <w:szCs w:val="15"/>
          <w:color w:val="auto"/>
        </w:rPr>
        <w:t>of NEOs with the performance of the</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investments managed by TRPIL.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159385</wp:posOffset>
            </wp:positionV>
            <wp:extent cx="2110740"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110740" cy="762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341630</wp:posOffset>
            </wp:positionV>
            <wp:extent cx="2110740"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110740" cy="762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180" w:right="200" w:hanging="179"/>
        <w:spacing w:after="0" w:line="255" w:lineRule="auto"/>
        <w:rPr>
          <w:sz w:val="20"/>
          <w:szCs w:val="20"/>
          <w:color w:val="auto"/>
        </w:rPr>
      </w:pPr>
      <w:r>
        <w:rPr>
          <w:rFonts w:ascii="Arial" w:cs="Arial" w:eastAsia="Arial" w:hAnsi="Arial"/>
          <w:sz w:val="15"/>
          <w:szCs w:val="15"/>
          <w:b w:val="1"/>
          <w:bCs w:val="1"/>
          <w:color w:val="28C0DA"/>
        </w:rPr>
        <w:t xml:space="preserve">• </w:t>
      </w:r>
      <w:r>
        <w:rPr>
          <w:rFonts w:ascii="Arial" w:cs="Arial" w:eastAsia="Arial" w:hAnsi="Arial"/>
          <w:sz w:val="15"/>
          <w:szCs w:val="15"/>
          <w:color w:val="000000"/>
        </w:rPr>
        <w:t>Creates a strong link between realized</w:t>
      </w:r>
      <w:r>
        <w:rPr>
          <w:rFonts w:ascii="Arial" w:cs="Arial" w:eastAsia="Arial" w:hAnsi="Arial"/>
          <w:sz w:val="15"/>
          <w:szCs w:val="15"/>
          <w:b w:val="1"/>
          <w:bCs w:val="1"/>
          <w:color w:val="28C0DA"/>
        </w:rPr>
        <w:t xml:space="preserve"> </w:t>
      </w:r>
      <w:r>
        <w:rPr>
          <w:rFonts w:ascii="Arial" w:cs="Arial" w:eastAsia="Arial" w:hAnsi="Arial"/>
          <w:sz w:val="15"/>
          <w:szCs w:val="15"/>
          <w:color w:val="000000"/>
        </w:rPr>
        <w:t>compensation of an NEO who is an executive of OHA and performance of the business they manage.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42545</wp:posOffset>
            </wp:positionV>
            <wp:extent cx="2110740"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110740" cy="7620"/>
                    </a:xfrm>
                    <a:prstGeom prst="rect">
                      <a:avLst/>
                    </a:prstGeom>
                    <a:noFill/>
                  </pic:spPr>
                </pic:pic>
              </a:graphicData>
            </a:graphic>
          </wp:anchor>
        </w:drawing>
      </w:r>
    </w:p>
    <w:p>
      <w:pPr>
        <w:spacing w:after="0" w:line="259" w:lineRule="exact"/>
        <w:rPr>
          <w:sz w:val="20"/>
          <w:szCs w:val="20"/>
          <w:color w:val="auto"/>
        </w:rPr>
      </w:pPr>
    </w:p>
    <w:p>
      <w:pPr>
        <w:sectPr>
          <w:pgSz w:w="11900" w:h="16838" w:orient="portrait"/>
          <w:cols w:equalWidth="0" w:num="2">
            <w:col w:w="7720" w:space="280"/>
            <w:col w:w="3140"/>
          </w:cols>
          <w:pgMar w:left="320" w:top="223"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Other Compensation Benefits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4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ELEMENT</w:t>
            </w:r>
          </w:p>
        </w:tc>
        <w:tc>
          <w:tcPr>
            <w:tcW w:w="220" w:type="dxa"/>
            <w:vAlign w:val="bottom"/>
            <w:tcBorders>
              <w:right w:val="single" w:sz="8" w:color="auto"/>
            </w:tcBorders>
          </w:tcPr>
          <w:p>
            <w:pPr>
              <w:spacing w:after="0"/>
              <w:rPr>
                <w:sz w:val="15"/>
                <w:szCs w:val="15"/>
                <w:color w:val="auto"/>
              </w:rPr>
            </w:pPr>
          </w:p>
        </w:tc>
        <w:tc>
          <w:tcPr>
            <w:tcW w:w="606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KEY FEATURES</w:t>
            </w:r>
          </w:p>
        </w:tc>
      </w:tr>
      <w:tr>
        <w:trPr>
          <w:trHeight w:val="205"/>
        </w:trPr>
        <w:tc>
          <w:tcPr>
            <w:tcW w:w="1440" w:type="dxa"/>
            <w:vAlign w:val="bottom"/>
          </w:tcPr>
          <w:p>
            <w:pPr>
              <w:ind w:left="80"/>
              <w:spacing w:after="0"/>
              <w:rPr>
                <w:sz w:val="20"/>
                <w:szCs w:val="20"/>
                <w:color w:val="auto"/>
              </w:rPr>
            </w:pPr>
            <w:r>
              <w:rPr>
                <w:rFonts w:ascii="Arial" w:cs="Arial" w:eastAsia="Arial" w:hAnsi="Arial"/>
                <w:sz w:val="15"/>
                <w:szCs w:val="15"/>
                <w:b w:val="1"/>
                <w:bCs w:val="1"/>
                <w:color w:val="00244F"/>
              </w:rPr>
              <w:t>Defined</w:t>
            </w:r>
          </w:p>
        </w:tc>
        <w:tc>
          <w:tcPr>
            <w:tcW w:w="220" w:type="dxa"/>
            <w:vAlign w:val="bottom"/>
          </w:tcPr>
          <w:p>
            <w:pPr>
              <w:spacing w:after="0"/>
              <w:rPr>
                <w:sz w:val="17"/>
                <w:szCs w:val="17"/>
                <w:color w:val="auto"/>
              </w:rPr>
            </w:pPr>
          </w:p>
        </w:tc>
        <w:tc>
          <w:tcPr>
            <w:tcW w:w="6060" w:type="dxa"/>
            <w:vAlign w:val="bottom"/>
          </w:tcPr>
          <w:p>
            <w:pPr>
              <w:ind w:left="80"/>
              <w:spacing w:after="0"/>
              <w:rPr>
                <w:sz w:val="20"/>
                <w:szCs w:val="20"/>
                <w:color w:val="auto"/>
              </w:rPr>
            </w:pPr>
            <w:r>
              <w:rPr>
                <w:rFonts w:ascii="Arial" w:cs="Arial" w:eastAsia="Arial" w:hAnsi="Arial"/>
                <w:sz w:val="15"/>
                <w:szCs w:val="15"/>
                <w:b w:val="1"/>
                <w:bCs w:val="1"/>
                <w:color w:val="28C0DA"/>
              </w:rPr>
              <w:t xml:space="preserve">•  </w:t>
            </w:r>
            <w:r>
              <w:rPr>
                <w:rFonts w:ascii="Arial" w:cs="Arial" w:eastAsia="Arial" w:hAnsi="Arial"/>
                <w:sz w:val="15"/>
                <w:szCs w:val="15"/>
                <w:color w:val="000000"/>
              </w:rPr>
              <w:t>Offers our NEOs and all of our employees the opportunity to invest for their</w:t>
            </w:r>
          </w:p>
        </w:tc>
      </w:tr>
      <w:tr>
        <w:trPr>
          <w:trHeight w:val="206"/>
        </w:trPr>
        <w:tc>
          <w:tcPr>
            <w:tcW w:w="1440" w:type="dxa"/>
            <w:vAlign w:val="bottom"/>
          </w:tcPr>
          <w:p>
            <w:pPr>
              <w:ind w:left="80"/>
              <w:spacing w:after="0"/>
              <w:rPr>
                <w:sz w:val="20"/>
                <w:szCs w:val="20"/>
                <w:color w:val="auto"/>
              </w:rPr>
            </w:pPr>
            <w:r>
              <w:rPr>
                <w:rFonts w:ascii="Arial" w:cs="Arial" w:eastAsia="Arial" w:hAnsi="Arial"/>
                <w:sz w:val="15"/>
                <w:szCs w:val="15"/>
                <w:b w:val="1"/>
                <w:bCs w:val="1"/>
                <w:color w:val="00244F"/>
              </w:rPr>
              <w:t>Contribution Plan</w:t>
            </w:r>
          </w:p>
        </w:tc>
        <w:tc>
          <w:tcPr>
            <w:tcW w:w="220" w:type="dxa"/>
            <w:vAlign w:val="bottom"/>
          </w:tcPr>
          <w:p>
            <w:pPr>
              <w:spacing w:after="0"/>
              <w:rPr>
                <w:sz w:val="17"/>
                <w:szCs w:val="17"/>
                <w:color w:val="auto"/>
              </w:rPr>
            </w:pPr>
          </w:p>
        </w:tc>
        <w:tc>
          <w:tcPr>
            <w:tcW w:w="6060" w:type="dxa"/>
            <w:vAlign w:val="bottom"/>
          </w:tcPr>
          <w:p>
            <w:pPr>
              <w:ind w:left="260"/>
              <w:spacing w:after="0"/>
              <w:rPr>
                <w:sz w:val="20"/>
                <w:szCs w:val="20"/>
                <w:color w:val="auto"/>
              </w:rPr>
            </w:pPr>
            <w:r>
              <w:rPr>
                <w:rFonts w:ascii="Arial" w:cs="Arial" w:eastAsia="Arial" w:hAnsi="Arial"/>
                <w:sz w:val="15"/>
                <w:szCs w:val="15"/>
                <w:color w:val="auto"/>
              </w:rPr>
              <w:t>retirement.</w:t>
            </w:r>
          </w:p>
        </w:tc>
      </w:tr>
      <w:tr>
        <w:trPr>
          <w:trHeight w:val="294"/>
        </w:trPr>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60" w:type="dxa"/>
            <w:vAlign w:val="bottom"/>
          </w:tcPr>
          <w:p>
            <w:pPr>
              <w:ind w:left="80"/>
              <w:spacing w:after="0"/>
              <w:rPr>
                <w:sz w:val="20"/>
                <w:szCs w:val="20"/>
                <w:color w:val="auto"/>
              </w:rPr>
            </w:pPr>
            <w:r>
              <w:rPr>
                <w:rFonts w:ascii="Arial" w:cs="Arial" w:eastAsia="Arial" w:hAnsi="Arial"/>
                <w:sz w:val="15"/>
                <w:szCs w:val="15"/>
                <w:b w:val="1"/>
                <w:bCs w:val="1"/>
                <w:color w:val="28C0DA"/>
              </w:rPr>
              <w:t xml:space="preserve">•  </w:t>
            </w:r>
            <w:r>
              <w:rPr>
                <w:rFonts w:ascii="Arial" w:cs="Arial" w:eastAsia="Arial" w:hAnsi="Arial"/>
                <w:sz w:val="15"/>
                <w:szCs w:val="15"/>
                <w:color w:val="000000"/>
              </w:rPr>
              <w:t>Company contributions occur in conjunction with employee contributions in</w:t>
            </w:r>
          </w:p>
        </w:tc>
      </w:tr>
      <w:tr>
        <w:trPr>
          <w:trHeight w:val="198"/>
        </w:trPr>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60" w:type="dxa"/>
            <w:vAlign w:val="bottom"/>
          </w:tcPr>
          <w:p>
            <w:pPr>
              <w:ind w:left="260"/>
              <w:spacing w:after="0"/>
              <w:rPr>
                <w:sz w:val="20"/>
                <w:szCs w:val="20"/>
                <w:color w:val="auto"/>
              </w:rPr>
            </w:pPr>
            <w:r>
              <w:rPr>
                <w:rFonts w:ascii="Arial" w:cs="Arial" w:eastAsia="Arial" w:hAnsi="Arial"/>
                <w:sz w:val="15"/>
                <w:szCs w:val="15"/>
                <w:color w:val="auto"/>
              </w:rPr>
              <w:t>accordance with U.S. tax laws.</w:t>
            </w:r>
          </w:p>
        </w:tc>
      </w:tr>
      <w:tr>
        <w:trPr>
          <w:trHeight w:val="333"/>
        </w:trPr>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60" w:type="dxa"/>
            <w:vAlign w:val="bottom"/>
          </w:tcPr>
          <w:p>
            <w:pPr>
              <w:ind w:left="80"/>
              <w:spacing w:after="0"/>
              <w:rPr>
                <w:sz w:val="20"/>
                <w:szCs w:val="20"/>
                <w:color w:val="auto"/>
              </w:rPr>
            </w:pPr>
            <w:r>
              <w:rPr>
                <w:rFonts w:ascii="Arial" w:cs="Arial" w:eastAsia="Arial" w:hAnsi="Arial"/>
                <w:sz w:val="15"/>
                <w:szCs w:val="15"/>
                <w:b w:val="1"/>
                <w:bCs w:val="1"/>
                <w:color w:val="28C0DA"/>
              </w:rPr>
              <w:t xml:space="preserve">• </w:t>
            </w:r>
            <w:r>
              <w:rPr>
                <w:rFonts w:ascii="Arial" w:cs="Arial" w:eastAsia="Arial" w:hAnsi="Arial"/>
                <w:sz w:val="15"/>
                <w:szCs w:val="15"/>
                <w:color w:val="000000"/>
              </w:rPr>
              <w:t>Not available for our UK based employees.</w:t>
            </w:r>
          </w:p>
        </w:tc>
      </w:tr>
      <w:tr>
        <w:trPr>
          <w:trHeight w:val="69"/>
        </w:trPr>
        <w:tc>
          <w:tcPr>
            <w:tcW w:w="14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060" w:type="dxa"/>
            <w:vAlign w:val="bottom"/>
            <w:tcBorders>
              <w:bottom w:val="single" w:sz="8" w:color="auto"/>
            </w:tcBorders>
          </w:tcPr>
          <w:p>
            <w:pPr>
              <w:spacing w:after="0"/>
              <w:rPr>
                <w:sz w:val="5"/>
                <w:szCs w:val="5"/>
                <w:color w:val="auto"/>
              </w:rPr>
            </w:pPr>
          </w:p>
        </w:tc>
      </w:tr>
    </w:tbl>
    <w:p>
      <w:pPr>
        <w:spacing w:after="0" w:line="17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3"/>
          <w:szCs w:val="13"/>
          <w:b w:val="1"/>
          <w:bCs w:val="1"/>
          <w:color w:val="00244F"/>
        </w:rPr>
        <w:t>48</w:t>
        <w:tab/>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42480"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ind w:left="26"/>
        <w:spacing w:after="0"/>
        <w:rPr>
          <w:sz w:val="20"/>
          <w:szCs w:val="20"/>
          <w:color w:val="auto"/>
        </w:rPr>
      </w:pPr>
      <w:r>
        <w:rPr>
          <w:rFonts w:ascii="Arial" w:cs="Arial" w:eastAsia="Arial" w:hAnsi="Arial"/>
          <w:sz w:val="12"/>
          <w:szCs w:val="12"/>
          <w:b w:val="1"/>
          <w:bCs w:val="1"/>
          <w:color w:val="auto"/>
        </w:rPr>
        <w:t>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-91440</wp:posOffset>
            </wp:positionV>
            <wp:extent cx="2118995" cy="1187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118995" cy="118745"/>
                    </a:xfrm>
                    <a:prstGeom prst="rect">
                      <a:avLst/>
                    </a:prstGeom>
                    <a:noFill/>
                  </pic:spPr>
                </pic:pic>
              </a:graphicData>
            </a:graphic>
          </wp:anchor>
        </w:drawing>
      </w:r>
    </w:p>
    <w:p>
      <w:pPr>
        <w:spacing w:after="0" w:line="60" w:lineRule="exact"/>
        <w:rPr>
          <w:sz w:val="20"/>
          <w:szCs w:val="20"/>
          <w:color w:val="auto"/>
        </w:rPr>
      </w:pPr>
    </w:p>
    <w:p>
      <w:pPr>
        <w:ind w:left="186" w:hanging="186"/>
        <w:spacing w:after="0" w:line="261" w:lineRule="auto"/>
        <w:tabs>
          <w:tab w:leader="none" w:pos="183" w:val="left"/>
        </w:tabs>
        <w:numPr>
          <w:ilvl w:val="0"/>
          <w:numId w:val="67"/>
        </w:numPr>
        <w:rPr>
          <w:rFonts w:ascii="Arial" w:cs="Arial" w:eastAsia="Arial" w:hAnsi="Arial"/>
          <w:sz w:val="15"/>
          <w:szCs w:val="15"/>
          <w:b w:val="1"/>
          <w:bCs w:val="1"/>
          <w:color w:val="28C0DA"/>
        </w:rPr>
      </w:pPr>
      <w:r>
        <w:rPr>
          <w:rFonts w:ascii="Arial" w:cs="Arial" w:eastAsia="Arial" w:hAnsi="Arial"/>
          <w:sz w:val="15"/>
          <w:szCs w:val="15"/>
          <w:color w:val="auto"/>
        </w:rPr>
        <w:t>Encourages our employees to be invested in the Company’s business and products over a long period of time.</w:t>
      </w:r>
    </w:p>
    <w:p>
      <w:pPr>
        <w:spacing w:after="0" w:line="112" w:lineRule="exact"/>
        <w:rPr>
          <w:rFonts w:ascii="Arial" w:cs="Arial" w:eastAsia="Arial" w:hAnsi="Arial"/>
          <w:sz w:val="15"/>
          <w:szCs w:val="15"/>
          <w:b w:val="1"/>
          <w:bCs w:val="1"/>
          <w:color w:val="28C0DA"/>
        </w:rPr>
      </w:pPr>
    </w:p>
    <w:p>
      <w:pPr>
        <w:ind w:left="186" w:hanging="186"/>
        <w:spacing w:after="0" w:line="278" w:lineRule="auto"/>
        <w:tabs>
          <w:tab w:leader="none" w:pos="183" w:val="left"/>
        </w:tabs>
        <w:numPr>
          <w:ilvl w:val="0"/>
          <w:numId w:val="67"/>
        </w:numPr>
        <w:rPr>
          <w:rFonts w:ascii="Arial" w:cs="Arial" w:eastAsia="Arial" w:hAnsi="Arial"/>
          <w:sz w:val="15"/>
          <w:szCs w:val="15"/>
          <w:b w:val="1"/>
          <w:bCs w:val="1"/>
          <w:color w:val="28C0DA"/>
        </w:rPr>
      </w:pPr>
      <w:r>
        <w:rPr>
          <w:rFonts w:ascii="Arial" w:cs="Arial" w:eastAsia="Arial" w:hAnsi="Arial"/>
          <w:sz w:val="15"/>
          <w:szCs w:val="15"/>
          <w:color w:val="auto"/>
        </w:rPr>
        <w:t>Provides attractive compensation program to retain diverse high-quality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127000</wp:posOffset>
            </wp:positionV>
            <wp:extent cx="2118995"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118995" cy="7620"/>
                    </a:xfrm>
                    <a:prstGeom prst="rect">
                      <a:avLst/>
                    </a:prstGeom>
                    <a:noFill/>
                  </pic:spPr>
                </pic:pic>
              </a:graphicData>
            </a:graphic>
          </wp:anchor>
        </w:drawing>
      </w:r>
    </w:p>
    <w:p>
      <w:pPr>
        <w:sectPr>
          <w:pgSz w:w="11900" w:h="16838" w:orient="portrait"/>
          <w:cols w:equalWidth="0" w:num="2">
            <w:col w:w="7720" w:space="274"/>
            <w:col w:w="3146"/>
          </w:cols>
          <w:pgMar w:left="320" w:top="223" w:right="4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44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ELEMENT</w:t>
            </w:r>
          </w:p>
        </w:tc>
        <w:tc>
          <w:tcPr>
            <w:tcW w:w="240" w:type="dxa"/>
            <w:vAlign w:val="bottom"/>
            <w:tcBorders>
              <w:right w:val="single" w:sz="8" w:color="auto"/>
            </w:tcBorders>
          </w:tcPr>
          <w:p>
            <w:pPr>
              <w:spacing w:after="0"/>
              <w:rPr>
                <w:sz w:val="17"/>
                <w:szCs w:val="17"/>
                <w:color w:val="auto"/>
              </w:rPr>
            </w:pPr>
          </w:p>
        </w:tc>
        <w:tc>
          <w:tcPr>
            <w:tcW w:w="604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KEY FEATURES</w:t>
            </w:r>
          </w:p>
        </w:tc>
      </w:tr>
      <w:tr>
        <w:trPr>
          <w:trHeight w:val="209"/>
        </w:trPr>
        <w:tc>
          <w:tcPr>
            <w:tcW w:w="1440" w:type="dxa"/>
            <w:vAlign w:val="bottom"/>
          </w:tcPr>
          <w:p>
            <w:pPr>
              <w:ind w:left="80"/>
              <w:spacing w:after="0"/>
              <w:rPr>
                <w:sz w:val="20"/>
                <w:szCs w:val="20"/>
                <w:color w:val="auto"/>
              </w:rPr>
            </w:pPr>
            <w:r>
              <w:rPr>
                <w:rFonts w:ascii="Arial" w:cs="Arial" w:eastAsia="Arial" w:hAnsi="Arial"/>
                <w:sz w:val="15"/>
                <w:szCs w:val="15"/>
                <w:b w:val="1"/>
                <w:bCs w:val="1"/>
                <w:color w:val="00244F"/>
              </w:rPr>
              <w:t>Supplemental</w:t>
            </w:r>
          </w:p>
        </w:tc>
        <w:tc>
          <w:tcPr>
            <w:tcW w:w="240" w:type="dxa"/>
            <w:vAlign w:val="bottom"/>
          </w:tcPr>
          <w:p>
            <w:pPr>
              <w:spacing w:after="0"/>
              <w:rPr>
                <w:sz w:val="18"/>
                <w:szCs w:val="18"/>
                <w:color w:val="auto"/>
              </w:rPr>
            </w:pPr>
          </w:p>
        </w:tc>
        <w:tc>
          <w:tcPr>
            <w:tcW w:w="6040" w:type="dxa"/>
            <w:vAlign w:val="bottom"/>
          </w:tcPr>
          <w:p>
            <w:pPr>
              <w:ind w:left="60"/>
              <w:spacing w:after="0"/>
              <w:rPr>
                <w:sz w:val="20"/>
                <w:szCs w:val="20"/>
                <w:color w:val="auto"/>
              </w:rPr>
            </w:pPr>
            <w:r>
              <w:rPr>
                <w:rFonts w:ascii="Arial" w:cs="Arial" w:eastAsia="Arial" w:hAnsi="Arial"/>
                <w:sz w:val="15"/>
                <w:szCs w:val="15"/>
                <w:b w:val="1"/>
                <w:bCs w:val="1"/>
                <w:color w:val="28C0DA"/>
              </w:rPr>
              <w:t xml:space="preserve">•  </w:t>
            </w:r>
            <w:r>
              <w:rPr>
                <w:rFonts w:ascii="Arial" w:cs="Arial" w:eastAsia="Arial" w:hAnsi="Arial"/>
                <w:sz w:val="15"/>
                <w:szCs w:val="15"/>
                <w:color w:val="000000"/>
              </w:rPr>
              <w:t>Provides our NEOs and other senior employees the opportunity to defer receipt of a</w:t>
            </w:r>
          </w:p>
        </w:tc>
      </w:tr>
      <w:tr>
        <w:trPr>
          <w:trHeight w:val="206"/>
        </w:trPr>
        <w:tc>
          <w:tcPr>
            <w:tcW w:w="1440" w:type="dxa"/>
            <w:vAlign w:val="bottom"/>
          </w:tcPr>
          <w:p>
            <w:pPr>
              <w:ind w:left="80"/>
              <w:spacing w:after="0"/>
              <w:rPr>
                <w:sz w:val="20"/>
                <w:szCs w:val="20"/>
                <w:color w:val="auto"/>
              </w:rPr>
            </w:pPr>
            <w:r>
              <w:rPr>
                <w:rFonts w:ascii="Arial" w:cs="Arial" w:eastAsia="Arial" w:hAnsi="Arial"/>
                <w:sz w:val="15"/>
                <w:szCs w:val="15"/>
                <w:b w:val="1"/>
                <w:bCs w:val="1"/>
                <w:color w:val="00244F"/>
              </w:rPr>
              <w:t>Savings Plan</w:t>
            </w:r>
          </w:p>
        </w:tc>
        <w:tc>
          <w:tcPr>
            <w:tcW w:w="240" w:type="dxa"/>
            <w:vAlign w:val="bottom"/>
          </w:tcPr>
          <w:p>
            <w:pPr>
              <w:spacing w:after="0"/>
              <w:rPr>
                <w:sz w:val="17"/>
                <w:szCs w:val="17"/>
                <w:color w:val="auto"/>
              </w:rPr>
            </w:pPr>
          </w:p>
        </w:tc>
        <w:tc>
          <w:tcPr>
            <w:tcW w:w="6040" w:type="dxa"/>
            <w:vAlign w:val="bottom"/>
          </w:tcPr>
          <w:p>
            <w:pPr>
              <w:ind w:left="240"/>
              <w:spacing w:after="0"/>
              <w:rPr>
                <w:sz w:val="20"/>
                <w:szCs w:val="20"/>
                <w:color w:val="auto"/>
              </w:rPr>
            </w:pPr>
            <w:r>
              <w:rPr>
                <w:rFonts w:ascii="Arial" w:cs="Arial" w:eastAsia="Arial" w:hAnsi="Arial"/>
                <w:sz w:val="15"/>
                <w:szCs w:val="15"/>
                <w:color w:val="auto"/>
              </w:rPr>
              <w:t>portion of their cash incentive compensation.</w:t>
            </w:r>
          </w:p>
        </w:tc>
      </w:tr>
      <w:tr>
        <w:trPr>
          <w:trHeight w:val="294"/>
        </w:trPr>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40" w:type="dxa"/>
            <w:vAlign w:val="bottom"/>
          </w:tcPr>
          <w:p>
            <w:pPr>
              <w:ind w:left="60"/>
              <w:spacing w:after="0"/>
              <w:rPr>
                <w:sz w:val="20"/>
                <w:szCs w:val="20"/>
                <w:color w:val="auto"/>
              </w:rPr>
            </w:pPr>
            <w:r>
              <w:rPr>
                <w:rFonts w:ascii="Arial" w:cs="Arial" w:eastAsia="Arial" w:hAnsi="Arial"/>
                <w:sz w:val="15"/>
                <w:szCs w:val="15"/>
                <w:b w:val="1"/>
                <w:bCs w:val="1"/>
                <w:color w:val="28C0DA"/>
              </w:rPr>
              <w:t xml:space="preserve">•  </w:t>
            </w:r>
            <w:r>
              <w:rPr>
                <w:rFonts w:ascii="Arial" w:cs="Arial" w:eastAsia="Arial" w:hAnsi="Arial"/>
                <w:sz w:val="15"/>
                <w:szCs w:val="15"/>
                <w:color w:val="000000"/>
              </w:rPr>
              <w:t>The deferral grows tax-deferred and offers the employee’s investment to be tied to the</w:t>
            </w:r>
          </w:p>
        </w:tc>
      </w:tr>
      <w:tr>
        <w:trPr>
          <w:trHeight w:val="198"/>
        </w:trPr>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40" w:type="dxa"/>
            <w:vAlign w:val="bottom"/>
          </w:tcPr>
          <w:p>
            <w:pPr>
              <w:ind w:left="240"/>
              <w:spacing w:after="0"/>
              <w:rPr>
                <w:sz w:val="20"/>
                <w:szCs w:val="20"/>
                <w:color w:val="auto"/>
              </w:rPr>
            </w:pPr>
            <w:r>
              <w:rPr>
                <w:rFonts w:ascii="Arial" w:cs="Arial" w:eastAsia="Arial" w:hAnsi="Arial"/>
                <w:sz w:val="15"/>
                <w:szCs w:val="15"/>
                <w:color w:val="auto"/>
              </w:rPr>
              <w:t>value of the products we offer.</w:t>
            </w:r>
          </w:p>
        </w:tc>
      </w:tr>
      <w:tr>
        <w:trPr>
          <w:trHeight w:val="302"/>
        </w:trPr>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40" w:type="dxa"/>
            <w:vAlign w:val="bottom"/>
          </w:tcPr>
          <w:p>
            <w:pPr>
              <w:ind w:left="60"/>
              <w:spacing w:after="0"/>
              <w:rPr>
                <w:sz w:val="20"/>
                <w:szCs w:val="20"/>
                <w:color w:val="auto"/>
              </w:rPr>
            </w:pPr>
            <w:r>
              <w:rPr>
                <w:rFonts w:ascii="Arial" w:cs="Arial" w:eastAsia="Arial" w:hAnsi="Arial"/>
                <w:sz w:val="15"/>
                <w:szCs w:val="15"/>
                <w:b w:val="1"/>
                <w:bCs w:val="1"/>
                <w:color w:val="28C0DA"/>
              </w:rPr>
              <w:t xml:space="preserve">•  </w:t>
            </w:r>
            <w:r>
              <w:rPr>
                <w:rFonts w:ascii="Arial" w:cs="Arial" w:eastAsia="Arial" w:hAnsi="Arial"/>
                <w:sz w:val="15"/>
                <w:szCs w:val="15"/>
                <w:color w:val="000000"/>
              </w:rPr>
              <w:t>Provides employees the opportunity to select the hypothetical investments upon</w:t>
            </w:r>
          </w:p>
        </w:tc>
      </w:tr>
      <w:tr>
        <w:trPr>
          <w:trHeight w:val="198"/>
        </w:trPr>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40" w:type="dxa"/>
            <w:vAlign w:val="bottom"/>
          </w:tcPr>
          <w:p>
            <w:pPr>
              <w:ind w:left="240"/>
              <w:spacing w:after="0"/>
              <w:rPr>
                <w:sz w:val="20"/>
                <w:szCs w:val="20"/>
                <w:color w:val="auto"/>
              </w:rPr>
            </w:pPr>
            <w:r>
              <w:rPr>
                <w:rFonts w:ascii="Arial" w:cs="Arial" w:eastAsia="Arial" w:hAnsi="Arial"/>
                <w:sz w:val="15"/>
                <w:szCs w:val="15"/>
                <w:color w:val="auto"/>
              </w:rPr>
              <w:t>which their deferral will be indexed to.</w:t>
            </w:r>
          </w:p>
        </w:tc>
      </w:tr>
      <w:tr>
        <w:trPr>
          <w:trHeight w:val="102"/>
        </w:trPr>
        <w:tc>
          <w:tcPr>
            <w:tcW w:w="14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040" w:type="dxa"/>
            <w:vAlign w:val="bottom"/>
            <w:tcBorders>
              <w:bottom w:val="single" w:sz="8" w:color="auto"/>
            </w:tcBorders>
          </w:tcPr>
          <w:p>
            <w:pPr>
              <w:spacing w:after="0"/>
              <w:rPr>
                <w:sz w:val="8"/>
                <w:szCs w:val="8"/>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3"/>
        <w:spacing w:after="0"/>
        <w:rPr>
          <w:sz w:val="20"/>
          <w:szCs w:val="20"/>
          <w:color w:val="auto"/>
        </w:rPr>
      </w:pPr>
      <w:r>
        <w:rPr>
          <w:rFonts w:ascii="Arial" w:cs="Arial" w:eastAsia="Arial" w:hAnsi="Arial"/>
          <w:sz w:val="12"/>
          <w:szCs w:val="12"/>
          <w:b w:val="1"/>
          <w:bCs w:val="1"/>
          <w:color w:val="auto"/>
        </w:rPr>
        <w:t>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-107315</wp:posOffset>
            </wp:positionV>
            <wp:extent cx="2110740" cy="134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10740" cy="134620"/>
                    </a:xfrm>
                    <a:prstGeom prst="rect">
                      <a:avLst/>
                    </a:prstGeom>
                    <a:noFill/>
                  </pic:spPr>
                </pic:pic>
              </a:graphicData>
            </a:graphic>
          </wp:anchor>
        </w:drawing>
      </w:r>
    </w:p>
    <w:p>
      <w:pPr>
        <w:spacing w:after="0" w:line="60" w:lineRule="exact"/>
        <w:rPr>
          <w:sz w:val="20"/>
          <w:szCs w:val="20"/>
          <w:color w:val="auto"/>
        </w:rPr>
      </w:pPr>
    </w:p>
    <w:p>
      <w:pPr>
        <w:ind w:left="173" w:right="100" w:hanging="173"/>
        <w:spacing w:after="0" w:line="261" w:lineRule="auto"/>
        <w:tabs>
          <w:tab w:leader="none" w:pos="171" w:val="left"/>
        </w:tabs>
        <w:numPr>
          <w:ilvl w:val="0"/>
          <w:numId w:val="68"/>
        </w:numPr>
        <w:rPr>
          <w:rFonts w:ascii="Arial" w:cs="Arial" w:eastAsia="Arial" w:hAnsi="Arial"/>
          <w:sz w:val="15"/>
          <w:szCs w:val="15"/>
          <w:b w:val="1"/>
          <w:bCs w:val="1"/>
          <w:color w:val="28C0DA"/>
        </w:rPr>
      </w:pPr>
      <w:r>
        <w:rPr>
          <w:rFonts w:ascii="Arial" w:cs="Arial" w:eastAsia="Arial" w:hAnsi="Arial"/>
          <w:sz w:val="15"/>
          <w:szCs w:val="15"/>
          <w:color w:val="auto"/>
        </w:rPr>
        <w:t>Encourages our employees to be invested in the Company’s business and products over a long period of time.</w:t>
      </w:r>
    </w:p>
    <w:p>
      <w:pPr>
        <w:spacing w:after="0" w:line="124" w:lineRule="exact"/>
        <w:rPr>
          <w:rFonts w:ascii="Arial" w:cs="Arial" w:eastAsia="Arial" w:hAnsi="Arial"/>
          <w:sz w:val="15"/>
          <w:szCs w:val="15"/>
          <w:b w:val="1"/>
          <w:bCs w:val="1"/>
          <w:color w:val="28C0DA"/>
        </w:rPr>
      </w:pPr>
    </w:p>
    <w:p>
      <w:pPr>
        <w:ind w:left="173" w:right="80" w:hanging="173"/>
        <w:spacing w:after="0" w:line="278" w:lineRule="auto"/>
        <w:tabs>
          <w:tab w:leader="none" w:pos="171" w:val="left"/>
        </w:tabs>
        <w:numPr>
          <w:ilvl w:val="0"/>
          <w:numId w:val="68"/>
        </w:numPr>
        <w:rPr>
          <w:rFonts w:ascii="Arial" w:cs="Arial" w:eastAsia="Arial" w:hAnsi="Arial"/>
          <w:sz w:val="15"/>
          <w:szCs w:val="15"/>
          <w:b w:val="1"/>
          <w:bCs w:val="1"/>
          <w:color w:val="28C0DA"/>
        </w:rPr>
      </w:pPr>
      <w:r>
        <w:rPr>
          <w:rFonts w:ascii="Arial" w:cs="Arial" w:eastAsia="Arial" w:hAnsi="Arial"/>
          <w:sz w:val="15"/>
          <w:szCs w:val="15"/>
          <w:color w:val="auto"/>
        </w:rPr>
        <w:t>Provides attractive compensation program to retain diverse high-quality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246380</wp:posOffset>
            </wp:positionV>
            <wp:extent cx="2110740"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110740" cy="7620"/>
                    </a:xfrm>
                    <a:prstGeom prst="rect">
                      <a:avLst/>
                    </a:prstGeom>
                    <a:noFill/>
                  </pic:spPr>
                </pic:pic>
              </a:graphicData>
            </a:graphic>
          </wp:anchor>
        </w:drawing>
      </w:r>
    </w:p>
    <w:p>
      <w:pPr>
        <w:spacing w:after="0" w:line="575" w:lineRule="exact"/>
        <w:rPr>
          <w:sz w:val="20"/>
          <w:szCs w:val="20"/>
          <w:color w:val="auto"/>
        </w:rPr>
      </w:pPr>
    </w:p>
    <w:p>
      <w:pPr>
        <w:sectPr>
          <w:pgSz w:w="11900" w:h="16838" w:orient="portrait"/>
          <w:cols w:equalWidth="0" w:num="2">
            <w:col w:w="7720" w:space="287"/>
            <w:col w:w="3233"/>
          </w:cols>
          <w:pgMar w:left="320" w:top="223" w:right="339" w:bottom="1440" w:gutter="0" w:footer="0" w:header="0"/>
        </w:sectPr>
      </w:pPr>
    </w:p>
    <w:p>
      <w:pPr>
        <w:spacing w:after="0"/>
        <w:rPr>
          <w:sz w:val="20"/>
          <w:szCs w:val="20"/>
          <w:color w:val="auto"/>
        </w:rPr>
      </w:pPr>
      <w:r>
        <w:rPr>
          <w:rFonts w:ascii="Times New Roman" w:cs="Times New Roman" w:eastAsia="Times New Roman" w:hAnsi="Times New Roman"/>
          <w:sz w:val="23"/>
          <w:szCs w:val="23"/>
          <w:b w:val="1"/>
          <w:bCs w:val="1"/>
          <w:color w:val="auto"/>
        </w:rPr>
        <w:t>Compensation Policies and Practices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Recoupment Policies</w:t>
      </w:r>
    </w:p>
    <w:p>
      <w:pPr>
        <w:spacing w:after="0" w:line="213" w:lineRule="exact"/>
        <w:rPr>
          <w:sz w:val="20"/>
          <w:szCs w:val="20"/>
          <w:color w:val="auto"/>
        </w:rPr>
      </w:pPr>
    </w:p>
    <w:p>
      <w:pPr>
        <w:ind w:right="40"/>
        <w:spacing w:after="0" w:line="248" w:lineRule="auto"/>
        <w:rPr>
          <w:sz w:val="20"/>
          <w:szCs w:val="20"/>
          <w:color w:val="auto"/>
        </w:rPr>
      </w:pPr>
      <w:r>
        <w:rPr>
          <w:rFonts w:ascii="Arial" w:cs="Arial" w:eastAsia="Arial" w:hAnsi="Arial"/>
          <w:sz w:val="15"/>
          <w:szCs w:val="15"/>
          <w:color w:val="auto"/>
        </w:rPr>
        <w:t>Our Board has adopted a Policy for Recoupment of Incentive Compensation for executive officers of the Company. This policy provides that, in the event of a determination of a need for a material restatement of the Company's financial results within three years of the original reporting, the Board will review the facts and circumstances that led to the requirement for the restatement and will take actions it deems necessary and appropriate. The Board will consider whether any executive officer received incentive compensation, including equity awards, based on the original financial statements that in fact was not warranted based on the restatement. The Board will also consider the accountability of any executive officer whose acts or omissions were responsible in whole or in part for the events that led to the restatement. The actions the Board could elect to take against a particular executive officer include: the recoupment of all or part of any bonus or other incentive compensation paid to the executive officer, including recoupment in whole or in part of equity awards; disciplinary actions, up to and including termination; and/or the pursuit of other available remedies, at the Board's discretion.</w:t>
      </w:r>
    </w:p>
    <w:p>
      <w:pPr>
        <w:spacing w:after="0" w:line="174" w:lineRule="exact"/>
        <w:rPr>
          <w:sz w:val="20"/>
          <w:szCs w:val="20"/>
          <w:color w:val="auto"/>
        </w:rPr>
      </w:pPr>
    </w:p>
    <w:p>
      <w:pPr>
        <w:ind w:right="20"/>
        <w:spacing w:after="0" w:line="249" w:lineRule="auto"/>
        <w:rPr>
          <w:sz w:val="20"/>
          <w:szCs w:val="20"/>
          <w:color w:val="auto"/>
        </w:rPr>
      </w:pPr>
      <w:r>
        <w:rPr>
          <w:rFonts w:ascii="Arial" w:cs="Arial" w:eastAsia="Arial" w:hAnsi="Arial"/>
          <w:sz w:val="15"/>
          <w:szCs w:val="15"/>
          <w:color w:val="auto"/>
        </w:rPr>
        <w:t>In addition, effective for compensation awarded for periods beginning on or after October 2, 2023, the Board adopted an Erroneously Awarded Compensation Recoupment Policy ("Recoupment Policy") as required by the Sarbanes-Oxley Act. The Recoupment Policy provides for the mandatory recovery of erroneously awarded incentive-based compensation following accounting restatements from persons who served as an executive officer of the Company at any time during the performance period for such incentive-based compensation and who received such compensation during the three fiscal years preceding the date on which the Company is required to prepare an accounting restatement. The compensation to be recovered is the amount in excess of what would have been paid based on the restated results. Recovery will be required on a "no fault" basis, without regard to whether any misconduct occurred and without regard to whether an executive officer was responsible for the erroneous financial statements.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Ownership Guidelines</w:t>
      </w:r>
    </w:p>
    <w:p>
      <w:pPr>
        <w:spacing w:after="0" w:line="213" w:lineRule="exact"/>
        <w:rPr>
          <w:sz w:val="20"/>
          <w:szCs w:val="20"/>
          <w:color w:val="auto"/>
        </w:rPr>
      </w:pPr>
    </w:p>
    <w:p>
      <w:pPr>
        <w:spacing w:after="0" w:line="250" w:lineRule="auto"/>
        <w:rPr>
          <w:sz w:val="20"/>
          <w:szCs w:val="20"/>
          <w:color w:val="auto"/>
        </w:rPr>
      </w:pPr>
      <w:r>
        <w:rPr>
          <w:rFonts w:ascii="Arial" w:cs="Arial" w:eastAsia="Arial" w:hAnsi="Arial"/>
          <w:sz w:val="15"/>
          <w:szCs w:val="15"/>
          <w:color w:val="auto"/>
        </w:rPr>
        <w:t>We have a stock ownership policy covering our executive officers. This policy provides that our NEOs, our other executive officers, and the members of our Management Committee are expected to reach levels of ownership determined as a stated multiple of an executive's base salary within five years from the date when the executive assumed their position. The stated ownership multiples are 10 times base salary for the Chair and CEO and President, five times base salary for members of our Management Committee, and three times base salary for the remaining executive officers. For purposes of the guidelines, unvested RSUs are counted in an officer's total ownership, but unexercised stock options, both vested and unvested, are not counted. Once the officer reaches the ownership target, the number of shares needed to reach the level is expected to be retained. All of our NEOs have satisfied the applicable stock ownership multiple.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2023 Compensation Decisions</w:t>
      </w:r>
    </w:p>
    <w:p>
      <w:pPr>
        <w:spacing w:after="0" w:line="224" w:lineRule="exact"/>
        <w:rPr>
          <w:sz w:val="20"/>
          <w:szCs w:val="20"/>
          <w:color w:val="auto"/>
        </w:rPr>
      </w:pPr>
    </w:p>
    <w:p>
      <w:pPr>
        <w:ind w:right="60"/>
        <w:spacing w:after="0" w:line="250" w:lineRule="auto"/>
        <w:rPr>
          <w:sz w:val="20"/>
          <w:szCs w:val="20"/>
          <w:color w:val="auto"/>
        </w:rPr>
      </w:pPr>
      <w:r>
        <w:rPr>
          <w:rFonts w:ascii="Arial" w:cs="Arial" w:eastAsia="Arial" w:hAnsi="Arial"/>
          <w:sz w:val="15"/>
          <w:szCs w:val="15"/>
          <w:color w:val="auto"/>
        </w:rPr>
        <w:t>Given our shared and collaborative leadership structure, when setting the compensation in 2023, the Compensation Committee considered the collective contribution of the NEOs to the Company's strategic imperatives, as well as their contributions to the related annual goals described below. The Compensation Committee considered each NEO's individual contributions to the achievement of these key goals and the NEO's individual performance in their functional responsibilities. These broader goals included overall Company financial results, investment performance and progress on product goals, net flows and progress on distribution goals, major program execution and progress on shared services goals, and governance and talent development. The Compensation Committee also looked to maintain reasonable alignment between the compensation of the NEOs and other senior personnel in order to retain talent and maintain an internally consistent compensation environment.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020" w:type="dxa"/>
            <w:vAlign w:val="bottom"/>
          </w:tcPr>
          <w:p>
            <w:pPr>
              <w:ind w:left="9720"/>
              <w:spacing w:after="0"/>
              <w:rPr>
                <w:sz w:val="20"/>
                <w:szCs w:val="20"/>
                <w:color w:val="auto"/>
              </w:rPr>
            </w:pPr>
            <w:r>
              <w:rPr>
                <w:rFonts w:ascii="Times New Roman" w:cs="Times New Roman" w:eastAsia="Times New Roman" w:hAnsi="Times New Roman"/>
                <w:sz w:val="13"/>
                <w:szCs w:val="13"/>
                <w:b w:val="1"/>
                <w:bCs w:val="1"/>
                <w:color w:val="auto"/>
              </w:rPr>
              <w:t xml:space="preserve">2024 </w:t>
            </w:r>
            <w:r>
              <w:rPr>
                <w:rFonts w:ascii="Times New Roman" w:cs="Times New Roman" w:eastAsia="Times New Roman" w:hAnsi="Times New Roman"/>
                <w:sz w:val="13"/>
                <w:szCs w:val="13"/>
                <w:color w:val="auto"/>
              </w:rPr>
              <w:t>Proxy Statement</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244F"/>
              </w:rPr>
              <w:t>49</w:t>
            </w:r>
          </w:p>
        </w:tc>
      </w:tr>
      <w:tr>
        <w:trPr>
          <w:trHeight w:val="385"/>
        </w:trPr>
        <w:tc>
          <w:tcPr>
            <w:tcW w:w="1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3" w:right="3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7"/>
          <w:szCs w:val="17"/>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54F"/>
        </w:rPr>
        <w:t>Non-variable Compensation</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5"/>
          <w:szCs w:val="15"/>
          <w:color w:val="auto"/>
        </w:rPr>
        <w:t>In keeping with the Company's commitment to pay for performance, the maximum base salary of $350,000 for NEOs in the U.S. has remained unchanged since 2005, and for 2023 the maximum salary in the UK was £260,000. The Compensation Committee did not make any changes to base salaries for the NEOs in 2023. In addition to salary, Mr. Thomson received a fixed supplemental compensation of $1,373,465, to reflect changes to his compensation program to satisfy regulatory requirements in the UK.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54F"/>
        </w:rPr>
        <w:t>Variable Compensation</w:t>
      </w:r>
    </w:p>
    <w:p>
      <w:pPr>
        <w:spacing w:after="0" w:line="187" w:lineRule="exact"/>
        <w:rPr>
          <w:sz w:val="20"/>
          <w:szCs w:val="20"/>
          <w:color w:val="auto"/>
        </w:rPr>
      </w:pPr>
    </w:p>
    <w:p>
      <w:pPr>
        <w:spacing w:after="0" w:line="252" w:lineRule="auto"/>
        <w:rPr>
          <w:sz w:val="20"/>
          <w:szCs w:val="20"/>
          <w:color w:val="auto"/>
        </w:rPr>
      </w:pPr>
      <w:r>
        <w:rPr>
          <w:rFonts w:ascii="Arial" w:cs="Arial" w:eastAsia="Arial" w:hAnsi="Arial"/>
          <w:sz w:val="15"/>
          <w:szCs w:val="15"/>
          <w:color w:val="auto"/>
        </w:rPr>
        <w:t>At the end of 2022, the Board approved goals for 2023, which the Compensation Committee then used to evaluate 2023 NEO performance. These goals were designed to promote a team-oriented structure that operates in the best long-term interests of clients, associates, and stockholders. Long-term goals include the objective to recruit, develop, and retain diverse associates of the highest quality while creating an environment of collaboration and continuing to reward individual achievements and initiatives. This focus on our associates is intended to create a combination of talent, culture, and processes that will enable us to achieve superior investment results, market our products effectively, and deliver outstanding service on a global basis.</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color w:val="auto"/>
        </w:rPr>
        <w:t>Specific goals established for 2023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120650</wp:posOffset>
            </wp:positionV>
            <wp:extent cx="7142480" cy="50793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2480" cy="507936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p>
      <w:pPr>
        <w:spacing w:after="0" w:line="377"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auto"/>
        </w:rPr>
        <w:t>Investment Performance and Capabilities</w:t>
      </w:r>
    </w:p>
    <w:p>
      <w:pPr>
        <w:spacing w:after="0" w:line="185" w:lineRule="exact"/>
        <w:rPr>
          <w:sz w:val="20"/>
          <w:szCs w:val="20"/>
          <w:color w:val="auto"/>
        </w:rPr>
      </w:pPr>
    </w:p>
    <w:p>
      <w:pPr>
        <w:ind w:left="320" w:right="80" w:hanging="183"/>
        <w:spacing w:after="0" w:line="244" w:lineRule="auto"/>
        <w:tabs>
          <w:tab w:leader="none" w:pos="234" w:val="left"/>
        </w:tabs>
        <w:numPr>
          <w:ilvl w:val="0"/>
          <w:numId w:val="69"/>
        </w:numPr>
        <w:rPr>
          <w:rFonts w:ascii="Arial" w:cs="Arial" w:eastAsia="Arial" w:hAnsi="Arial"/>
          <w:sz w:val="15"/>
          <w:szCs w:val="15"/>
          <w:color w:val="28C0DA"/>
        </w:rPr>
      </w:pPr>
      <w:r>
        <w:rPr>
          <w:rFonts w:ascii="Arial" w:cs="Arial" w:eastAsia="Arial" w:hAnsi="Arial"/>
          <w:sz w:val="17"/>
          <w:szCs w:val="17"/>
          <w:color w:val="auto"/>
        </w:rPr>
        <w:t>  Sustain excellent long-term investment performance across the franchise, and improve performance in growth equity strategies and core fixed income.</w:t>
      </w:r>
    </w:p>
    <w:p>
      <w:pPr>
        <w:spacing w:after="0" w:line="153" w:lineRule="exact"/>
        <w:rPr>
          <w:rFonts w:ascii="Arial" w:cs="Arial" w:eastAsia="Arial" w:hAnsi="Arial"/>
          <w:sz w:val="15"/>
          <w:szCs w:val="15"/>
          <w:color w:val="28C0DA"/>
        </w:rPr>
      </w:pPr>
    </w:p>
    <w:p>
      <w:pPr>
        <w:ind w:left="320" w:hanging="183"/>
        <w:spacing w:after="0" w:line="258" w:lineRule="auto"/>
        <w:tabs>
          <w:tab w:leader="none" w:pos="234" w:val="left"/>
        </w:tabs>
        <w:numPr>
          <w:ilvl w:val="0"/>
          <w:numId w:val="69"/>
        </w:numPr>
        <w:rPr>
          <w:rFonts w:ascii="Arial" w:cs="Arial" w:eastAsia="Arial" w:hAnsi="Arial"/>
          <w:sz w:val="15"/>
          <w:szCs w:val="15"/>
          <w:color w:val="28C0DA"/>
        </w:rPr>
      </w:pPr>
      <w:r>
        <w:rPr>
          <w:rFonts w:ascii="Arial" w:cs="Arial" w:eastAsia="Arial" w:hAnsi="Arial"/>
          <w:sz w:val="17"/>
          <w:szCs w:val="17"/>
          <w:color w:val="auto"/>
        </w:rPr>
        <w:t>  Turn around underperforming strategies and continue to deliver long-term performance for clients.</w:t>
      </w:r>
    </w:p>
    <w:p>
      <w:pPr>
        <w:spacing w:after="0" w:line="142" w:lineRule="exact"/>
        <w:rPr>
          <w:sz w:val="20"/>
          <w:szCs w:val="20"/>
          <w:color w:val="auto"/>
        </w:rPr>
      </w:pPr>
    </w:p>
    <w:p>
      <w:pPr>
        <w:ind w:left="320" w:right="280" w:hanging="179"/>
        <w:spacing w:after="0" w:line="289" w:lineRule="auto"/>
        <w:rPr>
          <w:sz w:val="20"/>
          <w:szCs w:val="20"/>
          <w:color w:val="auto"/>
        </w:rPr>
      </w:pPr>
      <w:r>
        <w:rPr>
          <w:rFonts w:ascii="Arial" w:cs="Arial" w:eastAsia="Arial" w:hAnsi="Arial"/>
          <w:sz w:val="15"/>
          <w:szCs w:val="15"/>
          <w:color w:val="28C0DA"/>
        </w:rPr>
        <w:t xml:space="preserve">•    </w:t>
      </w:r>
      <w:r>
        <w:rPr>
          <w:rFonts w:ascii="Arial" w:cs="Arial" w:eastAsia="Arial" w:hAnsi="Arial"/>
          <w:sz w:val="16"/>
          <w:szCs w:val="16"/>
          <w:color w:val="000000"/>
        </w:rPr>
        <w:t>Expand ESG capabilities, including team buildout and supporting</w:t>
      </w:r>
      <w:r>
        <w:rPr>
          <w:rFonts w:ascii="Arial" w:cs="Arial" w:eastAsia="Arial" w:hAnsi="Arial"/>
          <w:sz w:val="15"/>
          <w:szCs w:val="15"/>
          <w:color w:val="28C0DA"/>
        </w:rPr>
        <w:t xml:space="preserve"> </w:t>
      </w:r>
      <w:r>
        <w:rPr>
          <w:rFonts w:ascii="Arial" w:cs="Arial" w:eastAsia="Arial" w:hAnsi="Arial"/>
          <w:sz w:val="16"/>
          <w:szCs w:val="16"/>
          <w:color w:val="000000"/>
        </w:rPr>
        <w:t>data.</w:t>
      </w:r>
    </w:p>
    <w:p>
      <w:pPr>
        <w:spacing w:after="0" w:line="119" w:lineRule="exact"/>
        <w:rPr>
          <w:sz w:val="20"/>
          <w:szCs w:val="20"/>
          <w:color w:val="auto"/>
        </w:rPr>
      </w:pPr>
    </w:p>
    <w:p>
      <w:pPr>
        <w:ind w:left="320" w:right="260" w:hanging="179"/>
        <w:spacing w:after="0" w:line="289" w:lineRule="auto"/>
        <w:rPr>
          <w:sz w:val="20"/>
          <w:szCs w:val="20"/>
          <w:color w:val="auto"/>
        </w:rPr>
      </w:pPr>
      <w:r>
        <w:rPr>
          <w:rFonts w:ascii="Arial" w:cs="Arial" w:eastAsia="Arial" w:hAnsi="Arial"/>
          <w:sz w:val="15"/>
          <w:szCs w:val="15"/>
          <w:color w:val="28C0DA"/>
        </w:rPr>
        <w:t xml:space="preserve">•   </w:t>
      </w:r>
      <w:r>
        <w:rPr>
          <w:rFonts w:ascii="Arial" w:cs="Arial" w:eastAsia="Arial" w:hAnsi="Arial"/>
          <w:sz w:val="16"/>
          <w:szCs w:val="16"/>
          <w:color w:val="000000"/>
        </w:rPr>
        <w:t>For OHA, outperform benchmarks in flagship liquid strategy funds</w:t>
      </w:r>
      <w:r>
        <w:rPr>
          <w:rFonts w:ascii="Arial" w:cs="Arial" w:eastAsia="Arial" w:hAnsi="Arial"/>
          <w:sz w:val="15"/>
          <w:szCs w:val="15"/>
          <w:color w:val="28C0DA"/>
        </w:rPr>
        <w:t xml:space="preserve"> </w:t>
      </w:r>
      <w:r>
        <w:rPr>
          <w:rFonts w:ascii="Arial" w:cs="Arial" w:eastAsia="Arial" w:hAnsi="Arial"/>
          <w:sz w:val="16"/>
          <w:szCs w:val="16"/>
          <w:color w:val="000000"/>
        </w:rPr>
        <w:t>and exceed target returns in flagship private strategy funds.</w:t>
      </w:r>
    </w:p>
    <w:p>
      <w:pPr>
        <w:spacing w:after="0" w:line="119" w:lineRule="exact"/>
        <w:rPr>
          <w:sz w:val="20"/>
          <w:szCs w:val="20"/>
          <w:color w:val="auto"/>
        </w:rPr>
      </w:pPr>
    </w:p>
    <w:p>
      <w:pPr>
        <w:ind w:left="320" w:right="540" w:hanging="183"/>
        <w:spacing w:after="0" w:line="244" w:lineRule="auto"/>
        <w:tabs>
          <w:tab w:leader="none" w:pos="234" w:val="left"/>
        </w:tabs>
        <w:numPr>
          <w:ilvl w:val="0"/>
          <w:numId w:val="70"/>
        </w:numPr>
        <w:rPr>
          <w:rFonts w:ascii="Arial" w:cs="Arial" w:eastAsia="Arial" w:hAnsi="Arial"/>
          <w:sz w:val="15"/>
          <w:szCs w:val="15"/>
          <w:color w:val="28C0DA"/>
        </w:rPr>
      </w:pPr>
      <w:r>
        <w:rPr>
          <w:rFonts w:ascii="Arial" w:cs="Arial" w:eastAsia="Arial" w:hAnsi="Arial"/>
          <w:sz w:val="17"/>
          <w:szCs w:val="17"/>
          <w:color w:val="auto"/>
        </w:rPr>
        <w:t>  Support execution of key tech/ops related initiatives to reduce reliance on legacy/end-of-life systems and build/improve the investment data platform.</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auto"/>
        </w:rPr>
        <w:t>Corporate Strategy and Financial Results</w:t>
      </w:r>
    </w:p>
    <w:p>
      <w:pPr>
        <w:spacing w:after="0" w:line="185" w:lineRule="exact"/>
        <w:rPr>
          <w:sz w:val="20"/>
          <w:szCs w:val="20"/>
          <w:color w:val="auto"/>
        </w:rPr>
      </w:pPr>
    </w:p>
    <w:p>
      <w:pPr>
        <w:ind w:left="320" w:right="40" w:hanging="183"/>
        <w:spacing w:after="0" w:line="258" w:lineRule="auto"/>
        <w:tabs>
          <w:tab w:leader="none" w:pos="234" w:val="left"/>
        </w:tabs>
        <w:numPr>
          <w:ilvl w:val="0"/>
          <w:numId w:val="71"/>
        </w:numPr>
        <w:rPr>
          <w:rFonts w:ascii="Arial" w:cs="Arial" w:eastAsia="Arial" w:hAnsi="Arial"/>
          <w:sz w:val="15"/>
          <w:szCs w:val="15"/>
          <w:color w:val="28C0DA"/>
        </w:rPr>
      </w:pPr>
      <w:r>
        <w:rPr>
          <w:rFonts w:ascii="Arial" w:cs="Arial" w:eastAsia="Arial" w:hAnsi="Arial"/>
          <w:sz w:val="17"/>
          <w:szCs w:val="17"/>
          <w:color w:val="auto"/>
        </w:rPr>
        <w:t>  Complete execution plans for new strategic pillars, including defining accountability, expected outcomes and metrics.</w:t>
      </w:r>
    </w:p>
    <w:p>
      <w:pPr>
        <w:spacing w:after="0" w:line="142" w:lineRule="exact"/>
        <w:rPr>
          <w:rFonts w:ascii="Arial" w:cs="Arial" w:eastAsia="Arial" w:hAnsi="Arial"/>
          <w:sz w:val="15"/>
          <w:szCs w:val="15"/>
          <w:color w:val="28C0DA"/>
        </w:rPr>
      </w:pPr>
    </w:p>
    <w:p>
      <w:pPr>
        <w:ind w:left="320" w:right="460" w:hanging="183"/>
        <w:spacing w:after="0" w:line="267" w:lineRule="auto"/>
        <w:tabs>
          <w:tab w:leader="none" w:pos="234" w:val="left"/>
        </w:tabs>
        <w:numPr>
          <w:ilvl w:val="0"/>
          <w:numId w:val="71"/>
        </w:numPr>
        <w:rPr>
          <w:rFonts w:ascii="Arial" w:cs="Arial" w:eastAsia="Arial" w:hAnsi="Arial"/>
          <w:sz w:val="14"/>
          <w:szCs w:val="14"/>
          <w:color w:val="28C0DA"/>
        </w:rPr>
      </w:pPr>
      <w:r>
        <w:rPr>
          <w:rFonts w:ascii="Arial" w:cs="Arial" w:eastAsia="Arial" w:hAnsi="Arial"/>
          <w:sz w:val="16"/>
          <w:szCs w:val="16"/>
          <w:color w:val="auto"/>
        </w:rPr>
        <w:t>  Manage expenses in the face of market uncertainty to balance investment in the business with near-term impact on operating income, EPS, return of capital and capacity for M&amp;A.</w:t>
      </w:r>
    </w:p>
    <w:p>
      <w:pPr>
        <w:spacing w:after="0" w:line="136" w:lineRule="exact"/>
        <w:rPr>
          <w:sz w:val="20"/>
          <w:szCs w:val="20"/>
          <w:color w:val="auto"/>
        </w:rPr>
      </w:pPr>
    </w:p>
    <w:p>
      <w:pPr>
        <w:ind w:left="140"/>
        <w:spacing w:after="0"/>
        <w:rPr>
          <w:sz w:val="20"/>
          <w:szCs w:val="20"/>
          <w:color w:val="auto"/>
        </w:rPr>
      </w:pPr>
      <w:r>
        <w:rPr>
          <w:rFonts w:ascii="Arial" w:cs="Arial" w:eastAsia="Arial" w:hAnsi="Arial"/>
          <w:sz w:val="15"/>
          <w:szCs w:val="15"/>
          <w:color w:val="28C0DA"/>
        </w:rPr>
        <w:t>•</w:t>
      </w:r>
      <w:r>
        <w:rPr>
          <w:rFonts w:ascii="Arial" w:cs="Arial" w:eastAsia="Arial" w:hAnsi="Arial"/>
          <w:sz w:val="16"/>
          <w:szCs w:val="16"/>
          <w:color w:val="000000"/>
        </w:rPr>
        <w:t>  Continue integration of OHA corporate systems and processes.</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Distribution and Product Capabilities</w:t>
      </w:r>
    </w:p>
    <w:p>
      <w:pPr>
        <w:spacing w:after="0" w:line="173" w:lineRule="exact"/>
        <w:rPr>
          <w:sz w:val="20"/>
          <w:szCs w:val="20"/>
          <w:color w:val="auto"/>
        </w:rPr>
      </w:pPr>
    </w:p>
    <w:p>
      <w:pPr>
        <w:ind w:left="180" w:right="540" w:hanging="171"/>
        <w:spacing w:after="0" w:line="258" w:lineRule="auto"/>
        <w:tabs>
          <w:tab w:leader="none" w:pos="94" w:val="left"/>
        </w:tabs>
        <w:numPr>
          <w:ilvl w:val="0"/>
          <w:numId w:val="72"/>
        </w:numPr>
        <w:rPr>
          <w:rFonts w:ascii="Arial" w:cs="Arial" w:eastAsia="Arial" w:hAnsi="Arial"/>
          <w:sz w:val="15"/>
          <w:szCs w:val="15"/>
          <w:color w:val="28C0DA"/>
        </w:rPr>
      </w:pPr>
      <w:r>
        <w:rPr>
          <w:rFonts w:ascii="Arial" w:cs="Arial" w:eastAsia="Arial" w:hAnsi="Arial"/>
          <w:sz w:val="17"/>
          <w:szCs w:val="17"/>
          <w:color w:val="auto"/>
        </w:rPr>
        <w:t>  Improve aggregate gross and net flow results and execute key distribution initiatives across all channels.</w:t>
      </w:r>
    </w:p>
    <w:p>
      <w:pPr>
        <w:spacing w:after="0" w:line="142" w:lineRule="exact"/>
        <w:rPr>
          <w:rFonts w:ascii="Arial" w:cs="Arial" w:eastAsia="Arial" w:hAnsi="Arial"/>
          <w:sz w:val="15"/>
          <w:szCs w:val="15"/>
          <w:color w:val="28C0DA"/>
        </w:rPr>
      </w:pPr>
    </w:p>
    <w:p>
      <w:pPr>
        <w:ind w:left="180" w:right="260" w:hanging="171"/>
        <w:spacing w:after="0" w:line="258" w:lineRule="auto"/>
        <w:tabs>
          <w:tab w:leader="none" w:pos="94" w:val="left"/>
        </w:tabs>
        <w:numPr>
          <w:ilvl w:val="0"/>
          <w:numId w:val="72"/>
        </w:numPr>
        <w:rPr>
          <w:rFonts w:ascii="Arial" w:cs="Arial" w:eastAsia="Arial" w:hAnsi="Arial"/>
          <w:sz w:val="15"/>
          <w:szCs w:val="15"/>
          <w:color w:val="28C0DA"/>
        </w:rPr>
      </w:pPr>
      <w:r>
        <w:rPr>
          <w:rFonts w:ascii="Arial" w:cs="Arial" w:eastAsia="Arial" w:hAnsi="Arial"/>
          <w:sz w:val="17"/>
          <w:szCs w:val="17"/>
          <w:color w:val="auto"/>
        </w:rPr>
        <w:t>  Increase segment and asset class diversification, while preserving existing business.</w:t>
      </w:r>
    </w:p>
    <w:p>
      <w:pPr>
        <w:spacing w:after="0" w:line="142" w:lineRule="exact"/>
        <w:rPr>
          <w:rFonts w:ascii="Arial" w:cs="Arial" w:eastAsia="Arial" w:hAnsi="Arial"/>
          <w:sz w:val="15"/>
          <w:szCs w:val="15"/>
          <w:color w:val="28C0DA"/>
        </w:rPr>
      </w:pPr>
    </w:p>
    <w:p>
      <w:pPr>
        <w:ind w:left="100" w:hanging="91"/>
        <w:spacing w:after="0"/>
        <w:tabs>
          <w:tab w:leader="none" w:pos="100" w:val="left"/>
        </w:tabs>
        <w:numPr>
          <w:ilvl w:val="0"/>
          <w:numId w:val="72"/>
        </w:numPr>
        <w:rPr>
          <w:rFonts w:ascii="Arial" w:cs="Arial" w:eastAsia="Arial" w:hAnsi="Arial"/>
          <w:sz w:val="15"/>
          <w:szCs w:val="15"/>
          <w:color w:val="28C0DA"/>
        </w:rPr>
      </w:pPr>
      <w:r>
        <w:rPr>
          <w:rFonts w:ascii="Arial" w:cs="Arial" w:eastAsia="Arial" w:hAnsi="Arial"/>
          <w:sz w:val="17"/>
          <w:szCs w:val="17"/>
          <w:color w:val="auto"/>
        </w:rPr>
        <w:t>  Drive U.S. Retirement Insured &amp; Sales initiatives.</w:t>
      </w:r>
    </w:p>
    <w:p>
      <w:pPr>
        <w:spacing w:after="0" w:line="179" w:lineRule="exact"/>
        <w:rPr>
          <w:rFonts w:ascii="Arial" w:cs="Arial" w:eastAsia="Arial" w:hAnsi="Arial"/>
          <w:sz w:val="15"/>
          <w:szCs w:val="15"/>
          <w:color w:val="28C0DA"/>
        </w:rPr>
      </w:pPr>
    </w:p>
    <w:p>
      <w:pPr>
        <w:ind w:left="100" w:hanging="91"/>
        <w:spacing w:after="0"/>
        <w:tabs>
          <w:tab w:leader="none" w:pos="100" w:val="left"/>
        </w:tabs>
        <w:numPr>
          <w:ilvl w:val="0"/>
          <w:numId w:val="72"/>
        </w:numPr>
        <w:rPr>
          <w:rFonts w:ascii="Arial" w:cs="Arial" w:eastAsia="Arial" w:hAnsi="Arial"/>
          <w:sz w:val="15"/>
          <w:szCs w:val="15"/>
          <w:color w:val="28C0DA"/>
        </w:rPr>
      </w:pPr>
      <w:r>
        <w:rPr>
          <w:rFonts w:ascii="Arial" w:cs="Arial" w:eastAsia="Arial" w:hAnsi="Arial"/>
          <w:sz w:val="17"/>
          <w:szCs w:val="17"/>
          <w:color w:val="auto"/>
        </w:rPr>
        <w:t>  Explore ways to enhance our fixed income go-to-market approach.</w:t>
      </w:r>
    </w:p>
    <w:p>
      <w:pPr>
        <w:spacing w:after="0" w:line="179" w:lineRule="exact"/>
        <w:rPr>
          <w:rFonts w:ascii="Arial" w:cs="Arial" w:eastAsia="Arial" w:hAnsi="Arial"/>
          <w:sz w:val="15"/>
          <w:szCs w:val="15"/>
          <w:color w:val="28C0DA"/>
        </w:rPr>
      </w:pPr>
    </w:p>
    <w:p>
      <w:pPr>
        <w:ind w:left="180" w:right="160" w:hanging="171"/>
        <w:spacing w:after="0" w:line="258" w:lineRule="auto"/>
        <w:tabs>
          <w:tab w:leader="none" w:pos="94" w:val="left"/>
        </w:tabs>
        <w:numPr>
          <w:ilvl w:val="0"/>
          <w:numId w:val="72"/>
        </w:numPr>
        <w:rPr>
          <w:rFonts w:ascii="Arial" w:cs="Arial" w:eastAsia="Arial" w:hAnsi="Arial"/>
          <w:sz w:val="15"/>
          <w:szCs w:val="15"/>
          <w:color w:val="28C0DA"/>
        </w:rPr>
      </w:pPr>
      <w:r>
        <w:rPr>
          <w:rFonts w:ascii="Arial" w:cs="Arial" w:eastAsia="Arial" w:hAnsi="Arial"/>
          <w:sz w:val="17"/>
          <w:szCs w:val="17"/>
          <w:color w:val="auto"/>
        </w:rPr>
        <w:t>  Establish a disciplined sales framework for engaging prospects and clients.</w:t>
      </w:r>
    </w:p>
    <w:p>
      <w:pPr>
        <w:spacing w:after="0" w:line="142" w:lineRule="exact"/>
        <w:rPr>
          <w:sz w:val="20"/>
          <w:szCs w:val="20"/>
          <w:color w:val="auto"/>
        </w:rPr>
      </w:pPr>
    </w:p>
    <w:p>
      <w:pPr>
        <w:ind w:left="180" w:right="240" w:hanging="179"/>
        <w:spacing w:after="0" w:line="289" w:lineRule="auto"/>
        <w:rPr>
          <w:sz w:val="20"/>
          <w:szCs w:val="20"/>
          <w:color w:val="auto"/>
        </w:rPr>
      </w:pPr>
      <w:r>
        <w:rPr>
          <w:rFonts w:ascii="Arial" w:cs="Arial" w:eastAsia="Arial" w:hAnsi="Arial"/>
          <w:sz w:val="15"/>
          <w:szCs w:val="15"/>
          <w:color w:val="28C0DA"/>
        </w:rPr>
        <w:t>•</w:t>
      </w:r>
      <w:r>
        <w:rPr>
          <w:rFonts w:ascii="Arial" w:cs="Arial" w:eastAsia="Arial" w:hAnsi="Arial"/>
          <w:sz w:val="16"/>
          <w:szCs w:val="16"/>
          <w:color w:val="000000"/>
        </w:rPr>
        <w:t>   Expand institutional distribution for OHA products, and launch new</w:t>
      </w:r>
      <w:r>
        <w:rPr>
          <w:rFonts w:ascii="Arial" w:cs="Arial" w:eastAsia="Arial" w:hAnsi="Arial"/>
          <w:sz w:val="15"/>
          <w:szCs w:val="15"/>
          <w:color w:val="28C0DA"/>
        </w:rPr>
        <w:t xml:space="preserve"> </w:t>
      </w:r>
      <w:r>
        <w:rPr>
          <w:rFonts w:ascii="Arial" w:cs="Arial" w:eastAsia="Arial" w:hAnsi="Arial"/>
          <w:sz w:val="16"/>
          <w:szCs w:val="16"/>
          <w:color w:val="000000"/>
        </w:rPr>
        <w:t>OHA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Operations, Technology and Talent</w:t>
      </w:r>
    </w:p>
    <w:p>
      <w:pPr>
        <w:spacing w:after="0" w:line="185" w:lineRule="exact"/>
        <w:rPr>
          <w:sz w:val="20"/>
          <w:szCs w:val="20"/>
          <w:color w:val="auto"/>
        </w:rPr>
      </w:pPr>
    </w:p>
    <w:p>
      <w:pPr>
        <w:ind w:left="100" w:hanging="91"/>
        <w:spacing w:after="0"/>
        <w:tabs>
          <w:tab w:leader="none" w:pos="100" w:val="left"/>
        </w:tabs>
        <w:numPr>
          <w:ilvl w:val="0"/>
          <w:numId w:val="73"/>
        </w:numPr>
        <w:rPr>
          <w:rFonts w:ascii="Arial" w:cs="Arial" w:eastAsia="Arial" w:hAnsi="Arial"/>
          <w:sz w:val="15"/>
          <w:szCs w:val="15"/>
          <w:color w:val="28C0DA"/>
        </w:rPr>
      </w:pPr>
      <w:r>
        <w:rPr>
          <w:rFonts w:ascii="Arial" w:cs="Arial" w:eastAsia="Arial" w:hAnsi="Arial"/>
          <w:sz w:val="15"/>
          <w:szCs w:val="15"/>
          <w:color w:val="28C0DA"/>
        </w:rPr>
        <w:t>  </w:t>
      </w:r>
      <w:r>
        <w:rPr>
          <w:rFonts w:ascii="Arial" w:cs="Arial" w:eastAsia="Arial" w:hAnsi="Arial"/>
          <w:sz w:val="16"/>
          <w:szCs w:val="16"/>
          <w:color w:val="000000"/>
        </w:rPr>
        <w:t> Define our data and architecture strategy, and begin execution.</w:t>
      </w:r>
    </w:p>
    <w:p>
      <w:pPr>
        <w:spacing w:after="0" w:line="191" w:lineRule="exact"/>
        <w:rPr>
          <w:sz w:val="20"/>
          <w:szCs w:val="20"/>
          <w:color w:val="auto"/>
        </w:rPr>
      </w:pPr>
    </w:p>
    <w:p>
      <w:pPr>
        <w:ind w:left="180" w:right="180" w:hanging="179"/>
        <w:spacing w:after="0" w:line="289" w:lineRule="auto"/>
        <w:rPr>
          <w:sz w:val="20"/>
          <w:szCs w:val="20"/>
          <w:color w:val="auto"/>
        </w:rPr>
      </w:pPr>
      <w:r>
        <w:rPr>
          <w:rFonts w:ascii="Arial" w:cs="Arial" w:eastAsia="Arial" w:hAnsi="Arial"/>
          <w:sz w:val="15"/>
          <w:szCs w:val="15"/>
          <w:color w:val="28C0DA"/>
        </w:rPr>
        <w:t>•</w:t>
      </w:r>
      <w:r>
        <w:rPr>
          <w:rFonts w:ascii="Arial" w:cs="Arial" w:eastAsia="Arial" w:hAnsi="Arial"/>
          <w:sz w:val="16"/>
          <w:szCs w:val="16"/>
          <w:color w:val="000000"/>
        </w:rPr>
        <w:t>   Execute technology development plans aligned to our strategic and</w:t>
      </w:r>
      <w:r>
        <w:rPr>
          <w:rFonts w:ascii="Arial" w:cs="Arial" w:eastAsia="Arial" w:hAnsi="Arial"/>
          <w:sz w:val="15"/>
          <w:szCs w:val="15"/>
          <w:color w:val="28C0DA"/>
        </w:rPr>
        <w:t xml:space="preserve"> </w:t>
      </w:r>
      <w:r>
        <w:rPr>
          <w:rFonts w:ascii="Arial" w:cs="Arial" w:eastAsia="Arial" w:hAnsi="Arial"/>
          <w:sz w:val="16"/>
          <w:szCs w:val="16"/>
          <w:color w:val="000000"/>
        </w:rPr>
        <w:t>ongoing initiatives.</w:t>
      </w:r>
    </w:p>
    <w:p>
      <w:pPr>
        <w:spacing w:after="0" w:line="119" w:lineRule="exact"/>
        <w:rPr>
          <w:sz w:val="20"/>
          <w:szCs w:val="20"/>
          <w:color w:val="auto"/>
        </w:rPr>
      </w:pPr>
    </w:p>
    <w:p>
      <w:pPr>
        <w:ind w:left="180" w:right="40" w:hanging="171"/>
        <w:spacing w:after="0" w:line="258" w:lineRule="auto"/>
        <w:tabs>
          <w:tab w:leader="none" w:pos="94" w:val="left"/>
        </w:tabs>
        <w:numPr>
          <w:ilvl w:val="0"/>
          <w:numId w:val="74"/>
        </w:numPr>
        <w:rPr>
          <w:rFonts w:ascii="Arial" w:cs="Arial" w:eastAsia="Arial" w:hAnsi="Arial"/>
          <w:sz w:val="15"/>
          <w:szCs w:val="15"/>
          <w:color w:val="28C0DA"/>
        </w:rPr>
      </w:pPr>
      <w:r>
        <w:rPr>
          <w:rFonts w:ascii="Arial" w:cs="Arial" w:eastAsia="Arial" w:hAnsi="Arial"/>
          <w:sz w:val="17"/>
          <w:szCs w:val="17"/>
          <w:color w:val="auto"/>
        </w:rPr>
        <w:t>  Advance firm data strategy, build out data team, and mature analytics capabilities around the firm.</w:t>
      </w:r>
    </w:p>
    <w:p>
      <w:pPr>
        <w:spacing w:after="0" w:line="142" w:lineRule="exact"/>
        <w:rPr>
          <w:rFonts w:ascii="Arial" w:cs="Arial" w:eastAsia="Arial" w:hAnsi="Arial"/>
          <w:sz w:val="15"/>
          <w:szCs w:val="15"/>
          <w:color w:val="28C0DA"/>
        </w:rPr>
      </w:pPr>
    </w:p>
    <w:p>
      <w:pPr>
        <w:ind w:left="100" w:hanging="91"/>
        <w:spacing w:after="0"/>
        <w:tabs>
          <w:tab w:leader="none" w:pos="100" w:val="left"/>
        </w:tabs>
        <w:numPr>
          <w:ilvl w:val="0"/>
          <w:numId w:val="74"/>
        </w:numPr>
        <w:rPr>
          <w:rFonts w:ascii="Arial" w:cs="Arial" w:eastAsia="Arial" w:hAnsi="Arial"/>
          <w:sz w:val="15"/>
          <w:szCs w:val="15"/>
          <w:color w:val="28C0DA"/>
        </w:rPr>
      </w:pPr>
      <w:r>
        <w:rPr>
          <w:rFonts w:ascii="Arial" w:cs="Arial" w:eastAsia="Arial" w:hAnsi="Arial"/>
          <w:sz w:val="17"/>
          <w:szCs w:val="17"/>
          <w:color w:val="auto"/>
        </w:rPr>
        <w:t>  Modernize Investments technology foundation.</w:t>
      </w:r>
    </w:p>
    <w:p>
      <w:pPr>
        <w:spacing w:after="0" w:line="179" w:lineRule="exact"/>
        <w:rPr>
          <w:rFonts w:ascii="Arial" w:cs="Arial" w:eastAsia="Arial" w:hAnsi="Arial"/>
          <w:sz w:val="15"/>
          <w:szCs w:val="15"/>
          <w:color w:val="28C0DA"/>
        </w:rPr>
      </w:pPr>
    </w:p>
    <w:p>
      <w:pPr>
        <w:ind w:left="180" w:right="500" w:hanging="171"/>
        <w:spacing w:after="0" w:line="258" w:lineRule="auto"/>
        <w:tabs>
          <w:tab w:leader="none" w:pos="94" w:val="left"/>
        </w:tabs>
        <w:numPr>
          <w:ilvl w:val="0"/>
          <w:numId w:val="74"/>
        </w:numPr>
        <w:rPr>
          <w:rFonts w:ascii="Arial" w:cs="Arial" w:eastAsia="Arial" w:hAnsi="Arial"/>
          <w:sz w:val="15"/>
          <w:szCs w:val="15"/>
          <w:color w:val="28C0DA"/>
        </w:rPr>
      </w:pPr>
      <w:r>
        <w:rPr>
          <w:rFonts w:ascii="Arial" w:cs="Arial" w:eastAsia="Arial" w:hAnsi="Arial"/>
          <w:sz w:val="17"/>
          <w:szCs w:val="17"/>
          <w:color w:val="auto"/>
        </w:rPr>
        <w:t>  Manage transformation program and deliver milestones for key strategic programs.</w:t>
      </w:r>
    </w:p>
    <w:p>
      <w:pPr>
        <w:spacing w:after="0" w:line="142" w:lineRule="exact"/>
        <w:rPr>
          <w:sz w:val="20"/>
          <w:szCs w:val="20"/>
          <w:color w:val="auto"/>
        </w:rPr>
      </w:pPr>
    </w:p>
    <w:p>
      <w:pPr>
        <w:ind w:left="180" w:right="560" w:hanging="179"/>
        <w:spacing w:after="0" w:line="289" w:lineRule="auto"/>
        <w:rPr>
          <w:sz w:val="20"/>
          <w:szCs w:val="20"/>
          <w:color w:val="auto"/>
        </w:rPr>
      </w:pPr>
      <w:r>
        <w:rPr>
          <w:rFonts w:ascii="Arial" w:cs="Arial" w:eastAsia="Arial" w:hAnsi="Arial"/>
          <w:sz w:val="15"/>
          <w:szCs w:val="15"/>
          <w:color w:val="28C0DA"/>
        </w:rPr>
        <w:t>•</w:t>
      </w:r>
      <w:r>
        <w:rPr>
          <w:rFonts w:ascii="Arial" w:cs="Arial" w:eastAsia="Arial" w:hAnsi="Arial"/>
          <w:sz w:val="16"/>
          <w:szCs w:val="16"/>
          <w:color w:val="000000"/>
        </w:rPr>
        <w:t>   Strengthen regional operating model to improve local decision</w:t>
      </w:r>
      <w:r>
        <w:rPr>
          <w:rFonts w:ascii="Arial" w:cs="Arial" w:eastAsia="Arial" w:hAnsi="Arial"/>
          <w:sz w:val="15"/>
          <w:szCs w:val="15"/>
          <w:color w:val="28C0DA"/>
        </w:rPr>
        <w:t xml:space="preserve"> </w:t>
      </w:r>
      <w:r>
        <w:rPr>
          <w:rFonts w:ascii="Arial" w:cs="Arial" w:eastAsia="Arial" w:hAnsi="Arial"/>
          <w:sz w:val="16"/>
          <w:szCs w:val="16"/>
          <w:color w:val="000000"/>
        </w:rPr>
        <w:t>making and accountability.</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color w:val="28C0DA"/>
        </w:rPr>
        <w:t>•</w:t>
      </w:r>
      <w:r>
        <w:rPr>
          <w:rFonts w:ascii="Arial" w:cs="Arial" w:eastAsia="Arial" w:hAnsi="Arial"/>
          <w:sz w:val="16"/>
          <w:szCs w:val="16"/>
          <w:color w:val="000000"/>
        </w:rPr>
        <w:t>   Remain an employer of choice for diverse top talent.</w:t>
      </w:r>
    </w:p>
    <w:p>
      <w:pPr>
        <w:spacing w:after="0" w:line="200" w:lineRule="exact"/>
        <w:rPr>
          <w:sz w:val="20"/>
          <w:szCs w:val="20"/>
          <w:color w:val="auto"/>
        </w:rPr>
      </w:pPr>
    </w:p>
    <w:p>
      <w:pPr>
        <w:sectPr>
          <w:pgSz w:w="11900" w:h="16838" w:orient="portrait"/>
          <w:cols w:equalWidth="0" w:num="2">
            <w:col w:w="5360" w:space="600"/>
            <w:col w:w="5280"/>
          </w:cols>
          <w:pgMar w:left="320" w:top="310" w:right="339" w:bottom="1440" w:gutter="0" w:footer="0" w:header="0"/>
          <w:type w:val="continuous"/>
        </w:sectPr>
      </w:pPr>
    </w:p>
    <w:p>
      <w:pPr>
        <w:spacing w:after="0" w:line="185"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3"/>
          <w:szCs w:val="13"/>
          <w:b w:val="1"/>
          <w:bCs w:val="1"/>
          <w:color w:val="00244F"/>
        </w:rPr>
        <w:t>50</w:t>
      </w:r>
      <w:r>
        <w:rPr>
          <w:sz w:val="20"/>
          <w:szCs w:val="20"/>
          <w:color w:val="auto"/>
        </w:rPr>
        <w:tab/>
      </w:r>
      <w:r>
        <w:rPr>
          <w:rFonts w:ascii="Times New Roman" w:cs="Times New Roman" w:eastAsia="Times New Roman" w:hAnsi="Times New Roman"/>
          <w:sz w:val="13"/>
          <w:szCs w:val="13"/>
          <w:b w:val="1"/>
          <w:bCs w:val="1"/>
          <w:color w:val="00244F"/>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142480"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7"/>
          <w:szCs w:val="17"/>
          <w:u w:val="single" w:color="auto"/>
          <w:color w:val="0000EE"/>
        </w:rPr>
        <w:t>Table of Contents</w:t>
      </w:r>
    </w:p>
    <w:p>
      <w:pPr>
        <w:spacing w:after="0" w:line="371" w:lineRule="exact"/>
        <w:rPr>
          <w:sz w:val="20"/>
          <w:szCs w:val="20"/>
          <w:color w:val="auto"/>
        </w:rPr>
      </w:pPr>
    </w:p>
    <w:p>
      <w:pPr>
        <w:ind w:right="320"/>
        <w:spacing w:after="0" w:line="278" w:lineRule="auto"/>
        <w:rPr>
          <w:sz w:val="20"/>
          <w:szCs w:val="20"/>
          <w:color w:val="auto"/>
        </w:rPr>
      </w:pPr>
      <w:r>
        <w:rPr>
          <w:rFonts w:ascii="Arial" w:cs="Arial" w:eastAsia="Arial" w:hAnsi="Arial"/>
          <w:sz w:val="15"/>
          <w:szCs w:val="15"/>
          <w:color w:val="auto"/>
        </w:rPr>
        <w:t>Below is a summary of results for key measures that the Compensation Committee considered when assessing NEO performance and making annual and long-term incentive compensation decisions for 2023.</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54F"/>
        </w:rPr>
        <w:t>2023 Financial Performance Highlights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Our net revenues and earnings per share increased over the last five years. Results for 2023 in comparison to the prior two years and 2018 (five years)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7142480"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p>
      <w:pPr>
        <w:spacing w:after="0" w:line="251" w:lineRule="exact"/>
        <w:rPr>
          <w:sz w:val="20"/>
          <w:szCs w:val="20"/>
          <w:color w:val="auto"/>
        </w:rPr>
      </w:pPr>
    </w:p>
    <w:p>
      <w:pPr>
        <w:ind w:right="20"/>
        <w:spacing w:after="0" w:line="278" w:lineRule="auto"/>
        <w:rPr>
          <w:sz w:val="20"/>
          <w:szCs w:val="20"/>
          <w:color w:val="auto"/>
        </w:rPr>
      </w:pPr>
      <w:r>
        <w:rPr>
          <w:rFonts w:ascii="Arial" w:cs="Arial" w:eastAsia="Arial" w:hAnsi="Arial"/>
          <w:sz w:val="15"/>
          <w:szCs w:val="15"/>
          <w:b w:val="1"/>
          <w:bCs w:val="1"/>
          <w:color w:val="00254F"/>
        </w:rPr>
        <w:t xml:space="preserve">ASSETS UNDER MANAGEMENT </w:t>
      </w:r>
      <w:r>
        <w:rPr>
          <w:rFonts w:ascii="Arial" w:cs="Arial" w:eastAsia="Arial" w:hAnsi="Arial"/>
          <w:sz w:val="15"/>
          <w:szCs w:val="15"/>
          <w:color w:val="00254F"/>
        </w:rPr>
        <w:t>(in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1356995</wp:posOffset>
            </wp:positionV>
            <wp:extent cx="1785620"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7856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95250</wp:posOffset>
            </wp:positionV>
            <wp:extent cx="1341120" cy="1023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341120" cy="1023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color w:val="00254F"/>
        </w:rPr>
        <w:t>NET REVENUE</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00254F"/>
        </w:rPr>
        <w:t>(in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1381125</wp:posOffset>
            </wp:positionV>
            <wp:extent cx="1642745"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642745"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119380</wp:posOffset>
            </wp:positionV>
            <wp:extent cx="1341120" cy="10160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341120" cy="10160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b w:val="1"/>
          <w:bCs w:val="1"/>
          <w:color w:val="00254F"/>
        </w:rPr>
        <w:t>NET OPERATING INCOME</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00254F"/>
        </w:rPr>
        <w:t>(in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1381125</wp:posOffset>
            </wp:positionV>
            <wp:extent cx="1642745"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642745"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119380</wp:posOffset>
            </wp:positionV>
            <wp:extent cx="1261745" cy="100012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61745" cy="10001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color w:val="00254F"/>
        </w:rPr>
        <w:t>OPERATING</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b w:val="1"/>
          <w:bCs w:val="1"/>
          <w:color w:val="00254F"/>
        </w:rPr>
        <w:t>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1381125</wp:posOffset>
            </wp:positionV>
            <wp:extent cx="1642745"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642745"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119380</wp:posOffset>
            </wp:positionV>
            <wp:extent cx="1293495" cy="1023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93495" cy="1023620"/>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4">
            <w:col w:w="2320" w:space="720"/>
            <w:col w:w="2080" w:space="720"/>
            <w:col w:w="2100" w:space="720"/>
            <w:col w:w="2580"/>
          </w:cols>
          <w:pgMar w:left="320" w:top="22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80" w:type="dxa"/>
            <w:vAlign w:val="bottom"/>
          </w:tcPr>
          <w:p>
            <w:pPr>
              <w:spacing w:after="0"/>
              <w:rPr>
                <w:sz w:val="20"/>
                <w:szCs w:val="20"/>
                <w:color w:val="auto"/>
              </w:rPr>
            </w:pPr>
            <w:r>
              <w:rPr>
                <w:rFonts w:ascii="Arial" w:cs="Arial" w:eastAsia="Arial" w:hAnsi="Arial"/>
                <w:sz w:val="15"/>
                <w:szCs w:val="15"/>
                <w:b w:val="1"/>
                <w:bCs w:val="1"/>
                <w:color w:val="00254F"/>
              </w:rPr>
              <w:t>NET INCOME ATTRIBUTABLE</w:t>
            </w:r>
          </w:p>
        </w:tc>
        <w:tc>
          <w:tcPr>
            <w:tcW w:w="2600" w:type="dxa"/>
            <w:vAlign w:val="bottom"/>
          </w:tcPr>
          <w:p>
            <w:pPr>
              <w:ind w:left="460"/>
              <w:spacing w:after="0"/>
              <w:rPr>
                <w:sz w:val="20"/>
                <w:szCs w:val="20"/>
                <w:color w:val="auto"/>
              </w:rPr>
            </w:pPr>
            <w:r>
              <w:rPr>
                <w:rFonts w:ascii="Arial" w:cs="Arial" w:eastAsia="Arial" w:hAnsi="Arial"/>
                <w:sz w:val="15"/>
                <w:szCs w:val="15"/>
                <w:b w:val="1"/>
                <w:bCs w:val="1"/>
                <w:color w:val="00254F"/>
              </w:rPr>
              <w:t>DILUTED EARNINGS</w:t>
            </w:r>
          </w:p>
        </w:tc>
        <w:tc>
          <w:tcPr>
            <w:tcW w:w="2920" w:type="dxa"/>
            <w:vAlign w:val="bottom"/>
          </w:tcPr>
          <w:p>
            <w:pPr>
              <w:ind w:left="660"/>
              <w:spacing w:after="0"/>
              <w:rPr>
                <w:sz w:val="20"/>
                <w:szCs w:val="20"/>
                <w:color w:val="auto"/>
              </w:rPr>
            </w:pPr>
            <w:r>
              <w:rPr>
                <w:rFonts w:ascii="Arial" w:cs="Arial" w:eastAsia="Arial" w:hAnsi="Arial"/>
                <w:sz w:val="15"/>
                <w:szCs w:val="15"/>
                <w:b w:val="1"/>
                <w:bCs w:val="1"/>
                <w:color w:val="00254F"/>
              </w:rPr>
              <w:t>NON-GAAP DILUTED</w:t>
            </w:r>
          </w:p>
        </w:tc>
        <w:tc>
          <w:tcPr>
            <w:tcW w:w="2100" w:type="dxa"/>
            <w:vAlign w:val="bottom"/>
          </w:tcPr>
          <w:p>
            <w:pPr>
              <w:ind w:left="560"/>
              <w:spacing w:after="0"/>
              <w:rPr>
                <w:sz w:val="20"/>
                <w:szCs w:val="20"/>
                <w:color w:val="auto"/>
              </w:rPr>
            </w:pPr>
            <w:r>
              <w:rPr>
                <w:rFonts w:ascii="Arial" w:cs="Arial" w:eastAsia="Arial" w:hAnsi="Arial"/>
                <w:sz w:val="15"/>
                <w:szCs w:val="15"/>
                <w:b w:val="1"/>
                <w:bCs w:val="1"/>
                <w:color w:val="00254F"/>
                <w:w w:val="98"/>
              </w:rPr>
              <w:t>CASH RETURNED TO</w:t>
            </w:r>
          </w:p>
        </w:tc>
      </w:tr>
      <w:tr>
        <w:trPr>
          <w:trHeight w:val="175"/>
        </w:trPr>
        <w:tc>
          <w:tcPr>
            <w:tcW w:w="2580" w:type="dxa"/>
            <w:vAlign w:val="bottom"/>
          </w:tcPr>
          <w:p>
            <w:pPr>
              <w:spacing w:after="0"/>
              <w:rPr>
                <w:sz w:val="20"/>
                <w:szCs w:val="20"/>
                <w:color w:val="auto"/>
              </w:rPr>
            </w:pPr>
            <w:r>
              <w:rPr>
                <w:rFonts w:ascii="Arial" w:cs="Arial" w:eastAsia="Arial" w:hAnsi="Arial"/>
                <w:sz w:val="15"/>
                <w:szCs w:val="15"/>
                <w:b w:val="1"/>
                <w:bCs w:val="1"/>
                <w:color w:val="00254F"/>
              </w:rPr>
              <w:t>TO TRPG</w:t>
            </w:r>
          </w:p>
        </w:tc>
        <w:tc>
          <w:tcPr>
            <w:tcW w:w="2600" w:type="dxa"/>
            <w:vAlign w:val="bottom"/>
          </w:tcPr>
          <w:p>
            <w:pPr>
              <w:ind w:left="460"/>
              <w:spacing w:after="0"/>
              <w:rPr>
                <w:sz w:val="20"/>
                <w:szCs w:val="20"/>
                <w:color w:val="auto"/>
              </w:rPr>
            </w:pPr>
            <w:r>
              <w:rPr>
                <w:rFonts w:ascii="Arial" w:cs="Arial" w:eastAsia="Arial" w:hAnsi="Arial"/>
                <w:sz w:val="15"/>
                <w:szCs w:val="15"/>
                <w:b w:val="1"/>
                <w:bCs w:val="1"/>
                <w:color w:val="00254F"/>
              </w:rPr>
              <w:t>PER SHARE</w:t>
            </w:r>
          </w:p>
        </w:tc>
        <w:tc>
          <w:tcPr>
            <w:tcW w:w="2920" w:type="dxa"/>
            <w:vAlign w:val="bottom"/>
          </w:tcPr>
          <w:p>
            <w:pPr>
              <w:ind w:left="660"/>
              <w:spacing w:after="0"/>
              <w:rPr>
                <w:sz w:val="20"/>
                <w:szCs w:val="20"/>
                <w:color w:val="auto"/>
              </w:rPr>
            </w:pPr>
            <w:r>
              <w:rPr>
                <w:rFonts w:ascii="Arial" w:cs="Arial" w:eastAsia="Arial" w:hAnsi="Arial"/>
                <w:sz w:val="15"/>
                <w:szCs w:val="15"/>
                <w:b w:val="1"/>
                <w:bCs w:val="1"/>
                <w:color w:val="00254F"/>
              </w:rPr>
              <w:t>EARNINGS PER SHARE</w:t>
            </w:r>
          </w:p>
        </w:tc>
        <w:tc>
          <w:tcPr>
            <w:tcW w:w="2100" w:type="dxa"/>
            <w:vAlign w:val="bottom"/>
          </w:tcPr>
          <w:p>
            <w:pPr>
              <w:ind w:left="560"/>
              <w:spacing w:after="0"/>
              <w:rPr>
                <w:sz w:val="20"/>
                <w:szCs w:val="20"/>
                <w:color w:val="auto"/>
              </w:rPr>
            </w:pPr>
            <w:r>
              <w:rPr>
                <w:rFonts w:ascii="Arial" w:cs="Arial" w:eastAsia="Arial" w:hAnsi="Arial"/>
                <w:sz w:val="15"/>
                <w:szCs w:val="15"/>
                <w:b w:val="1"/>
                <w:bCs w:val="1"/>
                <w:color w:val="00254F"/>
              </w:rPr>
              <w:t>STOCKHOLDERS</w:t>
            </w:r>
          </w:p>
        </w:tc>
      </w:tr>
      <w:tr>
        <w:trPr>
          <w:trHeight w:val="198"/>
        </w:trPr>
        <w:tc>
          <w:tcPr>
            <w:tcW w:w="2580" w:type="dxa"/>
            <w:vAlign w:val="bottom"/>
          </w:tcPr>
          <w:p>
            <w:pPr>
              <w:spacing w:after="0"/>
              <w:rPr>
                <w:sz w:val="20"/>
                <w:szCs w:val="20"/>
                <w:color w:val="auto"/>
              </w:rPr>
            </w:pPr>
            <w:r>
              <w:rPr>
                <w:rFonts w:ascii="Arial" w:cs="Arial" w:eastAsia="Arial" w:hAnsi="Arial"/>
                <w:sz w:val="15"/>
                <w:szCs w:val="15"/>
                <w:color w:val="00254F"/>
              </w:rPr>
              <w:t>(in billions)</w:t>
            </w:r>
          </w:p>
        </w:tc>
        <w:tc>
          <w:tcPr>
            <w:tcW w:w="26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100" w:type="dxa"/>
            <w:vAlign w:val="bottom"/>
          </w:tcPr>
          <w:p>
            <w:pPr>
              <w:ind w:left="560"/>
              <w:spacing w:after="0"/>
              <w:rPr>
                <w:sz w:val="20"/>
                <w:szCs w:val="20"/>
                <w:color w:val="auto"/>
              </w:rPr>
            </w:pPr>
            <w:r>
              <w:rPr>
                <w:rFonts w:ascii="Arial" w:cs="Arial" w:eastAsia="Arial" w:hAnsi="Arial"/>
                <w:sz w:val="15"/>
                <w:szCs w:val="15"/>
                <w:color w:val="00254F"/>
              </w:rPr>
              <w:t>(in billions)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112395</wp:posOffset>
            </wp:positionV>
            <wp:extent cx="6761480" cy="1023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761480" cy="1023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28C0DA"/>
        </w:rPr>
        <w:t>•</w:t>
      </w:r>
      <w:r>
        <w:rPr>
          <w:rFonts w:ascii="Arial" w:cs="Arial" w:eastAsia="Arial" w:hAnsi="Arial"/>
          <w:sz w:val="16"/>
          <w:szCs w:val="16"/>
          <w:color w:val="000000"/>
        </w:rPr>
        <w:t>    Our assets under management (AUM) increased 13.3% from 2022 and our $5.7 billion in 2023 investment advisory fees were 3.7% lower than 2022.</w:t>
      </w:r>
    </w:p>
    <w:p>
      <w:pPr>
        <w:spacing w:after="0" w:line="178" w:lineRule="exact"/>
        <w:rPr>
          <w:sz w:val="20"/>
          <w:szCs w:val="20"/>
          <w:color w:val="auto"/>
        </w:rPr>
      </w:pPr>
    </w:p>
    <w:p>
      <w:pPr>
        <w:jc w:val="both"/>
        <w:ind w:left="180" w:right="240" w:hanging="179"/>
        <w:spacing w:after="0" w:line="267" w:lineRule="auto"/>
        <w:rPr>
          <w:sz w:val="20"/>
          <w:szCs w:val="20"/>
          <w:color w:val="auto"/>
        </w:rPr>
      </w:pPr>
      <w:r>
        <w:rPr>
          <w:rFonts w:ascii="Arial" w:cs="Arial" w:eastAsia="Arial" w:hAnsi="Arial"/>
          <w:sz w:val="15"/>
          <w:szCs w:val="15"/>
          <w:color w:val="28C0DA"/>
        </w:rPr>
        <w:t>•</w:t>
      </w:r>
      <w:r>
        <w:rPr>
          <w:rFonts w:ascii="Arial" w:cs="Arial" w:eastAsia="Arial" w:hAnsi="Arial"/>
          <w:sz w:val="16"/>
          <w:szCs w:val="16"/>
          <w:color w:val="000000"/>
        </w:rPr>
        <w:t>    Our overall financial condition remains strong, as we finished the year with $9.5 billion of stockholders' equity attributable to T. Rowe Price and $2.5</w:t>
      </w:r>
      <w:r>
        <w:rPr>
          <w:rFonts w:ascii="Arial" w:cs="Arial" w:eastAsia="Arial" w:hAnsi="Arial"/>
          <w:sz w:val="15"/>
          <w:szCs w:val="15"/>
          <w:color w:val="28C0DA"/>
        </w:rPr>
        <w:t xml:space="preserve"> </w:t>
      </w:r>
      <w:r>
        <w:rPr>
          <w:rFonts w:ascii="Arial" w:cs="Arial" w:eastAsia="Arial" w:hAnsi="Arial"/>
          <w:sz w:val="16"/>
          <w:szCs w:val="16"/>
          <w:color w:val="000000"/>
        </w:rPr>
        <w:t>billion of cash and discretionary investments. We also had redeemable seed capital investments in sponsored investment products of $1.4 billion at December 31, 2023.</w:t>
      </w:r>
    </w:p>
    <w:p>
      <w:pPr>
        <w:spacing w:after="0" w:line="123" w:lineRule="exact"/>
        <w:rPr>
          <w:sz w:val="20"/>
          <w:szCs w:val="20"/>
          <w:color w:val="auto"/>
        </w:rPr>
      </w:pPr>
    </w:p>
    <w:p>
      <w:pPr>
        <w:jc w:val="both"/>
        <w:ind w:left="180" w:right="200" w:hanging="179"/>
        <w:spacing w:after="0" w:line="267" w:lineRule="auto"/>
        <w:rPr>
          <w:sz w:val="20"/>
          <w:szCs w:val="20"/>
          <w:color w:val="auto"/>
        </w:rPr>
      </w:pPr>
      <w:r>
        <w:rPr>
          <w:rFonts w:ascii="Arial" w:cs="Arial" w:eastAsia="Arial" w:hAnsi="Arial"/>
          <w:sz w:val="15"/>
          <w:szCs w:val="15"/>
          <w:color w:val="28C0DA"/>
        </w:rPr>
        <w:t>•</w:t>
      </w:r>
      <w:r>
        <w:rPr>
          <w:rFonts w:ascii="Arial" w:cs="Arial" w:eastAsia="Arial" w:hAnsi="Arial"/>
          <w:sz w:val="16"/>
          <w:szCs w:val="16"/>
          <w:color w:val="000000"/>
        </w:rPr>
        <w:t>    Our strong balance sheet and operating results enabled us to return $1.38 billion, or 77% of the net income attributable to T. Rowe Price for 2023, to</w:t>
      </w:r>
      <w:r>
        <w:rPr>
          <w:rFonts w:ascii="Arial" w:cs="Arial" w:eastAsia="Arial" w:hAnsi="Arial"/>
          <w:sz w:val="15"/>
          <w:szCs w:val="15"/>
          <w:color w:val="28C0DA"/>
        </w:rPr>
        <w:t xml:space="preserve"> </w:t>
      </w:r>
      <w:r>
        <w:rPr>
          <w:rFonts w:ascii="Arial" w:cs="Arial" w:eastAsia="Arial" w:hAnsi="Arial"/>
          <w:sz w:val="16"/>
          <w:szCs w:val="16"/>
          <w:color w:val="000000"/>
        </w:rPr>
        <w:t>stockholders through dividends and share repurchases. In 2024, we increased our annual recurring dividend for the 38th consecutive year by 1.7%. Dividends and stock repurchases vary depending upon our financial performance, liquidity, market conditions, and other relevant factors.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880" w:type="dxa"/>
            <w:vAlign w:val="bottom"/>
          </w:tcPr>
          <w:p>
            <w:pPr>
              <w:ind w:left="9500"/>
              <w:spacing w:after="0"/>
              <w:rPr>
                <w:sz w:val="20"/>
                <w:szCs w:val="20"/>
                <w:color w:val="auto"/>
              </w:rPr>
            </w:pPr>
            <w:r>
              <w:rPr>
                <w:rFonts w:ascii="Times New Roman" w:cs="Times New Roman" w:eastAsia="Times New Roman" w:hAnsi="Times New Roman"/>
                <w:sz w:val="13"/>
                <w:szCs w:val="13"/>
                <w:b w:val="1"/>
                <w:bCs w:val="1"/>
                <w:color w:val="auto"/>
              </w:rPr>
              <w:t xml:space="preserve">2024 </w:t>
            </w:r>
            <w:r>
              <w:rPr>
                <w:rFonts w:ascii="Times New Roman" w:cs="Times New Roman" w:eastAsia="Times New Roman" w:hAnsi="Times New Roman"/>
                <w:sz w:val="13"/>
                <w:szCs w:val="13"/>
                <w:color w:val="auto"/>
              </w:rPr>
              <w:t>Proxy Statement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244F"/>
              </w:rPr>
              <w:t>51</w:t>
            </w:r>
          </w:p>
        </w:tc>
      </w:tr>
      <w:tr>
        <w:trPr>
          <w:trHeight w:val="185"/>
        </w:trPr>
        <w:tc>
          <w:tcPr>
            <w:tcW w:w="108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r>
    </w:tbl>
    <w:p>
      <w:pPr>
        <w:sectPr>
          <w:pgSz w:w="11900" w:h="16838" w:orient="portrait"/>
          <w:cols w:equalWidth="0" w:num="1">
            <w:col w:w="11240"/>
          </w:cols>
          <w:pgMar w:left="320" w:top="223" w:right="3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7"/>
          <w:szCs w:val="17"/>
          <w:u w:val="single" w:color="auto"/>
          <w:color w:val="0000EE"/>
        </w:rPr>
        <w:t>Table of Contents</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54F"/>
        </w:rPr>
        <w:t>2023 Strategic Performance Highlights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 Performance</w:t>
      </w:r>
      <w:r>
        <w:rPr>
          <w:rFonts w:ascii="Times New Roman" w:cs="Times New Roman" w:eastAsia="Times New Roman" w:hAnsi="Times New Roman"/>
          <w:sz w:val="27"/>
          <w:szCs w:val="27"/>
          <w:b w:val="1"/>
          <w:bCs w:val="1"/>
          <w:color w:val="auto"/>
          <w:vertAlign w:val="superscript"/>
        </w:rPr>
        <w:t>1</w:t>
      </w:r>
    </w:p>
    <w:p>
      <w:pPr>
        <w:spacing w:after="0" w:line="102" w:lineRule="exact"/>
        <w:rPr>
          <w:sz w:val="20"/>
          <w:szCs w:val="20"/>
          <w:color w:val="auto"/>
        </w:rPr>
      </w:pPr>
    </w:p>
    <w:p>
      <w:pPr>
        <w:jc w:val="both"/>
        <w:ind w:left="180" w:right="60" w:hanging="179"/>
        <w:spacing w:after="0" w:line="276" w:lineRule="auto"/>
        <w:rPr>
          <w:sz w:val="20"/>
          <w:szCs w:val="20"/>
          <w:color w:val="auto"/>
        </w:rPr>
      </w:pPr>
      <w:r>
        <w:rPr>
          <w:rFonts w:ascii="Arial" w:cs="Arial" w:eastAsia="Arial" w:hAnsi="Arial"/>
          <w:sz w:val="15"/>
          <w:szCs w:val="15"/>
          <w:color w:val="28C0DA"/>
        </w:rPr>
        <w:t>•</w:t>
      </w:r>
      <w:r>
        <w:rPr>
          <w:rFonts w:ascii="Arial" w:cs="Arial" w:eastAsia="Arial" w:hAnsi="Arial"/>
          <w:sz w:val="16"/>
          <w:szCs w:val="16"/>
          <w:color w:val="000000"/>
        </w:rPr>
        <w:t>    Strong investment performance and brand awareness are key drivers in attracting and retaining assets—and to our long-term success. The following</w:t>
      </w:r>
      <w:r>
        <w:rPr>
          <w:rFonts w:ascii="Arial" w:cs="Arial" w:eastAsia="Arial" w:hAnsi="Arial"/>
          <w:sz w:val="15"/>
          <w:szCs w:val="15"/>
          <w:color w:val="28C0DA"/>
        </w:rPr>
        <w:t xml:space="preserve"> </w:t>
      </w:r>
      <w:r>
        <w:rPr>
          <w:rFonts w:ascii="Arial" w:cs="Arial" w:eastAsia="Arial" w:hAnsi="Arial"/>
          <w:sz w:val="16"/>
          <w:szCs w:val="16"/>
          <w:color w:val="000000"/>
        </w:rPr>
        <w:t>below presents investment performance for the 1-, 3-, 5-, and 10-year periods ended December 31, 2023. Past performance is no guarantee of future results.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6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gridSpan w:val="2"/>
          </w:tcPr>
          <w:p>
            <w:pPr>
              <w:ind w:left="120"/>
              <w:spacing w:after="0"/>
              <w:rPr>
                <w:sz w:val="20"/>
                <w:szCs w:val="20"/>
                <w:color w:val="auto"/>
              </w:rPr>
            </w:pPr>
            <w:r>
              <w:rPr>
                <w:rFonts w:ascii="Arial" w:cs="Arial" w:eastAsia="Arial" w:hAnsi="Arial"/>
                <w:sz w:val="15"/>
                <w:szCs w:val="15"/>
                <w:b w:val="1"/>
                <w:bCs w:val="1"/>
                <w:color w:val="auto"/>
              </w:rPr>
              <w:t>1 YEAR</w:t>
            </w:r>
          </w:p>
        </w:tc>
        <w:tc>
          <w:tcPr>
            <w:tcW w:w="90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3 YEARS</w:t>
            </w:r>
          </w:p>
        </w:tc>
        <w:tc>
          <w:tcPr>
            <w:tcW w:w="90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5 YEARS</w:t>
            </w: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w w:val="99"/>
              </w:rPr>
              <w:t>10 YEARS</w:t>
            </w:r>
          </w:p>
        </w:tc>
      </w:tr>
      <w:tr>
        <w:trPr>
          <w:trHeight w:val="230"/>
        </w:trPr>
        <w:tc>
          <w:tcPr>
            <w:tcW w:w="7640" w:type="dxa"/>
            <w:vAlign w:val="bottom"/>
            <w:tcBorders>
              <w:top w:val="single" w:sz="8" w:color="auto"/>
              <w:bottom w:val="single" w:sz="8" w:color="auto"/>
            </w:tcBorders>
          </w:tcPr>
          <w:p>
            <w:pPr>
              <w:spacing w:after="0" w:line="229" w:lineRule="exact"/>
              <w:rPr>
                <w:sz w:val="20"/>
                <w:szCs w:val="20"/>
                <w:color w:val="auto"/>
              </w:rPr>
            </w:pPr>
            <w:r>
              <w:rPr>
                <w:rFonts w:ascii="Arial" w:cs="Arial" w:eastAsia="Arial" w:hAnsi="Arial"/>
                <w:sz w:val="15"/>
                <w:szCs w:val="15"/>
                <w:b w:val="1"/>
                <w:bCs w:val="1"/>
                <w:color w:val="auto"/>
              </w:rPr>
              <w:t>% of U.S. mutual funds that outperformed Morningstar median</w:t>
            </w:r>
            <w:r>
              <w:rPr>
                <w:rFonts w:ascii="Arial" w:cs="Arial" w:eastAsia="Arial" w:hAnsi="Arial"/>
                <w:sz w:val="24"/>
                <w:szCs w:val="24"/>
                <w:b w:val="1"/>
                <w:bCs w:val="1"/>
                <w:color w:val="auto"/>
                <w:vertAlign w:val="superscript"/>
              </w:rPr>
              <w:t>2,3</w:t>
            </w:r>
          </w:p>
        </w:tc>
        <w:tc>
          <w:tcPr>
            <w:tcW w:w="140" w:type="dxa"/>
            <w:vAlign w:val="bottom"/>
            <w:tcBorders>
              <w:bottom w:val="single" w:sz="8" w:color="EEEEEE"/>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r>
      <w:tr>
        <w:trPr>
          <w:trHeight w:val="191"/>
        </w:trPr>
        <w:tc>
          <w:tcPr>
            <w:tcW w:w="7640" w:type="dxa"/>
            <w:vAlign w:val="bottom"/>
            <w:tcBorders>
              <w:bottom w:val="single" w:sz="8" w:color="auto"/>
            </w:tcBorders>
            <w:shd w:val="clear" w:color="auto" w:fill="EEEEEE"/>
          </w:tcPr>
          <w:p>
            <w:pPr>
              <w:ind w:left="260"/>
              <w:spacing w:after="0"/>
              <w:rPr>
                <w:sz w:val="20"/>
                <w:szCs w:val="20"/>
                <w:color w:val="auto"/>
              </w:rPr>
            </w:pPr>
            <w:r>
              <w:rPr>
                <w:rFonts w:ascii="Arial" w:cs="Arial" w:eastAsia="Arial" w:hAnsi="Arial"/>
                <w:sz w:val="15"/>
                <w:szCs w:val="15"/>
                <w:color w:val="auto"/>
              </w:rPr>
              <w:t>Equity</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53%</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50%</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53%</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71%</w:t>
            </w:r>
          </w:p>
        </w:tc>
      </w:tr>
      <w:tr>
        <w:trPr>
          <w:trHeight w:val="192"/>
        </w:trPr>
        <w:tc>
          <w:tcPr>
            <w:tcW w:w="764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rPr>
              <w:t>Fixed Income</w:t>
            </w:r>
          </w:p>
        </w:tc>
        <w:tc>
          <w:tcPr>
            <w:tcW w:w="140" w:type="dxa"/>
            <w:vAlign w:val="bottom"/>
            <w:tcBorders>
              <w:bottom w:val="single" w:sz="8" w:color="EEEEEE"/>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w:t>
            </w:r>
          </w:p>
        </w:tc>
        <w:tc>
          <w:tcPr>
            <w:tcW w:w="140" w:type="dxa"/>
            <w:vAlign w:val="bottom"/>
            <w:tcBorders>
              <w:bottom w:val="single" w:sz="8" w:color="EEEEEE"/>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w:t>
            </w:r>
          </w:p>
        </w:tc>
        <w:tc>
          <w:tcPr>
            <w:tcW w:w="140" w:type="dxa"/>
            <w:vAlign w:val="bottom"/>
            <w:tcBorders>
              <w:bottom w:val="single" w:sz="8" w:color="EEEEEE"/>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w:t>
            </w:r>
          </w:p>
        </w:tc>
        <w:tc>
          <w:tcPr>
            <w:tcW w:w="140" w:type="dxa"/>
            <w:vAlign w:val="bottom"/>
            <w:tcBorders>
              <w:bottom w:val="single" w:sz="8" w:color="EEEEEE"/>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w:t>
            </w:r>
          </w:p>
        </w:tc>
      </w:tr>
      <w:tr>
        <w:trPr>
          <w:trHeight w:val="192"/>
        </w:trPr>
        <w:tc>
          <w:tcPr>
            <w:tcW w:w="7640" w:type="dxa"/>
            <w:vAlign w:val="bottom"/>
            <w:tcBorders>
              <w:bottom w:val="single" w:sz="8" w:color="auto"/>
            </w:tcBorders>
            <w:shd w:val="clear" w:color="auto" w:fill="EEEEEE"/>
          </w:tcPr>
          <w:p>
            <w:pPr>
              <w:ind w:left="260"/>
              <w:spacing w:after="0"/>
              <w:rPr>
                <w:sz w:val="20"/>
                <w:szCs w:val="20"/>
                <w:color w:val="auto"/>
              </w:rPr>
            </w:pPr>
            <w:r>
              <w:rPr>
                <w:rFonts w:ascii="Arial" w:cs="Arial" w:eastAsia="Arial" w:hAnsi="Arial"/>
                <w:sz w:val="15"/>
                <w:szCs w:val="15"/>
                <w:color w:val="auto"/>
              </w:rPr>
              <w:t>Multi-Asset</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76%</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47%</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67%</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81%</w:t>
            </w:r>
          </w:p>
        </w:tc>
      </w:tr>
      <w:tr>
        <w:trPr>
          <w:trHeight w:val="192"/>
        </w:trPr>
        <w:tc>
          <w:tcPr>
            <w:tcW w:w="7780" w:type="dxa"/>
            <w:vAlign w:val="bottom"/>
            <w:gridSpan w:val="2"/>
          </w:tcPr>
          <w:p>
            <w:pPr>
              <w:ind w:left="260"/>
              <w:spacing w:after="0"/>
              <w:rPr>
                <w:sz w:val="20"/>
                <w:szCs w:val="20"/>
                <w:color w:val="auto"/>
              </w:rPr>
            </w:pPr>
            <w:r>
              <w:rPr>
                <w:rFonts w:ascii="Arial" w:cs="Arial" w:eastAsia="Arial" w:hAnsi="Arial"/>
                <w:sz w:val="15"/>
                <w:szCs w:val="15"/>
                <w:color w:val="auto"/>
              </w:rPr>
              <w:t>All Funds</w:t>
            </w:r>
          </w:p>
        </w:tc>
        <w:tc>
          <w:tcPr>
            <w:tcW w:w="760" w:type="dxa"/>
            <w:vAlign w:val="bottom"/>
          </w:tcPr>
          <w:p>
            <w:pPr>
              <w:jc w:val="right"/>
              <w:spacing w:after="0"/>
              <w:rPr>
                <w:sz w:val="20"/>
                <w:szCs w:val="20"/>
                <w:color w:val="auto"/>
              </w:rPr>
            </w:pPr>
            <w:r>
              <w:rPr>
                <w:rFonts w:ascii="Arial" w:cs="Arial" w:eastAsia="Arial" w:hAnsi="Arial"/>
                <w:sz w:val="15"/>
                <w:szCs w:val="15"/>
                <w:color w:val="auto"/>
              </w:rPr>
              <w:t>64%</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52%</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56%</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71%</w:t>
            </w:r>
          </w:p>
        </w:tc>
      </w:tr>
      <w:tr>
        <w:trPr>
          <w:trHeight w:val="231"/>
        </w:trPr>
        <w:tc>
          <w:tcPr>
            <w:tcW w:w="7640" w:type="dxa"/>
            <w:vAlign w:val="bottom"/>
            <w:tcBorders>
              <w:top w:val="single" w:sz="8" w:color="auto"/>
              <w:bottom w:val="single" w:sz="8" w:color="auto"/>
            </w:tcBorders>
          </w:tcPr>
          <w:p>
            <w:pPr>
              <w:spacing w:after="0" w:line="230" w:lineRule="exact"/>
              <w:rPr>
                <w:sz w:val="20"/>
                <w:szCs w:val="20"/>
                <w:color w:val="auto"/>
              </w:rPr>
            </w:pPr>
            <w:r>
              <w:rPr>
                <w:rFonts w:ascii="Arial" w:cs="Arial" w:eastAsia="Arial" w:hAnsi="Arial"/>
                <w:sz w:val="15"/>
                <w:szCs w:val="15"/>
                <w:b w:val="1"/>
                <w:bCs w:val="1"/>
                <w:color w:val="auto"/>
              </w:rPr>
              <w:t>% of U.S. mutual funds that outperformed passive peer median</w:t>
            </w:r>
            <w:r>
              <w:rPr>
                <w:rFonts w:ascii="Arial" w:cs="Arial" w:eastAsia="Arial" w:hAnsi="Arial"/>
                <w:sz w:val="24"/>
                <w:szCs w:val="24"/>
                <w:b w:val="1"/>
                <w:bCs w:val="1"/>
                <w:color w:val="auto"/>
                <w:vertAlign w:val="superscript"/>
              </w:rPr>
              <w:t>2,4</w:t>
            </w:r>
          </w:p>
        </w:tc>
        <w:tc>
          <w:tcPr>
            <w:tcW w:w="140" w:type="dxa"/>
            <w:vAlign w:val="bottom"/>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r>
      <w:tr>
        <w:trPr>
          <w:trHeight w:val="191"/>
        </w:trPr>
        <w:tc>
          <w:tcPr>
            <w:tcW w:w="764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rPr>
              <w:t>Equity</w:t>
            </w:r>
          </w:p>
        </w:tc>
        <w:tc>
          <w:tcPr>
            <w:tcW w:w="140" w:type="dxa"/>
            <w:vAlign w:val="bottom"/>
            <w:tcBorders>
              <w:bottom w:val="single" w:sz="8" w:color="EEEEEE"/>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w:t>
            </w:r>
          </w:p>
        </w:tc>
        <w:tc>
          <w:tcPr>
            <w:tcW w:w="140" w:type="dxa"/>
            <w:vAlign w:val="bottom"/>
            <w:tcBorders>
              <w:bottom w:val="single" w:sz="8" w:color="EEEEEE"/>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w:t>
            </w:r>
          </w:p>
        </w:tc>
        <w:tc>
          <w:tcPr>
            <w:tcW w:w="140" w:type="dxa"/>
            <w:vAlign w:val="bottom"/>
            <w:tcBorders>
              <w:bottom w:val="single" w:sz="8" w:color="EEEEEE"/>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w:t>
            </w:r>
          </w:p>
        </w:tc>
        <w:tc>
          <w:tcPr>
            <w:tcW w:w="140" w:type="dxa"/>
            <w:vAlign w:val="bottom"/>
            <w:tcBorders>
              <w:bottom w:val="single" w:sz="8" w:color="EEEEEE"/>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w:t>
            </w:r>
          </w:p>
        </w:tc>
      </w:tr>
      <w:tr>
        <w:trPr>
          <w:trHeight w:val="192"/>
        </w:trPr>
        <w:tc>
          <w:tcPr>
            <w:tcW w:w="7640" w:type="dxa"/>
            <w:vAlign w:val="bottom"/>
            <w:tcBorders>
              <w:bottom w:val="single" w:sz="8" w:color="auto"/>
            </w:tcBorders>
            <w:shd w:val="clear" w:color="auto" w:fill="EEEEEE"/>
          </w:tcPr>
          <w:p>
            <w:pPr>
              <w:ind w:left="260"/>
              <w:spacing w:after="0"/>
              <w:rPr>
                <w:sz w:val="20"/>
                <w:szCs w:val="20"/>
                <w:color w:val="auto"/>
              </w:rPr>
            </w:pPr>
            <w:r>
              <w:rPr>
                <w:rFonts w:ascii="Arial" w:cs="Arial" w:eastAsia="Arial" w:hAnsi="Arial"/>
                <w:sz w:val="15"/>
                <w:szCs w:val="15"/>
                <w:color w:val="auto"/>
              </w:rPr>
              <w:t>Fixed Income</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59%</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53%</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58%</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57%</w:t>
            </w:r>
          </w:p>
        </w:tc>
      </w:tr>
      <w:tr>
        <w:trPr>
          <w:trHeight w:val="192"/>
        </w:trPr>
        <w:tc>
          <w:tcPr>
            <w:tcW w:w="764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rPr>
              <w:t>Multi-Asset</w:t>
            </w:r>
          </w:p>
        </w:tc>
        <w:tc>
          <w:tcPr>
            <w:tcW w:w="140" w:type="dxa"/>
            <w:vAlign w:val="bottom"/>
            <w:tcBorders>
              <w:bottom w:val="single" w:sz="8" w:color="EEEEEE"/>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w:t>
            </w:r>
          </w:p>
        </w:tc>
        <w:tc>
          <w:tcPr>
            <w:tcW w:w="140" w:type="dxa"/>
            <w:vAlign w:val="bottom"/>
            <w:tcBorders>
              <w:bottom w:val="single" w:sz="8" w:color="EEEEEE"/>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w:t>
            </w:r>
          </w:p>
        </w:tc>
        <w:tc>
          <w:tcPr>
            <w:tcW w:w="140" w:type="dxa"/>
            <w:vAlign w:val="bottom"/>
            <w:tcBorders>
              <w:bottom w:val="single" w:sz="8" w:color="EEEEEE"/>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w:t>
            </w:r>
          </w:p>
        </w:tc>
        <w:tc>
          <w:tcPr>
            <w:tcW w:w="140" w:type="dxa"/>
            <w:vAlign w:val="bottom"/>
            <w:tcBorders>
              <w:bottom w:val="single" w:sz="8" w:color="EEEEEE"/>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w:t>
            </w:r>
          </w:p>
        </w:tc>
      </w:tr>
      <w:tr>
        <w:trPr>
          <w:trHeight w:val="193"/>
        </w:trPr>
        <w:tc>
          <w:tcPr>
            <w:tcW w:w="7780" w:type="dxa"/>
            <w:vAlign w:val="bottom"/>
            <w:tcBorders>
              <w:right w:val="single" w:sz="8" w:color="EEEEEE"/>
            </w:tcBorders>
            <w:gridSpan w:val="2"/>
            <w:shd w:val="clear" w:color="auto" w:fill="EEEEEE"/>
          </w:tcPr>
          <w:p>
            <w:pPr>
              <w:ind w:left="260"/>
              <w:spacing w:after="0"/>
              <w:rPr>
                <w:sz w:val="20"/>
                <w:szCs w:val="20"/>
                <w:color w:val="auto"/>
              </w:rPr>
            </w:pPr>
            <w:r>
              <w:rPr>
                <w:rFonts w:ascii="Arial" w:cs="Arial" w:eastAsia="Arial" w:hAnsi="Arial"/>
                <w:sz w:val="15"/>
                <w:szCs w:val="15"/>
                <w:color w:val="auto"/>
              </w:rPr>
              <w:t>All Funds</w:t>
            </w: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64%</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48%</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56%</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53%</w:t>
            </w:r>
          </w:p>
        </w:tc>
      </w:tr>
      <w:tr>
        <w:trPr>
          <w:trHeight w:val="230"/>
        </w:trPr>
        <w:tc>
          <w:tcPr>
            <w:tcW w:w="7640" w:type="dxa"/>
            <w:vAlign w:val="bottom"/>
            <w:tcBorders>
              <w:top w:val="single" w:sz="8" w:color="auto"/>
              <w:bottom w:val="single" w:sz="8" w:color="auto"/>
            </w:tcBorders>
          </w:tcPr>
          <w:p>
            <w:pPr>
              <w:spacing w:after="0" w:line="229" w:lineRule="exact"/>
              <w:rPr>
                <w:sz w:val="20"/>
                <w:szCs w:val="20"/>
                <w:color w:val="auto"/>
              </w:rPr>
            </w:pPr>
            <w:r>
              <w:rPr>
                <w:rFonts w:ascii="Arial" w:cs="Arial" w:eastAsia="Arial" w:hAnsi="Arial"/>
                <w:sz w:val="15"/>
                <w:szCs w:val="15"/>
                <w:b w:val="1"/>
                <w:bCs w:val="1"/>
                <w:color w:val="auto"/>
              </w:rPr>
              <w:t>% of composites that outperformed benchmarks</w:t>
            </w:r>
            <w:r>
              <w:rPr>
                <w:rFonts w:ascii="Arial" w:cs="Arial" w:eastAsia="Arial" w:hAnsi="Arial"/>
                <w:sz w:val="24"/>
                <w:szCs w:val="24"/>
                <w:b w:val="1"/>
                <w:bCs w:val="1"/>
                <w:color w:val="auto"/>
                <w:vertAlign w:val="superscript"/>
              </w:rPr>
              <w:t>5</w:t>
            </w:r>
          </w:p>
        </w:tc>
        <w:tc>
          <w:tcPr>
            <w:tcW w:w="140" w:type="dxa"/>
            <w:vAlign w:val="bottom"/>
            <w:tcBorders>
              <w:bottom w:val="single" w:sz="8" w:color="EEEEEE"/>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r>
      <w:tr>
        <w:trPr>
          <w:trHeight w:val="191"/>
        </w:trPr>
        <w:tc>
          <w:tcPr>
            <w:tcW w:w="7640" w:type="dxa"/>
            <w:vAlign w:val="bottom"/>
            <w:tcBorders>
              <w:bottom w:val="single" w:sz="8" w:color="auto"/>
            </w:tcBorders>
            <w:shd w:val="clear" w:color="auto" w:fill="EEEEEE"/>
          </w:tcPr>
          <w:p>
            <w:pPr>
              <w:ind w:left="260"/>
              <w:spacing w:after="0"/>
              <w:rPr>
                <w:sz w:val="20"/>
                <w:szCs w:val="20"/>
                <w:color w:val="auto"/>
              </w:rPr>
            </w:pPr>
            <w:r>
              <w:rPr>
                <w:rFonts w:ascii="Arial" w:cs="Arial" w:eastAsia="Arial" w:hAnsi="Arial"/>
                <w:sz w:val="15"/>
                <w:szCs w:val="15"/>
                <w:color w:val="auto"/>
              </w:rPr>
              <w:t>Equity</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50%</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30%</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51%</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62%</w:t>
            </w:r>
          </w:p>
        </w:tc>
      </w:tr>
      <w:tr>
        <w:trPr>
          <w:trHeight w:val="192"/>
        </w:trPr>
        <w:tc>
          <w:tcPr>
            <w:tcW w:w="764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rPr>
              <w:t>Fixed Income</w:t>
            </w:r>
          </w:p>
        </w:tc>
        <w:tc>
          <w:tcPr>
            <w:tcW w:w="140" w:type="dxa"/>
            <w:vAlign w:val="bottom"/>
            <w:tcBorders>
              <w:bottom w:val="single" w:sz="8" w:color="EEEEEE"/>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w:t>
            </w:r>
          </w:p>
        </w:tc>
        <w:tc>
          <w:tcPr>
            <w:tcW w:w="140" w:type="dxa"/>
            <w:vAlign w:val="bottom"/>
            <w:tcBorders>
              <w:bottom w:val="single" w:sz="8" w:color="EEEEEE"/>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w:t>
            </w:r>
          </w:p>
        </w:tc>
        <w:tc>
          <w:tcPr>
            <w:tcW w:w="140" w:type="dxa"/>
            <w:vAlign w:val="bottom"/>
            <w:tcBorders>
              <w:bottom w:val="single" w:sz="8" w:color="EEEEEE"/>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w:t>
            </w:r>
          </w:p>
        </w:tc>
        <w:tc>
          <w:tcPr>
            <w:tcW w:w="140" w:type="dxa"/>
            <w:vAlign w:val="bottom"/>
            <w:tcBorders>
              <w:bottom w:val="single" w:sz="8" w:color="EEEEEE"/>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w:t>
            </w:r>
          </w:p>
        </w:tc>
      </w:tr>
      <w:tr>
        <w:trPr>
          <w:trHeight w:val="192"/>
        </w:trPr>
        <w:tc>
          <w:tcPr>
            <w:tcW w:w="7640" w:type="dxa"/>
            <w:vAlign w:val="bottom"/>
            <w:tcBorders>
              <w:bottom w:val="single" w:sz="8" w:color="auto"/>
            </w:tcBorders>
            <w:shd w:val="clear" w:color="auto" w:fill="EEEEEE"/>
          </w:tcPr>
          <w:p>
            <w:pPr>
              <w:ind w:left="260"/>
              <w:spacing w:after="0"/>
              <w:rPr>
                <w:sz w:val="20"/>
                <w:szCs w:val="20"/>
                <w:color w:val="auto"/>
              </w:rPr>
            </w:pPr>
            <w:r>
              <w:rPr>
                <w:rFonts w:ascii="Arial" w:cs="Arial" w:eastAsia="Arial" w:hAnsi="Arial"/>
                <w:sz w:val="15"/>
                <w:szCs w:val="15"/>
                <w:color w:val="auto"/>
              </w:rPr>
              <w:t>All Composites</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52%</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32%</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50%</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-1809115</wp:posOffset>
            </wp:positionV>
            <wp:extent cx="71120" cy="134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5427980</wp:posOffset>
            </wp:positionH>
            <wp:positionV relativeFrom="paragraph">
              <wp:posOffset>-1809115</wp:posOffset>
            </wp:positionV>
            <wp:extent cx="71120" cy="1346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-1809115</wp:posOffset>
            </wp:positionV>
            <wp:extent cx="71120" cy="134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6570980</wp:posOffset>
            </wp:positionH>
            <wp:positionV relativeFrom="paragraph">
              <wp:posOffset>-1809115</wp:posOffset>
            </wp:positionV>
            <wp:extent cx="71120" cy="134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-1539240</wp:posOffset>
            </wp:positionV>
            <wp:extent cx="71120" cy="134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5427980</wp:posOffset>
            </wp:positionH>
            <wp:positionV relativeFrom="paragraph">
              <wp:posOffset>-1539240</wp:posOffset>
            </wp:positionV>
            <wp:extent cx="71120" cy="1346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-1539240</wp:posOffset>
            </wp:positionV>
            <wp:extent cx="71120" cy="134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6570980</wp:posOffset>
            </wp:positionH>
            <wp:positionV relativeFrom="paragraph">
              <wp:posOffset>-1539240</wp:posOffset>
            </wp:positionV>
            <wp:extent cx="71120" cy="134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-975360</wp:posOffset>
            </wp:positionV>
            <wp:extent cx="71120" cy="134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5427980</wp:posOffset>
            </wp:positionH>
            <wp:positionV relativeFrom="paragraph">
              <wp:posOffset>-975360</wp:posOffset>
            </wp:positionV>
            <wp:extent cx="71120" cy="134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-975360</wp:posOffset>
            </wp:positionV>
            <wp:extent cx="71120" cy="134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6570980</wp:posOffset>
            </wp:positionH>
            <wp:positionV relativeFrom="paragraph">
              <wp:posOffset>-975360</wp:posOffset>
            </wp:positionV>
            <wp:extent cx="71120" cy="134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-705485</wp:posOffset>
            </wp:positionV>
            <wp:extent cx="71120" cy="134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5427980</wp:posOffset>
            </wp:positionH>
            <wp:positionV relativeFrom="paragraph">
              <wp:posOffset>-705485</wp:posOffset>
            </wp:positionV>
            <wp:extent cx="71120" cy="134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-705485</wp:posOffset>
            </wp:positionV>
            <wp:extent cx="71120" cy="134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6570980</wp:posOffset>
            </wp:positionH>
            <wp:positionV relativeFrom="paragraph">
              <wp:posOffset>-705485</wp:posOffset>
            </wp:positionV>
            <wp:extent cx="71120" cy="1346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-412115</wp:posOffset>
            </wp:positionV>
            <wp:extent cx="71120" cy="134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5427980</wp:posOffset>
            </wp:positionH>
            <wp:positionV relativeFrom="paragraph">
              <wp:posOffset>-412115</wp:posOffset>
            </wp:positionV>
            <wp:extent cx="71120" cy="134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-412115</wp:posOffset>
            </wp:positionV>
            <wp:extent cx="71120" cy="134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6570980</wp:posOffset>
            </wp:positionH>
            <wp:positionV relativeFrom="paragraph">
              <wp:posOffset>-412115</wp:posOffset>
            </wp:positionV>
            <wp:extent cx="71120" cy="1346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-142240</wp:posOffset>
            </wp:positionV>
            <wp:extent cx="71120" cy="134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5427980</wp:posOffset>
            </wp:positionH>
            <wp:positionV relativeFrom="paragraph">
              <wp:posOffset>-142240</wp:posOffset>
            </wp:positionV>
            <wp:extent cx="71120" cy="1346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-142240</wp:posOffset>
            </wp:positionV>
            <wp:extent cx="71120" cy="1346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6570980</wp:posOffset>
            </wp:positionH>
            <wp:positionV relativeFrom="paragraph">
              <wp:posOffset>-142240</wp:posOffset>
            </wp:positionV>
            <wp:extent cx="71120" cy="1346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120" cy="134620"/>
                    </a:xfrm>
                    <a:prstGeom prst="rect">
                      <a:avLst/>
                    </a:prstGeom>
                    <a:noFill/>
                  </pic:spPr>
                </pic:pic>
              </a:graphicData>
            </a:graphic>
          </wp:anchor>
        </w:drawing>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80" w:type="dxa"/>
            <w:vAlign w:val="bottom"/>
            <w:tcBorders>
              <w:right w:val="single" w:sz="8" w:color="auto"/>
            </w:tcBorders>
            <w:gridSpan w:val="2"/>
          </w:tcPr>
          <w:p>
            <w:pPr>
              <w:spacing w:after="0"/>
              <w:rPr>
                <w:sz w:val="20"/>
                <w:szCs w:val="20"/>
                <w:color w:val="auto"/>
              </w:rPr>
            </w:pPr>
            <w:r>
              <w:rPr>
                <w:rFonts w:ascii="Arial" w:cs="Arial" w:eastAsia="Arial" w:hAnsi="Arial"/>
                <w:sz w:val="15"/>
                <w:szCs w:val="15"/>
                <w:b w:val="1"/>
                <w:bCs w:val="1"/>
                <w:color w:val="auto"/>
              </w:rPr>
              <w:t>AUM-Weighted Performance</w:t>
            </w:r>
          </w:p>
        </w:tc>
        <w:tc>
          <w:tcPr>
            <w:tcW w:w="900" w:type="dxa"/>
            <w:vAlign w:val="bottom"/>
            <w:tcBorders>
              <w:right w:val="single" w:sz="8" w:color="auto"/>
            </w:tcBorders>
            <w:gridSpan w:val="2"/>
          </w:tcPr>
          <w:p>
            <w:pPr>
              <w:ind w:left="120"/>
              <w:spacing w:after="0"/>
              <w:rPr>
                <w:sz w:val="20"/>
                <w:szCs w:val="20"/>
                <w:color w:val="auto"/>
              </w:rPr>
            </w:pPr>
            <w:r>
              <w:rPr>
                <w:rFonts w:ascii="Arial" w:cs="Arial" w:eastAsia="Arial" w:hAnsi="Arial"/>
                <w:sz w:val="15"/>
                <w:szCs w:val="15"/>
                <w:b w:val="1"/>
                <w:bCs w:val="1"/>
                <w:color w:val="auto"/>
              </w:rPr>
              <w:t>1 YEAR</w:t>
            </w:r>
          </w:p>
        </w:tc>
        <w:tc>
          <w:tcPr>
            <w:tcW w:w="90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3 YEARS</w:t>
            </w:r>
          </w:p>
        </w:tc>
        <w:tc>
          <w:tcPr>
            <w:tcW w:w="90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5 YEARS</w:t>
            </w: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w w:val="99"/>
              </w:rPr>
              <w:t>10 YEARS</w:t>
            </w:r>
          </w:p>
        </w:tc>
      </w:tr>
      <w:tr>
        <w:trPr>
          <w:trHeight w:val="230"/>
        </w:trPr>
        <w:tc>
          <w:tcPr>
            <w:tcW w:w="7640" w:type="dxa"/>
            <w:vAlign w:val="bottom"/>
            <w:tcBorders>
              <w:top w:val="single" w:sz="8" w:color="auto"/>
              <w:bottom w:val="single" w:sz="8" w:color="auto"/>
            </w:tcBorders>
          </w:tcPr>
          <w:p>
            <w:pPr>
              <w:spacing w:after="0" w:line="229" w:lineRule="exact"/>
              <w:rPr>
                <w:sz w:val="20"/>
                <w:szCs w:val="20"/>
                <w:color w:val="auto"/>
              </w:rPr>
            </w:pPr>
            <w:r>
              <w:rPr>
                <w:rFonts w:ascii="Arial" w:cs="Arial" w:eastAsia="Arial" w:hAnsi="Arial"/>
                <w:sz w:val="15"/>
                <w:szCs w:val="15"/>
                <w:b w:val="1"/>
                <w:bCs w:val="1"/>
                <w:color w:val="auto"/>
              </w:rPr>
              <w:t>% of U.S. mutual funds that outperformed Morningstar median</w:t>
            </w:r>
            <w:r>
              <w:rPr>
                <w:rFonts w:ascii="Arial" w:cs="Arial" w:eastAsia="Arial" w:hAnsi="Arial"/>
                <w:sz w:val="24"/>
                <w:szCs w:val="24"/>
                <w:b w:val="1"/>
                <w:bCs w:val="1"/>
                <w:color w:val="auto"/>
                <w:vertAlign w:val="superscript"/>
              </w:rPr>
              <w:t>2,3</w:t>
            </w:r>
          </w:p>
        </w:tc>
        <w:tc>
          <w:tcPr>
            <w:tcW w:w="140" w:type="dxa"/>
            <w:vAlign w:val="bottom"/>
            <w:tcBorders>
              <w:bottom w:val="single" w:sz="8" w:color="EEEEEE"/>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r>
      <w:tr>
        <w:trPr>
          <w:trHeight w:val="191"/>
        </w:trPr>
        <w:tc>
          <w:tcPr>
            <w:tcW w:w="7640" w:type="dxa"/>
            <w:vAlign w:val="bottom"/>
            <w:tcBorders>
              <w:bottom w:val="single" w:sz="8" w:color="auto"/>
            </w:tcBorders>
            <w:shd w:val="clear" w:color="auto" w:fill="EEEEEE"/>
          </w:tcPr>
          <w:p>
            <w:pPr>
              <w:ind w:left="260"/>
              <w:spacing w:after="0"/>
              <w:rPr>
                <w:sz w:val="20"/>
                <w:szCs w:val="20"/>
                <w:color w:val="auto"/>
              </w:rPr>
            </w:pPr>
            <w:r>
              <w:rPr>
                <w:rFonts w:ascii="Arial" w:cs="Arial" w:eastAsia="Arial" w:hAnsi="Arial"/>
                <w:sz w:val="15"/>
                <w:szCs w:val="15"/>
                <w:color w:val="auto"/>
              </w:rPr>
              <w:t>Equity</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66%</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46%</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42%</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83%</w:t>
            </w:r>
          </w:p>
        </w:tc>
      </w:tr>
      <w:tr>
        <w:trPr>
          <w:trHeight w:val="192"/>
        </w:trPr>
        <w:tc>
          <w:tcPr>
            <w:tcW w:w="764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rPr>
              <w:t>Fixed Income</w:t>
            </w:r>
          </w:p>
        </w:tc>
        <w:tc>
          <w:tcPr>
            <w:tcW w:w="140" w:type="dxa"/>
            <w:vAlign w:val="bottom"/>
            <w:tcBorders>
              <w:bottom w:val="single" w:sz="8" w:color="EEEEEE"/>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w:t>
            </w:r>
          </w:p>
        </w:tc>
        <w:tc>
          <w:tcPr>
            <w:tcW w:w="140" w:type="dxa"/>
            <w:vAlign w:val="bottom"/>
            <w:tcBorders>
              <w:bottom w:val="single" w:sz="8" w:color="EEEEEE"/>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w:t>
            </w:r>
          </w:p>
        </w:tc>
        <w:tc>
          <w:tcPr>
            <w:tcW w:w="140" w:type="dxa"/>
            <w:vAlign w:val="bottom"/>
            <w:tcBorders>
              <w:bottom w:val="single" w:sz="8" w:color="EEEEEE"/>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w:t>
            </w:r>
          </w:p>
        </w:tc>
        <w:tc>
          <w:tcPr>
            <w:tcW w:w="140" w:type="dxa"/>
            <w:vAlign w:val="bottom"/>
            <w:tcBorders>
              <w:bottom w:val="single" w:sz="8" w:color="EEEEEE"/>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w:t>
            </w:r>
          </w:p>
        </w:tc>
      </w:tr>
      <w:tr>
        <w:trPr>
          <w:trHeight w:val="192"/>
        </w:trPr>
        <w:tc>
          <w:tcPr>
            <w:tcW w:w="7640" w:type="dxa"/>
            <w:vAlign w:val="bottom"/>
            <w:tcBorders>
              <w:bottom w:val="single" w:sz="8" w:color="auto"/>
            </w:tcBorders>
            <w:shd w:val="clear" w:color="auto" w:fill="EEEEEE"/>
          </w:tcPr>
          <w:p>
            <w:pPr>
              <w:ind w:left="260"/>
              <w:spacing w:after="0"/>
              <w:rPr>
                <w:sz w:val="20"/>
                <w:szCs w:val="20"/>
                <w:color w:val="auto"/>
              </w:rPr>
            </w:pPr>
            <w:r>
              <w:rPr>
                <w:rFonts w:ascii="Arial" w:cs="Arial" w:eastAsia="Arial" w:hAnsi="Arial"/>
                <w:sz w:val="15"/>
                <w:szCs w:val="15"/>
                <w:color w:val="auto"/>
              </w:rPr>
              <w:t>Multi-Asset</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94%</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72%</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91%</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96%</w:t>
            </w:r>
          </w:p>
        </w:tc>
      </w:tr>
      <w:tr>
        <w:trPr>
          <w:trHeight w:val="192"/>
        </w:trPr>
        <w:tc>
          <w:tcPr>
            <w:tcW w:w="7780" w:type="dxa"/>
            <w:vAlign w:val="bottom"/>
            <w:gridSpan w:val="2"/>
          </w:tcPr>
          <w:p>
            <w:pPr>
              <w:ind w:left="260"/>
              <w:spacing w:after="0"/>
              <w:rPr>
                <w:sz w:val="20"/>
                <w:szCs w:val="20"/>
                <w:color w:val="auto"/>
              </w:rPr>
            </w:pPr>
            <w:r>
              <w:rPr>
                <w:rFonts w:ascii="Arial" w:cs="Arial" w:eastAsia="Arial" w:hAnsi="Arial"/>
                <w:sz w:val="15"/>
                <w:szCs w:val="15"/>
                <w:color w:val="auto"/>
              </w:rPr>
              <w:t>All Funds</w:t>
            </w:r>
          </w:p>
        </w:tc>
        <w:tc>
          <w:tcPr>
            <w:tcW w:w="760" w:type="dxa"/>
            <w:vAlign w:val="bottom"/>
          </w:tcPr>
          <w:p>
            <w:pPr>
              <w:jc w:val="right"/>
              <w:spacing w:after="0"/>
              <w:rPr>
                <w:sz w:val="20"/>
                <w:szCs w:val="20"/>
                <w:color w:val="auto"/>
              </w:rPr>
            </w:pPr>
            <w:r>
              <w:rPr>
                <w:rFonts w:ascii="Arial" w:cs="Arial" w:eastAsia="Arial" w:hAnsi="Arial"/>
                <w:sz w:val="15"/>
                <w:szCs w:val="15"/>
                <w:color w:val="auto"/>
              </w:rPr>
              <w:t>74%</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55%</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57%</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86%</w:t>
            </w:r>
          </w:p>
        </w:tc>
      </w:tr>
      <w:tr>
        <w:trPr>
          <w:trHeight w:val="231"/>
        </w:trPr>
        <w:tc>
          <w:tcPr>
            <w:tcW w:w="7640" w:type="dxa"/>
            <w:vAlign w:val="bottom"/>
            <w:tcBorders>
              <w:top w:val="single" w:sz="8" w:color="auto"/>
              <w:bottom w:val="single" w:sz="8" w:color="auto"/>
            </w:tcBorders>
          </w:tcPr>
          <w:p>
            <w:pPr>
              <w:spacing w:after="0" w:line="230" w:lineRule="exact"/>
              <w:rPr>
                <w:sz w:val="20"/>
                <w:szCs w:val="20"/>
                <w:color w:val="auto"/>
              </w:rPr>
            </w:pPr>
            <w:r>
              <w:rPr>
                <w:rFonts w:ascii="Arial" w:cs="Arial" w:eastAsia="Arial" w:hAnsi="Arial"/>
                <w:sz w:val="15"/>
                <w:szCs w:val="15"/>
                <w:b w:val="1"/>
                <w:bCs w:val="1"/>
                <w:color w:val="auto"/>
              </w:rPr>
              <w:t>% of U.S. mutual funds that outperformed passive peer median</w:t>
            </w:r>
            <w:r>
              <w:rPr>
                <w:rFonts w:ascii="Arial" w:cs="Arial" w:eastAsia="Arial" w:hAnsi="Arial"/>
                <w:sz w:val="24"/>
                <w:szCs w:val="24"/>
                <w:b w:val="1"/>
                <w:bCs w:val="1"/>
                <w:color w:val="auto"/>
                <w:vertAlign w:val="superscript"/>
              </w:rPr>
              <w:t>2,4</w:t>
            </w:r>
          </w:p>
        </w:tc>
        <w:tc>
          <w:tcPr>
            <w:tcW w:w="140" w:type="dxa"/>
            <w:vAlign w:val="bottom"/>
            <w:tcBorders>
              <w:bottom w:val="single" w:sz="8" w:color="EEEEEE"/>
            </w:tcBorders>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c>
          <w:tcPr>
            <w:tcW w:w="140" w:type="dxa"/>
            <w:vAlign w:val="bottom"/>
            <w:tcBorders>
              <w:bottom w:val="single" w:sz="8" w:color="EEEEEE"/>
            </w:tcBorders>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c>
          <w:tcPr>
            <w:tcW w:w="140" w:type="dxa"/>
            <w:vAlign w:val="bottom"/>
            <w:tcBorders>
              <w:bottom w:val="single" w:sz="8" w:color="EEEEEE"/>
            </w:tcBorders>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c>
          <w:tcPr>
            <w:tcW w:w="140" w:type="dxa"/>
            <w:vAlign w:val="bottom"/>
            <w:tcBorders>
              <w:bottom w:val="single" w:sz="8" w:color="EEEEEE"/>
            </w:tcBorders>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r>
      <w:tr>
        <w:trPr>
          <w:trHeight w:val="191"/>
        </w:trPr>
        <w:tc>
          <w:tcPr>
            <w:tcW w:w="7640" w:type="dxa"/>
            <w:vAlign w:val="bottom"/>
            <w:tcBorders>
              <w:bottom w:val="single" w:sz="8" w:color="auto"/>
            </w:tcBorders>
            <w:shd w:val="clear" w:color="auto" w:fill="EEEEEE"/>
          </w:tcPr>
          <w:p>
            <w:pPr>
              <w:ind w:left="260"/>
              <w:spacing w:after="0"/>
              <w:rPr>
                <w:sz w:val="20"/>
                <w:szCs w:val="20"/>
                <w:color w:val="auto"/>
              </w:rPr>
            </w:pPr>
            <w:r>
              <w:rPr>
                <w:rFonts w:ascii="Arial" w:cs="Arial" w:eastAsia="Arial" w:hAnsi="Arial"/>
                <w:sz w:val="15"/>
                <w:szCs w:val="15"/>
                <w:color w:val="auto"/>
              </w:rPr>
              <w:t>Equity</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69%</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34%</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31%</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51%</w:t>
            </w:r>
          </w:p>
        </w:tc>
      </w:tr>
      <w:tr>
        <w:trPr>
          <w:trHeight w:val="192"/>
        </w:trPr>
        <w:tc>
          <w:tcPr>
            <w:tcW w:w="764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rPr>
              <w:t>Fixed Income</w:t>
            </w:r>
          </w:p>
        </w:tc>
        <w:tc>
          <w:tcPr>
            <w:tcW w:w="140" w:type="dxa"/>
            <w:vAlign w:val="bottom"/>
            <w:tcBorders>
              <w:bottom w:val="single" w:sz="8" w:color="EEEEEE"/>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w:t>
            </w:r>
          </w:p>
        </w:tc>
        <w:tc>
          <w:tcPr>
            <w:tcW w:w="140" w:type="dxa"/>
            <w:vAlign w:val="bottom"/>
            <w:tcBorders>
              <w:bottom w:val="single" w:sz="8" w:color="EEEEEE"/>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w:t>
            </w:r>
          </w:p>
        </w:tc>
        <w:tc>
          <w:tcPr>
            <w:tcW w:w="140" w:type="dxa"/>
            <w:vAlign w:val="bottom"/>
            <w:tcBorders>
              <w:bottom w:val="single" w:sz="8" w:color="EEEEEE"/>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w:t>
            </w:r>
          </w:p>
        </w:tc>
        <w:tc>
          <w:tcPr>
            <w:tcW w:w="140" w:type="dxa"/>
            <w:vAlign w:val="bottom"/>
            <w:tcBorders>
              <w:bottom w:val="single" w:sz="8" w:color="EEEEEE"/>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w:t>
            </w:r>
          </w:p>
        </w:tc>
      </w:tr>
      <w:tr>
        <w:trPr>
          <w:trHeight w:val="192"/>
        </w:trPr>
        <w:tc>
          <w:tcPr>
            <w:tcW w:w="7640" w:type="dxa"/>
            <w:vAlign w:val="bottom"/>
            <w:tcBorders>
              <w:bottom w:val="single" w:sz="8" w:color="auto"/>
            </w:tcBorders>
            <w:shd w:val="clear" w:color="auto" w:fill="EEEEEE"/>
          </w:tcPr>
          <w:p>
            <w:pPr>
              <w:ind w:left="260"/>
              <w:spacing w:after="0"/>
              <w:rPr>
                <w:sz w:val="20"/>
                <w:szCs w:val="20"/>
                <w:color w:val="auto"/>
              </w:rPr>
            </w:pPr>
            <w:r>
              <w:rPr>
                <w:rFonts w:ascii="Arial" w:cs="Arial" w:eastAsia="Arial" w:hAnsi="Arial"/>
                <w:sz w:val="15"/>
                <w:szCs w:val="15"/>
                <w:color w:val="auto"/>
              </w:rPr>
              <w:t>Multi-Asset</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94%</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63%</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95%</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95%</w:t>
            </w:r>
          </w:p>
        </w:tc>
      </w:tr>
      <w:tr>
        <w:trPr>
          <w:trHeight w:val="192"/>
        </w:trPr>
        <w:tc>
          <w:tcPr>
            <w:tcW w:w="7780" w:type="dxa"/>
            <w:vAlign w:val="bottom"/>
            <w:gridSpan w:val="2"/>
          </w:tcPr>
          <w:p>
            <w:pPr>
              <w:ind w:left="260"/>
              <w:spacing w:after="0"/>
              <w:rPr>
                <w:sz w:val="20"/>
                <w:szCs w:val="20"/>
                <w:color w:val="auto"/>
              </w:rPr>
            </w:pPr>
            <w:r>
              <w:rPr>
                <w:rFonts w:ascii="Arial" w:cs="Arial" w:eastAsia="Arial" w:hAnsi="Arial"/>
                <w:sz w:val="15"/>
                <w:szCs w:val="15"/>
                <w:color w:val="auto"/>
              </w:rPr>
              <w:t>All Funds</w:t>
            </w:r>
          </w:p>
        </w:tc>
        <w:tc>
          <w:tcPr>
            <w:tcW w:w="760" w:type="dxa"/>
            <w:vAlign w:val="bottom"/>
          </w:tcPr>
          <w:p>
            <w:pPr>
              <w:jc w:val="right"/>
              <w:spacing w:after="0"/>
              <w:rPr>
                <w:sz w:val="20"/>
                <w:szCs w:val="20"/>
                <w:color w:val="auto"/>
              </w:rPr>
            </w:pPr>
            <w:r>
              <w:rPr>
                <w:rFonts w:ascii="Arial" w:cs="Arial" w:eastAsia="Arial" w:hAnsi="Arial"/>
                <w:sz w:val="15"/>
                <w:szCs w:val="15"/>
                <w:color w:val="auto"/>
              </w:rPr>
              <w:t>75%</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45%</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52%</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64%</w:t>
            </w:r>
          </w:p>
        </w:tc>
      </w:tr>
      <w:tr>
        <w:trPr>
          <w:trHeight w:val="231"/>
        </w:trPr>
        <w:tc>
          <w:tcPr>
            <w:tcW w:w="7640" w:type="dxa"/>
            <w:vAlign w:val="bottom"/>
            <w:tcBorders>
              <w:top w:val="single" w:sz="8" w:color="auto"/>
              <w:bottom w:val="single" w:sz="8" w:color="auto"/>
            </w:tcBorders>
          </w:tcPr>
          <w:p>
            <w:pPr>
              <w:spacing w:after="0" w:line="230" w:lineRule="exact"/>
              <w:rPr>
                <w:sz w:val="20"/>
                <w:szCs w:val="20"/>
                <w:color w:val="auto"/>
              </w:rPr>
            </w:pPr>
            <w:r>
              <w:rPr>
                <w:rFonts w:ascii="Arial" w:cs="Arial" w:eastAsia="Arial" w:hAnsi="Arial"/>
                <w:sz w:val="15"/>
                <w:szCs w:val="15"/>
                <w:b w:val="1"/>
                <w:bCs w:val="1"/>
                <w:color w:val="auto"/>
              </w:rPr>
              <w:t>% of composites that outperformed benchmarks</w:t>
            </w:r>
            <w:r>
              <w:rPr>
                <w:rFonts w:ascii="Arial" w:cs="Arial" w:eastAsia="Arial" w:hAnsi="Arial"/>
                <w:sz w:val="24"/>
                <w:szCs w:val="24"/>
                <w:b w:val="1"/>
                <w:bCs w:val="1"/>
                <w:color w:val="auto"/>
                <w:vertAlign w:val="superscript"/>
              </w:rPr>
              <w:t>5</w:t>
            </w:r>
          </w:p>
        </w:tc>
        <w:tc>
          <w:tcPr>
            <w:tcW w:w="140" w:type="dxa"/>
            <w:vAlign w:val="bottom"/>
            <w:tcBorders>
              <w:bottom w:val="single" w:sz="8" w:color="EEEEEE"/>
            </w:tcBorders>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c>
          <w:tcPr>
            <w:tcW w:w="140" w:type="dxa"/>
            <w:vAlign w:val="bottom"/>
            <w:tcBorders>
              <w:bottom w:val="single" w:sz="8" w:color="EEEEEE"/>
            </w:tcBorders>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c>
          <w:tcPr>
            <w:tcW w:w="140" w:type="dxa"/>
            <w:vAlign w:val="bottom"/>
            <w:tcBorders>
              <w:bottom w:val="single" w:sz="8" w:color="EEEEEE"/>
            </w:tcBorders>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c>
          <w:tcPr>
            <w:tcW w:w="140" w:type="dxa"/>
            <w:vAlign w:val="bottom"/>
            <w:tcBorders>
              <w:bottom w:val="single" w:sz="8" w:color="EEEEEE"/>
            </w:tcBorders>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r>
      <w:tr>
        <w:trPr>
          <w:trHeight w:val="191"/>
        </w:trPr>
        <w:tc>
          <w:tcPr>
            <w:tcW w:w="7640" w:type="dxa"/>
            <w:vAlign w:val="bottom"/>
            <w:tcBorders>
              <w:bottom w:val="single" w:sz="8" w:color="auto"/>
            </w:tcBorders>
            <w:shd w:val="clear" w:color="auto" w:fill="EEEEEE"/>
          </w:tcPr>
          <w:p>
            <w:pPr>
              <w:ind w:left="260"/>
              <w:spacing w:after="0"/>
              <w:rPr>
                <w:sz w:val="20"/>
                <w:szCs w:val="20"/>
                <w:color w:val="auto"/>
              </w:rPr>
            </w:pPr>
            <w:r>
              <w:rPr>
                <w:rFonts w:ascii="Arial" w:cs="Arial" w:eastAsia="Arial" w:hAnsi="Arial"/>
                <w:sz w:val="15"/>
                <w:szCs w:val="15"/>
                <w:color w:val="auto"/>
              </w:rPr>
              <w:t>Equity</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56%</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33%</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44%</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51%</w:t>
            </w:r>
          </w:p>
        </w:tc>
      </w:tr>
      <w:tr>
        <w:trPr>
          <w:trHeight w:val="192"/>
        </w:trPr>
        <w:tc>
          <w:tcPr>
            <w:tcW w:w="764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rPr>
              <w:t>Fixed Income</w:t>
            </w:r>
          </w:p>
        </w:tc>
        <w:tc>
          <w:tcPr>
            <w:tcW w:w="140" w:type="dxa"/>
            <w:vAlign w:val="bottom"/>
            <w:tcBorders>
              <w:bottom w:val="single" w:sz="8" w:color="EEEEEE"/>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w:t>
            </w:r>
          </w:p>
        </w:tc>
        <w:tc>
          <w:tcPr>
            <w:tcW w:w="140" w:type="dxa"/>
            <w:vAlign w:val="bottom"/>
            <w:tcBorders>
              <w:bottom w:val="single" w:sz="8" w:color="EEEEEE"/>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w:t>
            </w:r>
          </w:p>
        </w:tc>
        <w:tc>
          <w:tcPr>
            <w:tcW w:w="140" w:type="dxa"/>
            <w:vAlign w:val="bottom"/>
            <w:tcBorders>
              <w:bottom w:val="single" w:sz="8" w:color="EEEEEE"/>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w:t>
            </w:r>
          </w:p>
        </w:tc>
        <w:tc>
          <w:tcPr>
            <w:tcW w:w="140" w:type="dxa"/>
            <w:vAlign w:val="bottom"/>
            <w:tcBorders>
              <w:bottom w:val="single" w:sz="8" w:color="EEEEEE"/>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w:t>
            </w:r>
          </w:p>
        </w:tc>
      </w:tr>
      <w:tr>
        <w:trPr>
          <w:trHeight w:val="192"/>
        </w:trPr>
        <w:tc>
          <w:tcPr>
            <w:tcW w:w="7640" w:type="dxa"/>
            <w:vAlign w:val="bottom"/>
            <w:tcBorders>
              <w:bottom w:val="single" w:sz="8" w:color="auto"/>
            </w:tcBorders>
            <w:shd w:val="clear" w:color="auto" w:fill="EEEEEE"/>
          </w:tcPr>
          <w:p>
            <w:pPr>
              <w:ind w:left="260"/>
              <w:spacing w:after="0"/>
              <w:rPr>
                <w:sz w:val="20"/>
                <w:szCs w:val="20"/>
                <w:color w:val="auto"/>
              </w:rPr>
            </w:pPr>
            <w:r>
              <w:rPr>
                <w:rFonts w:ascii="Arial" w:cs="Arial" w:eastAsia="Arial" w:hAnsi="Arial"/>
                <w:sz w:val="15"/>
                <w:szCs w:val="15"/>
                <w:color w:val="auto"/>
              </w:rPr>
              <w:t>All Composites</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56%</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33%</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44%</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-1809115</wp:posOffset>
            </wp:positionV>
            <wp:extent cx="71120" cy="1346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5427980</wp:posOffset>
            </wp:positionH>
            <wp:positionV relativeFrom="paragraph">
              <wp:posOffset>-1809115</wp:posOffset>
            </wp:positionV>
            <wp:extent cx="71120" cy="1346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-1809115</wp:posOffset>
            </wp:positionV>
            <wp:extent cx="71120" cy="1346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6570980</wp:posOffset>
            </wp:positionH>
            <wp:positionV relativeFrom="paragraph">
              <wp:posOffset>-1809115</wp:posOffset>
            </wp:positionV>
            <wp:extent cx="71120" cy="1346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-1539240</wp:posOffset>
            </wp:positionV>
            <wp:extent cx="71120" cy="1346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5427980</wp:posOffset>
            </wp:positionH>
            <wp:positionV relativeFrom="paragraph">
              <wp:posOffset>-1539240</wp:posOffset>
            </wp:positionV>
            <wp:extent cx="71120" cy="1346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-1539240</wp:posOffset>
            </wp:positionV>
            <wp:extent cx="71120" cy="1346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6570980</wp:posOffset>
            </wp:positionH>
            <wp:positionV relativeFrom="paragraph">
              <wp:posOffset>-1539240</wp:posOffset>
            </wp:positionV>
            <wp:extent cx="71120" cy="1346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-1110615</wp:posOffset>
            </wp:positionV>
            <wp:extent cx="71120" cy="1346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5427980</wp:posOffset>
            </wp:positionH>
            <wp:positionV relativeFrom="paragraph">
              <wp:posOffset>-1110615</wp:posOffset>
            </wp:positionV>
            <wp:extent cx="71120" cy="1346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-1110615</wp:posOffset>
            </wp:positionV>
            <wp:extent cx="71120" cy="1346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6570980</wp:posOffset>
            </wp:positionH>
            <wp:positionV relativeFrom="paragraph">
              <wp:posOffset>-1110615</wp:posOffset>
            </wp:positionV>
            <wp:extent cx="71120" cy="1346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-840740</wp:posOffset>
            </wp:positionV>
            <wp:extent cx="71120" cy="1346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5427980</wp:posOffset>
            </wp:positionH>
            <wp:positionV relativeFrom="paragraph">
              <wp:posOffset>-840740</wp:posOffset>
            </wp:positionV>
            <wp:extent cx="71120" cy="1346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-840740</wp:posOffset>
            </wp:positionV>
            <wp:extent cx="71120" cy="1346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6570980</wp:posOffset>
            </wp:positionH>
            <wp:positionV relativeFrom="paragraph">
              <wp:posOffset>-840740</wp:posOffset>
            </wp:positionV>
            <wp:extent cx="71120" cy="1346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-412115</wp:posOffset>
            </wp:positionV>
            <wp:extent cx="71120" cy="1346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5427980</wp:posOffset>
            </wp:positionH>
            <wp:positionV relativeFrom="paragraph">
              <wp:posOffset>-412115</wp:posOffset>
            </wp:positionV>
            <wp:extent cx="71120" cy="1346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-412115</wp:posOffset>
            </wp:positionV>
            <wp:extent cx="71120" cy="1346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6570980</wp:posOffset>
            </wp:positionH>
            <wp:positionV relativeFrom="paragraph">
              <wp:posOffset>-412115</wp:posOffset>
            </wp:positionV>
            <wp:extent cx="71120" cy="1346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-142240</wp:posOffset>
            </wp:positionV>
            <wp:extent cx="71120" cy="1346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5427980</wp:posOffset>
            </wp:positionH>
            <wp:positionV relativeFrom="paragraph">
              <wp:posOffset>-142240</wp:posOffset>
            </wp:positionV>
            <wp:extent cx="71120" cy="1346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-142240</wp:posOffset>
            </wp:positionV>
            <wp:extent cx="71120" cy="1346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6570980</wp:posOffset>
            </wp:positionH>
            <wp:positionV relativeFrom="paragraph">
              <wp:posOffset>-142240</wp:posOffset>
            </wp:positionV>
            <wp:extent cx="71120" cy="1346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120" cy="13462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28C0DA"/>
        </w:rPr>
        <w:t>•</w:t>
      </w:r>
      <w:r>
        <w:rPr>
          <w:rFonts w:ascii="Arial" w:cs="Arial" w:eastAsia="Arial" w:hAnsi="Arial"/>
          <w:sz w:val="16"/>
          <w:szCs w:val="16"/>
          <w:color w:val="000000"/>
        </w:rPr>
        <w:t>    As of December 31, 2023, 46 of 86 (53.5%) of our rated U.S. mutual funds (across primary share classes) received an overall rating of 4 or 5 stars. By</w:t>
      </w:r>
    </w:p>
    <w:p>
      <w:pPr>
        <w:spacing w:after="0" w:line="20" w:lineRule="exact"/>
        <w:rPr>
          <w:sz w:val="20"/>
          <w:szCs w:val="20"/>
          <w:color w:val="auto"/>
        </w:rPr>
      </w:pPr>
    </w:p>
    <w:p>
      <w:pPr>
        <w:ind w:left="180" w:right="460"/>
        <w:spacing w:after="0" w:line="202" w:lineRule="auto"/>
        <w:rPr>
          <w:sz w:val="20"/>
          <w:szCs w:val="20"/>
          <w:color w:val="auto"/>
        </w:rPr>
      </w:pPr>
      <w:r>
        <w:rPr>
          <w:rFonts w:ascii="Arial" w:cs="Arial" w:eastAsia="Arial" w:hAnsi="Arial"/>
          <w:sz w:val="17"/>
          <w:szCs w:val="17"/>
          <w:color w:val="auto"/>
        </w:rPr>
        <w:t>comparison, 32.5% of Morningstar's fund population is given a rate of 4 or 5 stars</w:t>
      </w:r>
      <w:r>
        <w:rPr>
          <w:rFonts w:ascii="Arial" w:cs="Arial" w:eastAsia="Arial" w:hAnsi="Arial"/>
          <w:sz w:val="27"/>
          <w:szCs w:val="27"/>
          <w:color w:val="auto"/>
          <w:vertAlign w:val="superscript"/>
        </w:rPr>
        <w:t>(6)</w:t>
      </w:r>
      <w:r>
        <w:rPr>
          <w:rFonts w:ascii="Arial" w:cs="Arial" w:eastAsia="Arial" w:hAnsi="Arial"/>
          <w:sz w:val="17"/>
          <w:szCs w:val="17"/>
          <w:color w:val="auto"/>
        </w:rPr>
        <w:t>. In addition, 64.0%</w:t>
      </w:r>
      <w:r>
        <w:rPr>
          <w:rFonts w:ascii="Arial" w:cs="Arial" w:eastAsia="Arial" w:hAnsi="Arial"/>
          <w:sz w:val="27"/>
          <w:szCs w:val="27"/>
          <w:color w:val="auto"/>
          <w:vertAlign w:val="superscript"/>
        </w:rPr>
        <w:t>(6)</w:t>
      </w:r>
      <w:r>
        <w:rPr>
          <w:rFonts w:ascii="Arial" w:cs="Arial" w:eastAsia="Arial" w:hAnsi="Arial"/>
          <w:sz w:val="17"/>
          <w:szCs w:val="17"/>
          <w:color w:val="auto"/>
        </w:rPr>
        <w:t xml:space="preserve"> of AUM in our rated U.S. mutual funds (across primary share classes) ended 2023 with an overall rating of 4 or 5 stars.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color w:val="auto"/>
          <w:vertAlign w:val="superscript"/>
        </w:rPr>
        <w:t>1</w:t>
      </w:r>
      <w:r>
        <w:rPr>
          <w:rFonts w:ascii="Arial" w:cs="Arial" w:eastAsia="Arial" w:hAnsi="Arial"/>
          <w:sz w:val="13"/>
          <w:szCs w:val="13"/>
          <w:color w:val="auto"/>
        </w:rPr>
        <w:t>      The investment performance reflects that of T. Rowe Price sponsored mutual funds and composites AUM.</w:t>
      </w:r>
    </w:p>
    <w:p>
      <w:pPr>
        <w:spacing w:after="0" w:line="187" w:lineRule="auto"/>
        <w:rPr>
          <w:sz w:val="20"/>
          <w:szCs w:val="20"/>
          <w:color w:val="auto"/>
        </w:rPr>
      </w:pPr>
      <w:r>
        <w:rPr>
          <w:rFonts w:ascii="Arial" w:cs="Arial" w:eastAsia="Arial" w:hAnsi="Arial"/>
          <w:sz w:val="20"/>
          <w:szCs w:val="20"/>
          <w:color w:val="auto"/>
          <w:vertAlign w:val="superscript"/>
        </w:rPr>
        <w:t>2</w:t>
      </w:r>
      <w:r>
        <w:rPr>
          <w:rFonts w:ascii="Arial" w:cs="Arial" w:eastAsia="Arial" w:hAnsi="Arial"/>
          <w:sz w:val="12"/>
          <w:szCs w:val="12"/>
          <w:color w:val="auto"/>
        </w:rPr>
        <w:t>       Source: © 2024 Morningstar, Inc. All rights reserved. The information contained herein: 1) is proprietary to Morningstar and/or its content providers; 2) may not be copied or distributed; and</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3"/>
          <w:szCs w:val="13"/>
          <w:color w:val="auto"/>
        </w:rPr>
        <w:t>3) is not warranted to be accurate, complete, or timely. Neither Morningstar nor its content providers are responsible for any damages or losses arising from any use of this information.</w:t>
      </w:r>
    </w:p>
    <w:p>
      <w:pPr>
        <w:spacing w:after="0" w:line="23" w:lineRule="exact"/>
        <w:rPr>
          <w:sz w:val="20"/>
          <w:szCs w:val="20"/>
          <w:color w:val="auto"/>
        </w:rPr>
      </w:pPr>
    </w:p>
    <w:p>
      <w:pPr>
        <w:ind w:left="240" w:right="20" w:hanging="239"/>
        <w:spacing w:after="0" w:line="223" w:lineRule="auto"/>
        <w:rPr>
          <w:sz w:val="20"/>
          <w:szCs w:val="20"/>
          <w:color w:val="auto"/>
        </w:rPr>
      </w:pPr>
      <w:r>
        <w:rPr>
          <w:rFonts w:ascii="Arial" w:cs="Arial" w:eastAsia="Arial" w:hAnsi="Arial"/>
          <w:sz w:val="22"/>
          <w:szCs w:val="22"/>
          <w:color w:val="auto"/>
          <w:vertAlign w:val="superscript"/>
        </w:rPr>
        <w:t>3</w:t>
      </w:r>
      <w:r>
        <w:rPr>
          <w:rFonts w:ascii="Arial" w:cs="Arial" w:eastAsia="Arial" w:hAnsi="Arial"/>
          <w:sz w:val="13"/>
          <w:szCs w:val="13"/>
          <w:color w:val="auto"/>
        </w:rPr>
        <w:t>      Source: Morningstar. Primary share class only. Excludes money market mutual funds, funds with an operating history of less than one year, T. Rowe Price passive funds, and T. Rowe Price funds that are clones of other funds. The top chart reflects the percentage of T. Rowe Price funds with 1 year, 3 year, 5 year, and 10 year track record that are outperforming the Morningstar category median. The bottom chart reflects the percentage of T. Rowe Price funds AUM that has outperformed for the time periods indicated. Total Fund AUM included for this analysis includes $323B for 1 year, $323B for 3 years, $323B for 5 years, and $320B for 10 years.</w:t>
      </w:r>
    </w:p>
    <w:p>
      <w:pPr>
        <w:spacing w:after="0" w:line="14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3"/>
          <w:szCs w:val="13"/>
          <w:b w:val="1"/>
          <w:bCs w:val="1"/>
          <w:color w:val="00244F"/>
        </w:rPr>
        <w:t>52</w:t>
      </w:r>
      <w:r>
        <w:rPr>
          <w:sz w:val="20"/>
          <w:szCs w:val="20"/>
          <w:color w:val="auto"/>
        </w:rPr>
        <w:tab/>
      </w:r>
      <w:r>
        <w:rPr>
          <w:rFonts w:ascii="Times New Roman" w:cs="Times New Roman" w:eastAsia="Times New Roman" w:hAnsi="Times New Roman"/>
          <w:sz w:val="13"/>
          <w:szCs w:val="13"/>
          <w:b w:val="1"/>
          <w:bCs w:val="1"/>
          <w:color w:val="00244F"/>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142480" cy="76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u w:val="single" w:color="auto"/>
          <w:color w:val="0000EE"/>
        </w:rPr>
        <w:t>Table of Contents</w:t>
      </w:r>
    </w:p>
    <w:p>
      <w:pPr>
        <w:spacing w:after="0" w:line="386" w:lineRule="exact"/>
        <w:rPr>
          <w:sz w:val="20"/>
          <w:szCs w:val="20"/>
          <w:color w:val="auto"/>
        </w:rPr>
      </w:pPr>
    </w:p>
    <w:p>
      <w:pPr>
        <w:ind w:left="240" w:right="60" w:hanging="239"/>
        <w:spacing w:after="0" w:line="226" w:lineRule="auto"/>
        <w:rPr>
          <w:sz w:val="20"/>
          <w:szCs w:val="20"/>
          <w:color w:val="auto"/>
        </w:rPr>
      </w:pPr>
      <w:r>
        <w:rPr>
          <w:rFonts w:ascii="Arial" w:cs="Arial" w:eastAsia="Arial" w:hAnsi="Arial"/>
          <w:sz w:val="22"/>
          <w:szCs w:val="22"/>
          <w:color w:val="auto"/>
          <w:vertAlign w:val="superscript"/>
        </w:rPr>
        <w:t>4</w:t>
      </w:r>
      <w:r>
        <w:rPr>
          <w:rFonts w:ascii="Arial" w:cs="Arial" w:eastAsia="Arial" w:hAnsi="Arial"/>
          <w:sz w:val="13"/>
          <w:szCs w:val="13"/>
          <w:color w:val="auto"/>
        </w:rPr>
        <w:t>      Passive Peer Median was created by T. Rowe Price using data from Morningstar. Primary share class only. Excludes money market mutual funds, funds with an operating history of less than one year, funds with fewer than three peers, T. Rowe Price passive funds, and T. Rowe Price funds that are clones of other funds. This analysis compares T. Rowe Price active funds with the applicable universe of passive/index open-end funds and ETFs of peer firms. The top chart reflects the percentage of T. Rowe Price funds with 1 year, 3 year, 5 year, and 10 year track record that are outperforming the passive peer universe. The bottom chart reflects the percentage of T. Rowe Price funds AUM that has outperformed for the time periods indicated. Total AUM included for this analysis includes $307B for 1 year, $272B for 3 years, $271B for 5 years, and $263B for 10 years.</w:t>
      </w:r>
    </w:p>
    <w:p>
      <w:pPr>
        <w:spacing w:after="0" w:line="11" w:lineRule="exact"/>
        <w:rPr>
          <w:sz w:val="20"/>
          <w:szCs w:val="20"/>
          <w:color w:val="auto"/>
        </w:rPr>
      </w:pPr>
    </w:p>
    <w:p>
      <w:pPr>
        <w:ind w:left="240" w:right="40" w:hanging="239"/>
        <w:spacing w:after="0" w:line="223" w:lineRule="auto"/>
        <w:rPr>
          <w:sz w:val="20"/>
          <w:szCs w:val="20"/>
          <w:color w:val="auto"/>
        </w:rPr>
      </w:pPr>
      <w:r>
        <w:rPr>
          <w:rFonts w:ascii="Arial" w:cs="Arial" w:eastAsia="Arial" w:hAnsi="Arial"/>
          <w:sz w:val="22"/>
          <w:szCs w:val="22"/>
          <w:color w:val="auto"/>
          <w:vertAlign w:val="superscript"/>
        </w:rPr>
        <w:t>5  </w:t>
      </w:r>
      <w:r>
        <w:rPr>
          <w:rFonts w:ascii="Arial" w:cs="Arial" w:eastAsia="Arial" w:hAnsi="Arial"/>
          <w:sz w:val="13"/>
          <w:szCs w:val="13"/>
          <w:color w:val="auto"/>
        </w:rPr>
        <w:t>    Composite net returns are calculated using the highest applicable separate account fee schedule. Excludes money market composites. All composites compared to official GIPS composite primary benchmark. The top chart reflects the percentage of T. Rowe Price composites with 1 year, 3 year, 5 year, and 10 year track record that are outperforming their benchmarks. The bottom chart reflects the percentage of T. Rowe Price composite AUM that has outperformed for the time periods indicated. Total AUM included for this analysis includes $1,280B for 1 year, $1,264B for 3 years, $1,255B for 5 years, and $1,222B for 10 years.</w:t>
      </w:r>
    </w:p>
    <w:p>
      <w:pPr>
        <w:spacing w:after="0" w:line="11" w:lineRule="exact"/>
        <w:rPr>
          <w:sz w:val="20"/>
          <w:szCs w:val="20"/>
          <w:color w:val="auto"/>
        </w:rPr>
      </w:pPr>
    </w:p>
    <w:p>
      <w:pPr>
        <w:ind w:left="240" w:hanging="239"/>
        <w:spacing w:after="0" w:line="210" w:lineRule="auto"/>
        <w:rPr>
          <w:sz w:val="20"/>
          <w:szCs w:val="20"/>
          <w:color w:val="auto"/>
        </w:rPr>
      </w:pPr>
      <w:r>
        <w:rPr>
          <w:rFonts w:ascii="Arial" w:cs="Arial" w:eastAsia="Arial" w:hAnsi="Arial"/>
          <w:sz w:val="22"/>
          <w:szCs w:val="22"/>
          <w:color w:val="auto"/>
          <w:vertAlign w:val="superscript"/>
        </w:rPr>
        <w:t>6</w:t>
      </w:r>
      <w:r>
        <w:rPr>
          <w:rFonts w:ascii="Arial" w:cs="Arial" w:eastAsia="Arial" w:hAnsi="Arial"/>
          <w:sz w:val="13"/>
          <w:szCs w:val="13"/>
          <w:color w:val="auto"/>
        </w:rPr>
        <w:t>       The Morningstar Rating</w:t>
      </w:r>
      <w:r>
        <w:rPr>
          <w:rFonts w:ascii="Arial" w:cs="Arial" w:eastAsia="Arial" w:hAnsi="Arial"/>
          <w:sz w:val="22"/>
          <w:szCs w:val="22"/>
          <w:color w:val="auto"/>
          <w:vertAlign w:val="superscript"/>
        </w:rPr>
        <w:t>TM</w:t>
      </w:r>
      <w:r>
        <w:rPr>
          <w:rFonts w:ascii="Arial" w:cs="Arial" w:eastAsia="Arial" w:hAnsi="Arial"/>
          <w:sz w:val="13"/>
          <w:szCs w:val="13"/>
          <w:color w:val="auto"/>
        </w:rPr>
        <w:t xml:space="preserve"> for funds is calculated for funds with at least a three-year history. Exchange-traded funds and open-ended mutual funds are considered a single population for comparative purposes. It is calculated based on a Morningstar Risk-Adjusted Return measure that accounts for variation in a managed product's monthly excess performance, placing more emphasis on downward variations and rewarding consistent performance. Morningstar gives its best ratings of 5 or 4 stars to the top 32.5% of all funds (of the 32.5%,10% get 5 stars</w:t>
      </w:r>
    </w:p>
    <w:p>
      <w:pPr>
        <w:spacing w:after="0" w:line="2" w:lineRule="exact"/>
        <w:rPr>
          <w:sz w:val="20"/>
          <w:szCs w:val="20"/>
          <w:color w:val="auto"/>
        </w:rPr>
      </w:pPr>
    </w:p>
    <w:p>
      <w:pPr>
        <w:ind w:left="240" w:right="560"/>
        <w:spacing w:after="0" w:line="218" w:lineRule="auto"/>
        <w:rPr>
          <w:sz w:val="20"/>
          <w:szCs w:val="20"/>
          <w:color w:val="auto"/>
        </w:rPr>
      </w:pPr>
      <w:r>
        <w:rPr>
          <w:rFonts w:ascii="Arial" w:cs="Arial" w:eastAsia="Arial" w:hAnsi="Arial"/>
          <w:sz w:val="13"/>
          <w:szCs w:val="13"/>
          <w:color w:val="auto"/>
        </w:rPr>
        <w:t>and 22.5% get 4 stars). The Overall Morningstar Rating</w:t>
      </w:r>
      <w:r>
        <w:rPr>
          <w:rFonts w:ascii="Arial" w:cs="Arial" w:eastAsia="Arial" w:hAnsi="Arial"/>
          <w:sz w:val="22"/>
          <w:szCs w:val="22"/>
          <w:color w:val="auto"/>
          <w:vertAlign w:val="superscript"/>
        </w:rPr>
        <w:t>TM</w:t>
      </w:r>
      <w:r>
        <w:rPr>
          <w:rFonts w:ascii="Arial" w:cs="Arial" w:eastAsia="Arial" w:hAnsi="Arial"/>
          <w:sz w:val="13"/>
          <w:szCs w:val="13"/>
          <w:color w:val="auto"/>
        </w:rPr>
        <w:t xml:space="preserve"> is derived from a weighted average of the performance figures associated with a fund's 3, 5, and 10 year (if applicable) Morningstar Rating</w:t>
      </w:r>
      <w:r>
        <w:rPr>
          <w:rFonts w:ascii="Arial" w:cs="Arial" w:eastAsia="Arial" w:hAnsi="Arial"/>
          <w:sz w:val="22"/>
          <w:szCs w:val="22"/>
          <w:color w:val="auto"/>
          <w:vertAlign w:val="superscript"/>
        </w:rPr>
        <w:t>TM</w:t>
      </w:r>
      <w:r>
        <w:rPr>
          <w:rFonts w:ascii="Arial" w:cs="Arial" w:eastAsia="Arial" w:hAnsi="Arial"/>
          <w:sz w:val="13"/>
          <w:szCs w:val="13"/>
          <w:color w:val="auto"/>
        </w:rPr>
        <w:t xml:space="preserve"> metrics.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Distribution and Product Capabilities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In 2023, we progressed the execution of our strategic initiatives and key programs. Highlights from the year include: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5"/>
          <w:szCs w:val="15"/>
          <w:color w:val="auto"/>
        </w:rPr>
        <w:t> </w:t>
      </w:r>
    </w:p>
    <w:p>
      <w:pPr>
        <w:spacing w:after="0"/>
        <w:rPr>
          <w:sz w:val="20"/>
          <w:szCs w:val="20"/>
          <w:color w:val="auto"/>
        </w:rPr>
      </w:pPr>
      <w:r>
        <w:rPr>
          <w:rFonts w:ascii="Arial" w:cs="Arial" w:eastAsia="Arial" w:hAnsi="Arial"/>
          <w:sz w:val="15"/>
          <w:szCs w:val="15"/>
          <w:color w:val="28C0DA"/>
        </w:rPr>
        <w:t>•</w:t>
      </w:r>
      <w:r>
        <w:rPr>
          <w:rFonts w:ascii="Arial" w:cs="Arial" w:eastAsia="Arial" w:hAnsi="Arial"/>
          <w:sz w:val="16"/>
          <w:szCs w:val="16"/>
          <w:color w:val="000000"/>
        </w:rPr>
        <w:t>   Positive inflows into our Target Date franchise and Alternatives, along with an expansion in our active ETF business.</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color w:val="28C0DA"/>
        </w:rPr>
        <w:t>•</w:t>
      </w:r>
      <w:r>
        <w:rPr>
          <w:rFonts w:ascii="Arial" w:cs="Arial" w:eastAsia="Arial" w:hAnsi="Arial"/>
          <w:sz w:val="16"/>
          <w:szCs w:val="16"/>
          <w:color w:val="000000"/>
        </w:rPr>
        <w:t>   We made meaningful progress in executing our strategic initiatives for Wealth, Global Growth, Individual Investors, and our operating strategy.</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28C0DA"/>
        </w:rPr>
        <w:t>•</w:t>
      </w:r>
      <w:r>
        <w:rPr>
          <w:rFonts w:ascii="Arial" w:cs="Arial" w:eastAsia="Arial" w:hAnsi="Arial"/>
          <w:sz w:val="16"/>
          <w:szCs w:val="16"/>
          <w:color w:val="000000"/>
        </w:rPr>
        <w:t>   We acquired Retiree, Inc. and embedded it into our offerings through our platforms.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28C0DA"/>
        </w:rPr>
        <w:t>•</w:t>
      </w:r>
      <w:r>
        <w:rPr>
          <w:rFonts w:ascii="Arial" w:cs="Arial" w:eastAsia="Arial" w:hAnsi="Arial"/>
          <w:sz w:val="16"/>
          <w:szCs w:val="16"/>
          <w:color w:val="000000"/>
        </w:rPr>
        <w:t>   We launched several products including T. Rowe Price OHA Select Private Credit Fund (OCREDIT), and new ETF and SMA strategies.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Strategy and Financial</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We have managed our financials to fund investment for growth through savings programs and to respond to market conditions. This includes: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28C0DA"/>
        </w:rPr>
        <w:t>•</w:t>
      </w:r>
      <w:r>
        <w:rPr>
          <w:rFonts w:ascii="Arial" w:cs="Arial" w:eastAsia="Arial" w:hAnsi="Arial"/>
          <w:sz w:val="15"/>
          <w:szCs w:val="15"/>
          <w:color w:val="000000"/>
        </w:rPr>
        <w:t>    Managing the pace of hiring through the year and implementing a targeted savings programs.</w:t>
      </w:r>
    </w:p>
    <w:p>
      <w:pPr>
        <w:spacing w:after="0" w:line="173" w:lineRule="exact"/>
        <w:rPr>
          <w:sz w:val="20"/>
          <w:szCs w:val="20"/>
          <w:color w:val="auto"/>
        </w:rPr>
      </w:pPr>
    </w:p>
    <w:p>
      <w:pPr>
        <w:ind w:right="340"/>
        <w:spacing w:after="0" w:line="480" w:lineRule="auto"/>
        <w:rPr>
          <w:sz w:val="20"/>
          <w:szCs w:val="20"/>
          <w:color w:val="auto"/>
        </w:rPr>
      </w:pPr>
      <w:r>
        <w:rPr>
          <w:rFonts w:ascii="Arial" w:cs="Arial" w:eastAsia="Arial" w:hAnsi="Arial"/>
          <w:sz w:val="15"/>
          <w:szCs w:val="15"/>
          <w:color w:val="28C0DA"/>
        </w:rPr>
        <w:t>•</w:t>
      </w:r>
      <w:r>
        <w:rPr>
          <w:rFonts w:ascii="Arial" w:cs="Arial" w:eastAsia="Arial" w:hAnsi="Arial"/>
          <w:sz w:val="16"/>
          <w:szCs w:val="16"/>
          <w:color w:val="000000"/>
        </w:rPr>
        <w:t>   Paid dividends in 2023 equal to $1.1 billion or $4.88 per share, and bought back 2.4 million common shares at average price of $104.63 per share.</w:t>
      </w:r>
      <w:r>
        <w:rPr>
          <w:rFonts w:ascii="Arial" w:cs="Arial" w:eastAsia="Arial" w:hAnsi="Arial"/>
          <w:sz w:val="15"/>
          <w:szCs w:val="15"/>
          <w:color w:val="28C0DA"/>
        </w:rPr>
        <w:t xml:space="preserve"> </w:t>
      </w:r>
      <w:r>
        <w:rPr>
          <w:rFonts w:ascii="Times New Roman" w:cs="Times New Roman" w:eastAsia="Times New Roman" w:hAnsi="Times New Roman"/>
          <w:sz w:val="16"/>
          <w:szCs w:val="16"/>
          <w:b w:val="1"/>
          <w:bCs w:val="1"/>
          <w:color w:val="000000"/>
        </w:rPr>
        <w:t>Operations, Technology and Talent</w:t>
      </w:r>
    </w:p>
    <w:p>
      <w:pPr>
        <w:ind w:left="180" w:right="380" w:hanging="179"/>
        <w:spacing w:after="0" w:line="289" w:lineRule="auto"/>
        <w:rPr>
          <w:sz w:val="20"/>
          <w:szCs w:val="20"/>
          <w:color w:val="auto"/>
        </w:rPr>
      </w:pPr>
      <w:r>
        <w:rPr>
          <w:rFonts w:ascii="Arial" w:cs="Arial" w:eastAsia="Arial" w:hAnsi="Arial"/>
          <w:sz w:val="15"/>
          <w:szCs w:val="15"/>
          <w:color w:val="28C0DA"/>
        </w:rPr>
        <w:t>•</w:t>
      </w:r>
      <w:r>
        <w:rPr>
          <w:rFonts w:ascii="Arial" w:cs="Arial" w:eastAsia="Arial" w:hAnsi="Arial"/>
          <w:sz w:val="16"/>
          <w:szCs w:val="16"/>
          <w:color w:val="000000"/>
        </w:rPr>
        <w:t>   We made progress with initiatives driving key strategic priorities for the organization, and put in place leadership to accelerate driving key strategic</w:t>
      </w:r>
      <w:r>
        <w:rPr>
          <w:rFonts w:ascii="Arial" w:cs="Arial" w:eastAsia="Arial" w:hAnsi="Arial"/>
          <w:sz w:val="15"/>
          <w:szCs w:val="15"/>
          <w:color w:val="28C0DA"/>
        </w:rPr>
        <w:t xml:space="preserve"> </w:t>
      </w:r>
      <w:r>
        <w:rPr>
          <w:rFonts w:ascii="Arial" w:cs="Arial" w:eastAsia="Arial" w:hAnsi="Arial"/>
          <w:sz w:val="16"/>
          <w:szCs w:val="16"/>
          <w:color w:val="000000"/>
        </w:rPr>
        <w:t>priorities.</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28C0DA"/>
        </w:rPr>
        <w:t>•</w:t>
      </w:r>
      <w:r>
        <w:rPr>
          <w:rFonts w:ascii="Arial" w:cs="Arial" w:eastAsia="Arial" w:hAnsi="Arial"/>
          <w:sz w:val="16"/>
          <w:szCs w:val="16"/>
          <w:color w:val="000000"/>
        </w:rPr>
        <w:t>   Made progress toward our long-term plan to make our operating and technology platforms more secure, efficient, and scalable.</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28C0DA"/>
        </w:rPr>
        <w:t>•</w:t>
      </w:r>
      <w:r>
        <w:rPr>
          <w:rFonts w:ascii="Arial" w:cs="Arial" w:eastAsia="Arial" w:hAnsi="Arial"/>
          <w:sz w:val="16"/>
          <w:szCs w:val="16"/>
          <w:color w:val="000000"/>
        </w:rPr>
        <w:t>   Continued to support DEI efforts and expect to meet goals with respect to interviewing diverse talent.</w:t>
      </w:r>
    </w:p>
    <w:p>
      <w:pPr>
        <w:spacing w:after="0" w:line="178" w:lineRule="exact"/>
        <w:rPr>
          <w:sz w:val="20"/>
          <w:szCs w:val="20"/>
          <w:color w:val="auto"/>
        </w:rPr>
      </w:pPr>
    </w:p>
    <w:p>
      <w:pPr>
        <w:ind w:left="180" w:right="220" w:hanging="179"/>
        <w:spacing w:after="0" w:line="289" w:lineRule="auto"/>
        <w:rPr>
          <w:sz w:val="20"/>
          <w:szCs w:val="20"/>
          <w:color w:val="auto"/>
        </w:rPr>
      </w:pPr>
      <w:r>
        <w:rPr>
          <w:rFonts w:ascii="Arial" w:cs="Arial" w:eastAsia="Arial" w:hAnsi="Arial"/>
          <w:sz w:val="15"/>
          <w:szCs w:val="15"/>
          <w:color w:val="28C0DA"/>
        </w:rPr>
        <w:t>•</w:t>
      </w:r>
      <w:r>
        <w:rPr>
          <w:rFonts w:ascii="Arial" w:cs="Arial" w:eastAsia="Arial" w:hAnsi="Arial"/>
          <w:sz w:val="16"/>
          <w:szCs w:val="16"/>
          <w:color w:val="000000"/>
        </w:rPr>
        <w:t>   Set a goal that for every open role at the firm, at least 40% of the candidates interviewed would be female and/or ethnically diverse. In 2023, we met</w:t>
      </w:r>
      <w:r>
        <w:rPr>
          <w:rFonts w:ascii="Arial" w:cs="Arial" w:eastAsia="Arial" w:hAnsi="Arial"/>
          <w:sz w:val="15"/>
          <w:szCs w:val="15"/>
          <w:color w:val="28C0DA"/>
        </w:rPr>
        <w:t xml:space="preserve"> </w:t>
      </w:r>
      <w:r>
        <w:rPr>
          <w:rFonts w:ascii="Arial" w:cs="Arial" w:eastAsia="Arial" w:hAnsi="Arial"/>
          <w:sz w:val="16"/>
          <w:szCs w:val="16"/>
          <w:color w:val="000000"/>
        </w:rPr>
        <w:t>these goals with 65% of all interviewed candidates being female and/or ethnically diverse.</w:t>
      </w:r>
    </w:p>
    <w:p>
      <w:pPr>
        <w:spacing w:after="0" w:line="107" w:lineRule="exact"/>
        <w:rPr>
          <w:sz w:val="20"/>
          <w:szCs w:val="20"/>
          <w:color w:val="auto"/>
        </w:rPr>
      </w:pPr>
    </w:p>
    <w:p>
      <w:pPr>
        <w:ind w:left="180" w:hanging="179"/>
        <w:spacing w:after="0" w:line="259" w:lineRule="auto"/>
        <w:rPr>
          <w:sz w:val="20"/>
          <w:szCs w:val="20"/>
          <w:color w:val="auto"/>
        </w:rPr>
      </w:pPr>
      <w:r>
        <w:rPr>
          <w:rFonts w:ascii="Arial" w:cs="Arial" w:eastAsia="Arial" w:hAnsi="Arial"/>
          <w:sz w:val="15"/>
          <w:szCs w:val="15"/>
          <w:color w:val="28C0DA"/>
        </w:rPr>
        <w:t>•</w:t>
      </w:r>
      <w:r>
        <w:rPr>
          <w:rFonts w:ascii="Arial" w:cs="Arial" w:eastAsia="Arial" w:hAnsi="Arial"/>
          <w:sz w:val="16"/>
          <w:szCs w:val="16"/>
          <w:color w:val="000000"/>
        </w:rPr>
        <w:t>   In 2023, our firmwide representation goals were that at least 33% of senior roles globally would be held by female associates and at least 9.1% of</w:t>
      </w:r>
      <w:r>
        <w:rPr>
          <w:rFonts w:ascii="Arial" w:cs="Arial" w:eastAsia="Arial" w:hAnsi="Arial"/>
          <w:sz w:val="15"/>
          <w:szCs w:val="15"/>
          <w:color w:val="28C0DA"/>
        </w:rPr>
        <w:t xml:space="preserve"> </w:t>
      </w:r>
      <w:r>
        <w:rPr>
          <w:rFonts w:ascii="Arial" w:cs="Arial" w:eastAsia="Arial" w:hAnsi="Arial"/>
          <w:sz w:val="16"/>
          <w:szCs w:val="16"/>
          <w:color w:val="000000"/>
        </w:rPr>
        <w:t>senior roles in the U.S. would be held by Black/African American, Hispanic or Latinx and/or American Indian associates. In 2023, we fell short of these goals as female associates held 32.5% of senior roles globally and Black/African American, Hispanic or Latinx and/or American Indian associates held 7.9% of senior roles in the U.S.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880" w:type="dxa"/>
            <w:vAlign w:val="bottom"/>
          </w:tcPr>
          <w:p>
            <w:pPr>
              <w:ind w:left="9500"/>
              <w:spacing w:after="0"/>
              <w:rPr>
                <w:sz w:val="20"/>
                <w:szCs w:val="20"/>
                <w:color w:val="auto"/>
              </w:rPr>
            </w:pPr>
            <w:r>
              <w:rPr>
                <w:rFonts w:ascii="Times New Roman" w:cs="Times New Roman" w:eastAsia="Times New Roman" w:hAnsi="Times New Roman"/>
                <w:sz w:val="13"/>
                <w:szCs w:val="13"/>
                <w:b w:val="1"/>
                <w:bCs w:val="1"/>
                <w:color w:val="auto"/>
              </w:rPr>
              <w:t xml:space="preserve">2024 </w:t>
            </w:r>
            <w:r>
              <w:rPr>
                <w:rFonts w:ascii="Times New Roman" w:cs="Times New Roman" w:eastAsia="Times New Roman" w:hAnsi="Times New Roman"/>
                <w:sz w:val="13"/>
                <w:szCs w:val="13"/>
                <w:color w:val="auto"/>
              </w:rPr>
              <w:t>Proxy Statement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244F"/>
              </w:rPr>
              <w:t>53</w:t>
            </w:r>
          </w:p>
        </w:tc>
      </w:tr>
      <w:tr>
        <w:trPr>
          <w:trHeight w:val="185"/>
        </w:trPr>
        <w:tc>
          <w:tcPr>
            <w:tcW w:w="108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r>
    </w:tbl>
    <w:p>
      <w:pPr>
        <w:sectPr>
          <w:pgSz w:w="11900" w:h="16838" w:orient="portrait"/>
          <w:cols w:equalWidth="0" w:num="1">
            <w:col w:w="11240"/>
          </w:cols>
          <w:pgMar w:left="320" w:top="223"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u w:val="single" w:color="auto"/>
          <w:color w:val="0000EE"/>
        </w:rPr>
        <w:t>Table of Contents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Individual Performance Considerations</w:t>
      </w:r>
    </w:p>
    <w:p>
      <w:pPr>
        <w:spacing w:after="0" w:line="125" w:lineRule="exact"/>
        <w:rPr>
          <w:sz w:val="20"/>
          <w:szCs w:val="20"/>
          <w:color w:val="auto"/>
        </w:rPr>
      </w:pPr>
    </w:p>
    <w:p>
      <w:pPr>
        <w:ind w:right="1000"/>
        <w:spacing w:after="0" w:line="278" w:lineRule="auto"/>
        <w:rPr>
          <w:sz w:val="20"/>
          <w:szCs w:val="20"/>
          <w:color w:val="auto"/>
        </w:rPr>
      </w:pPr>
      <w:r>
        <w:rPr>
          <w:rFonts w:ascii="Arial" w:cs="Arial" w:eastAsia="Arial" w:hAnsi="Arial"/>
          <w:sz w:val="15"/>
          <w:szCs w:val="15"/>
          <w:color w:val="auto"/>
        </w:rPr>
        <w:t>In addition to contributions to 2023 priorities, and the Company's financial and strategic performance highlighted in the executive summary on page 51, the Compensation Committee considered the following individual contributions when setting 2023 compensation for our NEOs.</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0254F"/>
        </w:rPr>
        <w:t>Robert W. Sharps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41427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2480" cy="4142740"/>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line="271" w:lineRule="auto"/>
        <w:rPr>
          <w:sz w:val="20"/>
          <w:szCs w:val="20"/>
          <w:color w:val="auto"/>
        </w:rPr>
      </w:pPr>
      <w:r>
        <w:rPr>
          <w:rFonts w:ascii="Arial" w:cs="Arial" w:eastAsia="Arial" w:hAnsi="Arial"/>
          <w:sz w:val="17"/>
          <w:szCs w:val="17"/>
          <w:b w:val="1"/>
          <w:bCs w:val="1"/>
          <w:color w:val="00254F"/>
        </w:rPr>
        <w:t>Chief Executive Officer and President</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00244F"/>
        </w:rPr>
        <w:t>ROLE CONSIDERATIONS</w:t>
      </w:r>
    </w:p>
    <w:p>
      <w:pPr>
        <w:spacing w:after="0" w:line="198" w:lineRule="exact"/>
        <w:rPr>
          <w:sz w:val="20"/>
          <w:szCs w:val="20"/>
          <w:color w:val="auto"/>
        </w:rPr>
      </w:pPr>
    </w:p>
    <w:p>
      <w:pPr>
        <w:ind w:left="180" w:right="420" w:hanging="179"/>
        <w:spacing w:after="0" w:line="293" w:lineRule="auto"/>
        <w:rPr>
          <w:sz w:val="20"/>
          <w:szCs w:val="20"/>
          <w:color w:val="auto"/>
        </w:rPr>
      </w:pPr>
      <w:r>
        <w:rPr>
          <w:rFonts w:ascii="Times New Roman" w:cs="Times New Roman" w:eastAsia="Times New Roman" w:hAnsi="Times New Roman"/>
          <w:sz w:val="15"/>
          <w:szCs w:val="15"/>
          <w:color w:val="28C0DA"/>
        </w:rPr>
        <w:t>●</w:t>
      </w:r>
      <w:r>
        <w:rPr>
          <w:rFonts w:ascii="Arial" w:cs="Arial" w:eastAsia="Arial" w:hAnsi="Arial"/>
          <w:sz w:val="15"/>
          <w:szCs w:val="15"/>
          <w:color w:val="000000"/>
        </w:rPr>
        <w:t>    Leadership, responsibility, and performance as CEO and president and chair of our Management Committee and Management</w:t>
      </w:r>
      <w:r>
        <w:rPr>
          <w:rFonts w:ascii="Times New Roman" w:cs="Times New Roman" w:eastAsia="Times New Roman" w:hAnsi="Times New Roman"/>
          <w:sz w:val="15"/>
          <w:szCs w:val="15"/>
          <w:color w:val="28C0DA"/>
        </w:rPr>
        <w:t xml:space="preserve"> </w:t>
      </w:r>
      <w:r>
        <w:rPr>
          <w:rFonts w:ascii="Arial" w:cs="Arial" w:eastAsia="Arial" w:hAnsi="Arial"/>
          <w:sz w:val="15"/>
          <w:szCs w:val="15"/>
          <w:color w:val="000000"/>
        </w:rPr>
        <w:t>Compensation and Development Committee.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00244F"/>
        </w:rPr>
        <w:t>INDIVIDUAL ACHIEVEMENTS</w:t>
      </w:r>
    </w:p>
    <w:p>
      <w:pPr>
        <w:spacing w:after="0" w:line="198" w:lineRule="exact"/>
        <w:rPr>
          <w:sz w:val="20"/>
          <w:szCs w:val="20"/>
          <w:color w:val="auto"/>
        </w:rPr>
      </w:pPr>
    </w:p>
    <w:p>
      <w:pPr>
        <w:ind w:left="140" w:hanging="130"/>
        <w:spacing w:after="0"/>
        <w:tabs>
          <w:tab w:leader="none" w:pos="140" w:val="left"/>
        </w:tabs>
        <w:numPr>
          <w:ilvl w:val="0"/>
          <w:numId w:val="75"/>
        </w:numPr>
        <w:rPr>
          <w:rFonts w:ascii="Times New Roman" w:cs="Times New Roman" w:eastAsia="Times New Roman" w:hAnsi="Times New Roman"/>
          <w:sz w:val="15"/>
          <w:szCs w:val="15"/>
          <w:color w:val="28C0DA"/>
        </w:rPr>
      </w:pPr>
      <w:r>
        <w:rPr>
          <w:rFonts w:ascii="Times New Roman" w:cs="Times New Roman" w:eastAsia="Times New Roman" w:hAnsi="Times New Roman"/>
          <w:sz w:val="15"/>
          <w:szCs w:val="15"/>
          <w:color w:val="auto"/>
        </w:rPr>
        <w:t>  </w:t>
      </w:r>
      <w:r>
        <w:rPr>
          <w:rFonts w:ascii="Arial" w:cs="Arial" w:eastAsia="Arial" w:hAnsi="Arial"/>
          <w:sz w:val="15"/>
          <w:szCs w:val="15"/>
          <w:color w:val="auto"/>
        </w:rPr>
        <w:t>Led execution of the firm's strategic plan to position the firm for future growth.</w:t>
      </w:r>
    </w:p>
    <w:p>
      <w:pPr>
        <w:spacing w:after="0" w:line="76" w:lineRule="exact"/>
        <w:rPr>
          <w:rFonts w:ascii="Times New Roman" w:cs="Times New Roman" w:eastAsia="Times New Roman" w:hAnsi="Times New Roman"/>
          <w:sz w:val="15"/>
          <w:szCs w:val="15"/>
          <w:color w:val="28C0DA"/>
        </w:rPr>
      </w:pPr>
    </w:p>
    <w:p>
      <w:pPr>
        <w:ind w:left="180" w:hanging="170"/>
        <w:spacing w:after="0" w:line="295" w:lineRule="auto"/>
        <w:tabs>
          <w:tab w:leader="none" w:pos="128" w:val="left"/>
        </w:tabs>
        <w:numPr>
          <w:ilvl w:val="0"/>
          <w:numId w:val="75"/>
        </w:numPr>
        <w:rPr>
          <w:rFonts w:ascii="Times New Roman" w:cs="Times New Roman" w:eastAsia="Times New Roman" w:hAnsi="Times New Roman"/>
          <w:sz w:val="15"/>
          <w:szCs w:val="15"/>
          <w:color w:val="28C0DA"/>
        </w:rPr>
      </w:pPr>
      <w:r>
        <w:rPr>
          <w:rFonts w:ascii="Arial" w:cs="Arial" w:eastAsia="Arial" w:hAnsi="Arial"/>
          <w:sz w:val="15"/>
          <w:szCs w:val="15"/>
          <w:color w:val="auto"/>
        </w:rPr>
        <w:t>  Delivered improved investment performance, with both absolute and relative terms for the majority of our actively managed strategies improving in 2023.</w:t>
      </w:r>
    </w:p>
    <w:p>
      <w:pPr>
        <w:ind w:left="180" w:right="20" w:hanging="170"/>
        <w:spacing w:after="0" w:line="295" w:lineRule="auto"/>
        <w:tabs>
          <w:tab w:leader="none" w:pos="128" w:val="left"/>
        </w:tabs>
        <w:numPr>
          <w:ilvl w:val="0"/>
          <w:numId w:val="75"/>
        </w:numPr>
        <w:rPr>
          <w:rFonts w:ascii="Times New Roman" w:cs="Times New Roman" w:eastAsia="Times New Roman" w:hAnsi="Times New Roman"/>
          <w:sz w:val="15"/>
          <w:szCs w:val="15"/>
          <w:color w:val="28C0DA"/>
        </w:rPr>
      </w:pPr>
      <w:r>
        <w:rPr>
          <w:rFonts w:ascii="Arial" w:cs="Arial" w:eastAsia="Arial" w:hAnsi="Arial"/>
          <w:sz w:val="15"/>
          <w:szCs w:val="15"/>
          <w:color w:val="auto"/>
        </w:rPr>
        <w:t>  Engaged associates across levels and locations to strengthen our culture of putting clients first and pursuing excellence. Recognized as one of Fortune magazine's World's Most Admired Companies in 2023 for the 13th consecutive year.</w:t>
      </w:r>
    </w:p>
    <w:p>
      <w:pPr>
        <w:spacing w:after="0" w:line="12" w:lineRule="exact"/>
        <w:rPr>
          <w:rFonts w:ascii="Times New Roman" w:cs="Times New Roman" w:eastAsia="Times New Roman" w:hAnsi="Times New Roman"/>
          <w:sz w:val="15"/>
          <w:szCs w:val="15"/>
          <w:color w:val="28C0DA"/>
        </w:rPr>
      </w:pPr>
    </w:p>
    <w:p>
      <w:pPr>
        <w:ind w:left="140" w:hanging="130"/>
        <w:spacing w:after="0"/>
        <w:tabs>
          <w:tab w:leader="none" w:pos="140" w:val="left"/>
        </w:tabs>
        <w:numPr>
          <w:ilvl w:val="0"/>
          <w:numId w:val="75"/>
        </w:numPr>
        <w:rPr>
          <w:rFonts w:ascii="Times New Roman" w:cs="Times New Roman" w:eastAsia="Times New Roman" w:hAnsi="Times New Roman"/>
          <w:sz w:val="15"/>
          <w:szCs w:val="15"/>
          <w:color w:val="28C0DA"/>
        </w:rPr>
      </w:pPr>
      <w:r>
        <w:rPr>
          <w:rFonts w:ascii="Arial" w:cs="Arial" w:eastAsia="Arial" w:hAnsi="Arial"/>
          <w:sz w:val="15"/>
          <w:szCs w:val="15"/>
          <w:color w:val="auto"/>
        </w:rPr>
        <w:t>  Managed successful leadership transitions, including heads of Global Distribution and Fixed Income.</w:t>
      </w:r>
    </w:p>
    <w:p>
      <w:pPr>
        <w:spacing w:after="0" w:line="76" w:lineRule="exact"/>
        <w:rPr>
          <w:rFonts w:ascii="Times New Roman" w:cs="Times New Roman" w:eastAsia="Times New Roman" w:hAnsi="Times New Roman"/>
          <w:sz w:val="15"/>
          <w:szCs w:val="15"/>
          <w:color w:val="28C0DA"/>
        </w:rPr>
      </w:pPr>
    </w:p>
    <w:p>
      <w:pPr>
        <w:ind w:left="140" w:hanging="130"/>
        <w:spacing w:after="0"/>
        <w:tabs>
          <w:tab w:leader="none" w:pos="140" w:val="left"/>
        </w:tabs>
        <w:numPr>
          <w:ilvl w:val="0"/>
          <w:numId w:val="75"/>
        </w:numPr>
        <w:rPr>
          <w:rFonts w:ascii="Times New Roman" w:cs="Times New Roman" w:eastAsia="Times New Roman" w:hAnsi="Times New Roman"/>
          <w:sz w:val="15"/>
          <w:szCs w:val="15"/>
          <w:color w:val="28C0DA"/>
        </w:rPr>
      </w:pPr>
      <w:r>
        <w:rPr>
          <w:rFonts w:ascii="Arial" w:cs="Arial" w:eastAsia="Arial" w:hAnsi="Arial"/>
          <w:sz w:val="15"/>
          <w:szCs w:val="15"/>
          <w:color w:val="auto"/>
        </w:rPr>
        <w:t>  Made key hires, including our Chief Technology Officer, who will play a critical role in delivering on our corporate strategy.</w:t>
      </w:r>
    </w:p>
    <w:p>
      <w:pPr>
        <w:spacing w:after="0" w:line="76" w:lineRule="exact"/>
        <w:rPr>
          <w:rFonts w:ascii="Times New Roman" w:cs="Times New Roman" w:eastAsia="Times New Roman" w:hAnsi="Times New Roman"/>
          <w:sz w:val="15"/>
          <w:szCs w:val="15"/>
          <w:color w:val="28C0DA"/>
        </w:rPr>
      </w:pPr>
    </w:p>
    <w:p>
      <w:pPr>
        <w:ind w:left="180" w:right="560" w:hanging="170"/>
        <w:spacing w:after="0" w:line="295" w:lineRule="auto"/>
        <w:tabs>
          <w:tab w:leader="none" w:pos="128" w:val="left"/>
        </w:tabs>
        <w:numPr>
          <w:ilvl w:val="0"/>
          <w:numId w:val="75"/>
        </w:numPr>
        <w:rPr>
          <w:rFonts w:ascii="Times New Roman" w:cs="Times New Roman" w:eastAsia="Times New Roman" w:hAnsi="Times New Roman"/>
          <w:sz w:val="15"/>
          <w:szCs w:val="15"/>
          <w:color w:val="28C0DA"/>
        </w:rPr>
      </w:pPr>
      <w:r>
        <w:rPr>
          <w:rFonts w:ascii="Arial" w:cs="Arial" w:eastAsia="Arial" w:hAnsi="Arial"/>
          <w:sz w:val="15"/>
          <w:szCs w:val="15"/>
          <w:color w:val="auto"/>
        </w:rPr>
        <w:t>  Limited turnover of investment professionals, with average tenure for our portfolio managers exceeding 17 years, with a 95% retention rate.</w:t>
      </w:r>
    </w:p>
    <w:p>
      <w:pPr>
        <w:spacing w:after="0" w:line="12" w:lineRule="exact"/>
        <w:rPr>
          <w:rFonts w:ascii="Times New Roman" w:cs="Times New Roman" w:eastAsia="Times New Roman" w:hAnsi="Times New Roman"/>
          <w:sz w:val="15"/>
          <w:szCs w:val="15"/>
          <w:color w:val="28C0DA"/>
        </w:rPr>
      </w:pPr>
    </w:p>
    <w:p>
      <w:pPr>
        <w:ind w:left="180" w:right="400" w:hanging="170"/>
        <w:spacing w:after="0" w:line="295" w:lineRule="auto"/>
        <w:tabs>
          <w:tab w:leader="none" w:pos="128" w:val="left"/>
        </w:tabs>
        <w:numPr>
          <w:ilvl w:val="0"/>
          <w:numId w:val="75"/>
        </w:numPr>
        <w:rPr>
          <w:rFonts w:ascii="Times New Roman" w:cs="Times New Roman" w:eastAsia="Times New Roman" w:hAnsi="Times New Roman"/>
          <w:sz w:val="15"/>
          <w:szCs w:val="15"/>
          <w:color w:val="28C0DA"/>
        </w:rPr>
      </w:pPr>
      <w:r>
        <w:rPr>
          <w:rFonts w:ascii="Arial" w:cs="Arial" w:eastAsia="Arial" w:hAnsi="Arial"/>
          <w:sz w:val="15"/>
          <w:szCs w:val="15"/>
          <w:color w:val="auto"/>
        </w:rPr>
        <w:t>  Broadened range of products to ensure we deliver investment strategies in our clients' vehicle of choice, including filling out our roster of SMAs strategies and expanding our ETF business.</w:t>
      </w:r>
    </w:p>
    <w:p>
      <w:pPr>
        <w:ind w:left="140" w:hanging="130"/>
        <w:spacing w:after="0"/>
        <w:tabs>
          <w:tab w:leader="none" w:pos="140" w:val="left"/>
        </w:tabs>
        <w:numPr>
          <w:ilvl w:val="0"/>
          <w:numId w:val="75"/>
        </w:numPr>
        <w:rPr>
          <w:rFonts w:ascii="Times New Roman" w:cs="Times New Roman" w:eastAsia="Times New Roman" w:hAnsi="Times New Roman"/>
          <w:sz w:val="15"/>
          <w:szCs w:val="15"/>
          <w:color w:val="28C0DA"/>
        </w:rPr>
      </w:pPr>
      <w:r>
        <w:rPr>
          <w:rFonts w:ascii="Times New Roman" w:cs="Times New Roman" w:eastAsia="Times New Roman" w:hAnsi="Times New Roman"/>
          <w:sz w:val="15"/>
          <w:szCs w:val="15"/>
          <w:color w:val="auto"/>
        </w:rPr>
        <w:t>  </w:t>
      </w:r>
      <w:r>
        <w:rPr>
          <w:rFonts w:ascii="Arial" w:cs="Arial" w:eastAsia="Arial" w:hAnsi="Arial"/>
          <w:sz w:val="15"/>
          <w:szCs w:val="15"/>
          <w:color w:val="auto"/>
        </w:rPr>
        <w:t>Launched first joint, co-branded product with OHA, the T. Rowe Price OHA Select Private Credit Fund (OCREDIT).</w:t>
      </w:r>
    </w:p>
    <w:p>
      <w:pPr>
        <w:spacing w:after="0" w:line="76" w:lineRule="exact"/>
        <w:rPr>
          <w:rFonts w:ascii="Times New Roman" w:cs="Times New Roman" w:eastAsia="Times New Roman" w:hAnsi="Times New Roman"/>
          <w:sz w:val="15"/>
          <w:szCs w:val="15"/>
          <w:color w:val="28C0DA"/>
        </w:rPr>
      </w:pPr>
    </w:p>
    <w:p>
      <w:pPr>
        <w:ind w:left="140" w:hanging="130"/>
        <w:spacing w:after="0"/>
        <w:tabs>
          <w:tab w:leader="none" w:pos="140" w:val="left"/>
        </w:tabs>
        <w:numPr>
          <w:ilvl w:val="0"/>
          <w:numId w:val="75"/>
        </w:numPr>
        <w:rPr>
          <w:rFonts w:ascii="Times New Roman" w:cs="Times New Roman" w:eastAsia="Times New Roman" w:hAnsi="Times New Roman"/>
          <w:sz w:val="15"/>
          <w:szCs w:val="15"/>
          <w:color w:val="28C0DA"/>
        </w:rPr>
      </w:pPr>
      <w:r>
        <w:rPr>
          <w:rFonts w:ascii="Times New Roman" w:cs="Times New Roman" w:eastAsia="Times New Roman" w:hAnsi="Times New Roman"/>
          <w:sz w:val="15"/>
          <w:szCs w:val="15"/>
          <w:color w:val="auto"/>
        </w:rPr>
        <w:t>  </w:t>
      </w:r>
      <w:r>
        <w:rPr>
          <w:rFonts w:ascii="Arial" w:cs="Arial" w:eastAsia="Arial" w:hAnsi="Arial"/>
          <w:sz w:val="15"/>
          <w:szCs w:val="15"/>
          <w:color w:val="auto"/>
        </w:rPr>
        <w:t>Expanded client coverage in global distribution and advanced distribution partnerships.</w:t>
      </w:r>
    </w:p>
    <w:p>
      <w:pPr>
        <w:spacing w:after="0" w:line="89" w:lineRule="exact"/>
        <w:rPr>
          <w:rFonts w:ascii="Times New Roman" w:cs="Times New Roman" w:eastAsia="Times New Roman" w:hAnsi="Times New Roman"/>
          <w:sz w:val="15"/>
          <w:szCs w:val="15"/>
          <w:color w:val="28C0DA"/>
        </w:rPr>
      </w:pPr>
    </w:p>
    <w:p>
      <w:pPr>
        <w:ind w:left="180" w:right="220" w:hanging="170"/>
        <w:spacing w:after="0" w:line="295" w:lineRule="auto"/>
        <w:tabs>
          <w:tab w:leader="none" w:pos="128" w:val="left"/>
        </w:tabs>
        <w:numPr>
          <w:ilvl w:val="0"/>
          <w:numId w:val="75"/>
        </w:numPr>
        <w:rPr>
          <w:rFonts w:ascii="Times New Roman" w:cs="Times New Roman" w:eastAsia="Times New Roman" w:hAnsi="Times New Roman"/>
          <w:sz w:val="15"/>
          <w:szCs w:val="15"/>
          <w:color w:val="28C0DA"/>
        </w:rPr>
      </w:pPr>
      <w:r>
        <w:rPr>
          <w:rFonts w:ascii="Arial" w:cs="Arial" w:eastAsia="Arial" w:hAnsi="Arial"/>
          <w:sz w:val="15"/>
          <w:szCs w:val="15"/>
          <w:color w:val="auto"/>
        </w:rPr>
        <w:t>  Accelerated improvements in digital and client experiences through expanded capabilities, in support of our commitment to deliver world-class client service, improve productivity and scale, and drive client and asset growth.</w:t>
      </w:r>
    </w:p>
    <w:p>
      <w:pPr>
        <w:ind w:left="180" w:right="60" w:hanging="170"/>
        <w:spacing w:after="0" w:line="295" w:lineRule="auto"/>
        <w:tabs>
          <w:tab w:leader="none" w:pos="128" w:val="left"/>
        </w:tabs>
        <w:numPr>
          <w:ilvl w:val="0"/>
          <w:numId w:val="75"/>
        </w:numPr>
        <w:rPr>
          <w:rFonts w:ascii="Times New Roman" w:cs="Times New Roman" w:eastAsia="Times New Roman" w:hAnsi="Times New Roman"/>
          <w:sz w:val="15"/>
          <w:szCs w:val="15"/>
          <w:color w:val="28C0DA"/>
        </w:rPr>
      </w:pPr>
      <w:r>
        <w:rPr>
          <w:rFonts w:ascii="Arial" w:cs="Arial" w:eastAsia="Arial" w:hAnsi="Arial"/>
          <w:sz w:val="15"/>
          <w:szCs w:val="15"/>
          <w:color w:val="auto"/>
        </w:rPr>
        <w:t>  Oversaw efforts to manage expenses, drive efficiency, and create a cost structure that's appropriate for the size and scale of the firm today.</w:t>
      </w:r>
    </w:p>
    <w:p>
      <w:pPr>
        <w:ind w:left="180" w:right="420" w:hanging="170"/>
        <w:spacing w:after="0" w:line="295" w:lineRule="auto"/>
        <w:tabs>
          <w:tab w:leader="none" w:pos="128" w:val="left"/>
        </w:tabs>
        <w:numPr>
          <w:ilvl w:val="0"/>
          <w:numId w:val="75"/>
        </w:numPr>
        <w:rPr>
          <w:rFonts w:ascii="Times New Roman" w:cs="Times New Roman" w:eastAsia="Times New Roman" w:hAnsi="Times New Roman"/>
          <w:sz w:val="15"/>
          <w:szCs w:val="15"/>
          <w:color w:val="28C0DA"/>
        </w:rPr>
      </w:pPr>
      <w:r>
        <w:rPr>
          <w:rFonts w:ascii="Arial" w:cs="Arial" w:eastAsia="Arial" w:hAnsi="Arial"/>
          <w:sz w:val="15"/>
          <w:szCs w:val="15"/>
          <w:color w:val="auto"/>
        </w:rPr>
        <w:t>  Drove the firm's DEI strategy and reinforced commitment to ensuring a diverse and inclusive workplace through a firmwide DEI performance objective and participation in business resource group events.</w:t>
      </w:r>
    </w:p>
    <w:p>
      <w:pPr>
        <w:spacing w:after="0" w:line="12" w:lineRule="exact"/>
        <w:rPr>
          <w:rFonts w:ascii="Times New Roman" w:cs="Times New Roman" w:eastAsia="Times New Roman" w:hAnsi="Times New Roman"/>
          <w:sz w:val="15"/>
          <w:szCs w:val="15"/>
          <w:color w:val="28C0DA"/>
        </w:rPr>
      </w:pPr>
    </w:p>
    <w:p>
      <w:pPr>
        <w:ind w:left="180" w:right="200" w:hanging="170"/>
        <w:spacing w:after="0" w:line="295" w:lineRule="auto"/>
        <w:tabs>
          <w:tab w:leader="none" w:pos="128" w:val="left"/>
        </w:tabs>
        <w:numPr>
          <w:ilvl w:val="0"/>
          <w:numId w:val="75"/>
        </w:numPr>
        <w:rPr>
          <w:rFonts w:ascii="Times New Roman" w:cs="Times New Roman" w:eastAsia="Times New Roman" w:hAnsi="Times New Roman"/>
          <w:sz w:val="15"/>
          <w:szCs w:val="15"/>
          <w:color w:val="28C0DA"/>
        </w:rPr>
      </w:pPr>
      <w:r>
        <w:rPr>
          <w:rFonts w:ascii="Arial" w:cs="Arial" w:eastAsia="Arial" w:hAnsi="Arial"/>
          <w:sz w:val="15"/>
          <w:szCs w:val="15"/>
          <w:color w:val="auto"/>
        </w:rPr>
        <w:t>  Encouraged the adoption of new capabilities, like Generative AI, to improve our investment process and operational efficiency and enhance client interaction.</w:t>
      </w:r>
    </w:p>
    <w:p>
      <w:pPr>
        <w:ind w:left="180" w:right="60" w:hanging="170"/>
        <w:spacing w:after="0" w:line="295" w:lineRule="auto"/>
        <w:tabs>
          <w:tab w:leader="none" w:pos="128" w:val="left"/>
        </w:tabs>
        <w:numPr>
          <w:ilvl w:val="0"/>
          <w:numId w:val="75"/>
        </w:numPr>
        <w:rPr>
          <w:rFonts w:ascii="Times New Roman" w:cs="Times New Roman" w:eastAsia="Times New Roman" w:hAnsi="Times New Roman"/>
          <w:sz w:val="15"/>
          <w:szCs w:val="15"/>
          <w:color w:val="28C0DA"/>
        </w:rPr>
      </w:pPr>
      <w:r>
        <w:rPr>
          <w:rFonts w:ascii="Arial" w:cs="Arial" w:eastAsia="Arial" w:hAnsi="Arial"/>
          <w:sz w:val="15"/>
          <w:szCs w:val="15"/>
          <w:color w:val="auto"/>
        </w:rPr>
        <w:t>  Returned $1.38 billion to stockholders in 2023 through regular dividends and an active share repurchase program, while maintaining a solid balance sheet.</w:t>
      </w:r>
    </w:p>
    <w:p>
      <w:pPr>
        <w:spacing w:after="0" w:line="200" w:lineRule="exact"/>
        <w:rPr>
          <w:sz w:val="20"/>
          <w:szCs w:val="20"/>
          <w:color w:val="auto"/>
        </w:rPr>
      </w:pPr>
    </w:p>
    <w:p>
      <w:pPr>
        <w:sectPr>
          <w:pgSz w:w="11900" w:h="16838" w:orient="portrait"/>
          <w:cols w:equalWidth="0" w:num="2">
            <w:col w:w="1880" w:space="360"/>
            <w:col w:w="9000"/>
          </w:cols>
          <w:pgMar w:left="320" w:top="310" w:right="339" w:bottom="1440" w:gutter="0" w:footer="0" w:header="0"/>
          <w:type w:val="continuous"/>
        </w:sectPr>
      </w:pPr>
    </w:p>
    <w:p>
      <w:pPr>
        <w:spacing w:after="0" w:line="4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3"/>
          <w:szCs w:val="13"/>
          <w:b w:val="1"/>
          <w:bCs w:val="1"/>
          <w:color w:val="00244F"/>
        </w:rPr>
        <w:t>54</w:t>
      </w:r>
      <w:r>
        <w:rPr>
          <w:sz w:val="20"/>
          <w:szCs w:val="20"/>
          <w:color w:val="auto"/>
        </w:rPr>
        <w:tab/>
      </w:r>
      <w:r>
        <w:rPr>
          <w:rFonts w:ascii="Times New Roman" w:cs="Times New Roman" w:eastAsia="Times New Roman" w:hAnsi="Times New Roman"/>
          <w:sz w:val="13"/>
          <w:szCs w:val="13"/>
          <w:b w:val="1"/>
          <w:bCs w:val="1"/>
          <w:color w:val="00244F"/>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42480" cy="76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7"/>
          <w:szCs w:val="17"/>
          <w:u w:val="single" w:color="auto"/>
          <w:color w:val="0000EE"/>
        </w:rPr>
        <w:t>Table of Contents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00244F"/>
        </w:rPr>
        <w:t>Jennifer B. Dardis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60325</wp:posOffset>
            </wp:positionV>
            <wp:extent cx="7142480" cy="23964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2480" cy="239649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0"/>
        <w:spacing w:after="0" w:line="289" w:lineRule="auto"/>
        <w:rPr>
          <w:sz w:val="20"/>
          <w:szCs w:val="20"/>
          <w:color w:val="auto"/>
        </w:rPr>
      </w:pPr>
      <w:r>
        <w:rPr>
          <w:rFonts w:ascii="Arial" w:cs="Arial" w:eastAsia="Arial" w:hAnsi="Arial"/>
          <w:sz w:val="15"/>
          <w:szCs w:val="15"/>
          <w:b w:val="1"/>
          <w:bCs w:val="1"/>
          <w:color w:val="00254F"/>
        </w:rPr>
        <w:t>Chief Financial Officer and Treasurer</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00244F"/>
        </w:rPr>
        <w:t>ROLE CONSIDERATIONS</w:t>
      </w:r>
    </w:p>
    <w:p>
      <w:pPr>
        <w:spacing w:after="0" w:line="198" w:lineRule="exact"/>
        <w:rPr>
          <w:sz w:val="20"/>
          <w:szCs w:val="20"/>
          <w:color w:val="auto"/>
        </w:rPr>
      </w:pPr>
    </w:p>
    <w:p>
      <w:pPr>
        <w:ind w:left="140" w:hanging="130"/>
        <w:spacing w:after="0"/>
        <w:tabs>
          <w:tab w:leader="none" w:pos="140" w:val="left"/>
        </w:tabs>
        <w:numPr>
          <w:ilvl w:val="0"/>
          <w:numId w:val="76"/>
        </w:numPr>
        <w:rPr>
          <w:rFonts w:ascii="Arial" w:cs="Arial" w:eastAsia="Arial" w:hAnsi="Arial"/>
          <w:sz w:val="15"/>
          <w:szCs w:val="15"/>
          <w:color w:val="28C0DA"/>
        </w:rPr>
      </w:pPr>
      <w:r>
        <w:rPr>
          <w:rFonts w:ascii="Arial" w:cs="Arial" w:eastAsia="Arial" w:hAnsi="Arial"/>
          <w:sz w:val="15"/>
          <w:szCs w:val="15"/>
          <w:color w:val="auto"/>
        </w:rPr>
        <w:t> Leadership, responsibility and performance as CFO and treasurer and head of finance and strategy functions.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00244F"/>
        </w:rPr>
        <w:t>INDIVIDUAL ACHIEVEMENTS</w:t>
      </w:r>
    </w:p>
    <w:p>
      <w:pPr>
        <w:spacing w:after="0" w:line="198" w:lineRule="exact"/>
        <w:rPr>
          <w:sz w:val="20"/>
          <w:szCs w:val="20"/>
          <w:color w:val="auto"/>
        </w:rPr>
      </w:pPr>
    </w:p>
    <w:p>
      <w:pPr>
        <w:ind w:left="140" w:hanging="130"/>
        <w:spacing w:after="0"/>
        <w:tabs>
          <w:tab w:leader="none" w:pos="140" w:val="left"/>
        </w:tabs>
        <w:numPr>
          <w:ilvl w:val="0"/>
          <w:numId w:val="77"/>
        </w:numPr>
        <w:rPr>
          <w:rFonts w:ascii="Arial" w:cs="Arial" w:eastAsia="Arial" w:hAnsi="Arial"/>
          <w:sz w:val="15"/>
          <w:szCs w:val="15"/>
          <w:color w:val="28C0DA"/>
        </w:rPr>
      </w:pPr>
      <w:r>
        <w:rPr>
          <w:rFonts w:ascii="Arial" w:cs="Arial" w:eastAsia="Arial" w:hAnsi="Arial"/>
          <w:sz w:val="15"/>
          <w:szCs w:val="15"/>
          <w:color w:val="auto"/>
        </w:rPr>
        <w:t>  Oversaw the execution of the firm's strategic initiatives to return the firm to organic growth over time.</w:t>
      </w:r>
    </w:p>
    <w:p>
      <w:pPr>
        <w:spacing w:after="0" w:line="64" w:lineRule="exact"/>
        <w:rPr>
          <w:rFonts w:ascii="Arial" w:cs="Arial" w:eastAsia="Arial" w:hAnsi="Arial"/>
          <w:sz w:val="15"/>
          <w:szCs w:val="15"/>
          <w:color w:val="28C0DA"/>
        </w:rPr>
      </w:pPr>
    </w:p>
    <w:p>
      <w:pPr>
        <w:ind w:left="140" w:hanging="130"/>
        <w:spacing w:after="0"/>
        <w:tabs>
          <w:tab w:leader="none" w:pos="140" w:val="left"/>
        </w:tabs>
        <w:numPr>
          <w:ilvl w:val="0"/>
          <w:numId w:val="77"/>
        </w:numPr>
        <w:rPr>
          <w:rFonts w:ascii="Arial" w:cs="Arial" w:eastAsia="Arial" w:hAnsi="Arial"/>
          <w:sz w:val="15"/>
          <w:szCs w:val="15"/>
          <w:color w:val="28C0DA"/>
        </w:rPr>
      </w:pPr>
      <w:r>
        <w:rPr>
          <w:rFonts w:ascii="Arial" w:cs="Arial" w:eastAsia="Arial" w:hAnsi="Arial"/>
          <w:sz w:val="15"/>
          <w:szCs w:val="15"/>
          <w:color w:val="auto"/>
        </w:rPr>
        <w:t>   Established quarterly earnings calls with investors.</w:t>
      </w:r>
    </w:p>
    <w:p>
      <w:pPr>
        <w:spacing w:after="0" w:line="64" w:lineRule="exact"/>
        <w:rPr>
          <w:rFonts w:ascii="Arial" w:cs="Arial" w:eastAsia="Arial" w:hAnsi="Arial"/>
          <w:sz w:val="15"/>
          <w:szCs w:val="15"/>
          <w:color w:val="28C0DA"/>
        </w:rPr>
      </w:pPr>
    </w:p>
    <w:p>
      <w:pPr>
        <w:jc w:val="both"/>
        <w:ind w:left="180" w:right="80" w:hanging="170"/>
        <w:spacing w:after="0" w:line="261" w:lineRule="auto"/>
        <w:tabs>
          <w:tab w:leader="none" w:pos="132" w:val="left"/>
        </w:tabs>
        <w:numPr>
          <w:ilvl w:val="0"/>
          <w:numId w:val="77"/>
        </w:numPr>
        <w:rPr>
          <w:rFonts w:ascii="Arial" w:cs="Arial" w:eastAsia="Arial" w:hAnsi="Arial"/>
          <w:sz w:val="15"/>
          <w:szCs w:val="15"/>
          <w:color w:val="28C0DA"/>
        </w:rPr>
      </w:pPr>
      <w:r>
        <w:rPr>
          <w:rFonts w:ascii="Arial" w:cs="Arial" w:eastAsia="Arial" w:hAnsi="Arial"/>
          <w:sz w:val="15"/>
          <w:szCs w:val="15"/>
          <w:color w:val="auto"/>
        </w:rPr>
        <w:t>   Executed a number of efforts to proactively manage expense growth, improve operating results, and align resources to best support clients and advance strategic initiatives, including slowing the pace of hiring, eliminating 2% of existing positions, and optimizing our real estate footprint.</w:t>
      </w:r>
    </w:p>
    <w:p>
      <w:pPr>
        <w:spacing w:after="0" w:line="37" w:lineRule="exact"/>
        <w:rPr>
          <w:rFonts w:ascii="Arial" w:cs="Arial" w:eastAsia="Arial" w:hAnsi="Arial"/>
          <w:sz w:val="15"/>
          <w:szCs w:val="15"/>
          <w:color w:val="28C0DA"/>
        </w:rPr>
      </w:pPr>
    </w:p>
    <w:p>
      <w:pPr>
        <w:ind w:left="140" w:hanging="130"/>
        <w:spacing w:after="0"/>
        <w:tabs>
          <w:tab w:leader="none" w:pos="140" w:val="left"/>
        </w:tabs>
        <w:numPr>
          <w:ilvl w:val="0"/>
          <w:numId w:val="77"/>
        </w:numPr>
        <w:rPr>
          <w:rFonts w:ascii="Arial" w:cs="Arial" w:eastAsia="Arial" w:hAnsi="Arial"/>
          <w:sz w:val="15"/>
          <w:szCs w:val="15"/>
          <w:color w:val="28C0DA"/>
        </w:rPr>
      </w:pPr>
      <w:r>
        <w:rPr>
          <w:rFonts w:ascii="Arial" w:cs="Arial" w:eastAsia="Arial" w:hAnsi="Arial"/>
          <w:sz w:val="15"/>
          <w:szCs w:val="15"/>
          <w:color w:val="auto"/>
        </w:rPr>
        <w:t>  Oversaw the acquisition of Retiree, Inc. to complement and expand our retirement income capabilities.</w:t>
      </w:r>
    </w:p>
    <w:p>
      <w:pPr>
        <w:spacing w:after="0" w:line="64" w:lineRule="exact"/>
        <w:rPr>
          <w:rFonts w:ascii="Arial" w:cs="Arial" w:eastAsia="Arial" w:hAnsi="Arial"/>
          <w:sz w:val="15"/>
          <w:szCs w:val="15"/>
          <w:color w:val="28C0DA"/>
        </w:rPr>
      </w:pPr>
    </w:p>
    <w:p>
      <w:pPr>
        <w:ind w:left="180" w:right="880" w:hanging="170"/>
        <w:spacing w:after="0" w:line="278" w:lineRule="auto"/>
        <w:tabs>
          <w:tab w:leader="none" w:pos="132" w:val="left"/>
        </w:tabs>
        <w:numPr>
          <w:ilvl w:val="0"/>
          <w:numId w:val="77"/>
        </w:numPr>
        <w:rPr>
          <w:rFonts w:ascii="Arial" w:cs="Arial" w:eastAsia="Arial" w:hAnsi="Arial"/>
          <w:sz w:val="15"/>
          <w:szCs w:val="15"/>
          <w:color w:val="28C0DA"/>
        </w:rPr>
      </w:pPr>
      <w:r>
        <w:rPr>
          <w:rFonts w:ascii="Arial" w:cs="Arial" w:eastAsia="Arial" w:hAnsi="Arial"/>
          <w:sz w:val="15"/>
          <w:szCs w:val="15"/>
          <w:color w:val="auto"/>
        </w:rPr>
        <w:t>  Led quarterly reviews of each business unit, with a focus on critical success metrics, alignment to strategy, and expense management.</w:t>
      </w:r>
    </w:p>
    <w:p>
      <w:pPr>
        <w:spacing w:after="0" w:line="12" w:lineRule="exact"/>
        <w:rPr>
          <w:rFonts w:ascii="Arial" w:cs="Arial" w:eastAsia="Arial" w:hAnsi="Arial"/>
          <w:sz w:val="15"/>
          <w:szCs w:val="15"/>
          <w:color w:val="28C0DA"/>
        </w:rPr>
      </w:pPr>
    </w:p>
    <w:p>
      <w:pPr>
        <w:ind w:left="180" w:right="160" w:hanging="170"/>
        <w:spacing w:after="0" w:line="261" w:lineRule="auto"/>
        <w:tabs>
          <w:tab w:leader="none" w:pos="132" w:val="left"/>
        </w:tabs>
        <w:numPr>
          <w:ilvl w:val="0"/>
          <w:numId w:val="77"/>
        </w:numPr>
        <w:rPr>
          <w:rFonts w:ascii="Arial" w:cs="Arial" w:eastAsia="Arial" w:hAnsi="Arial"/>
          <w:sz w:val="15"/>
          <w:szCs w:val="15"/>
          <w:color w:val="28C0DA"/>
        </w:rPr>
      </w:pPr>
      <w:r>
        <w:rPr>
          <w:rFonts w:ascii="Arial" w:cs="Arial" w:eastAsia="Arial" w:hAnsi="Arial"/>
          <w:sz w:val="15"/>
          <w:szCs w:val="15"/>
          <w:color w:val="auto"/>
        </w:rPr>
        <w:t>  Key contributor on the Management Committee and on a variety of steering committees, including the Management Compensation and Development, Enterprise Risk Management, Investment Management, Management Committee Corporate Strategy, Product Strategy, and Strategic Operating Committees. Provided significant insight at the Price Group board meetings.</w:t>
      </w:r>
    </w:p>
    <w:p>
      <w:pPr>
        <w:spacing w:after="0" w:line="37" w:lineRule="exact"/>
        <w:rPr>
          <w:rFonts w:ascii="Arial" w:cs="Arial" w:eastAsia="Arial" w:hAnsi="Arial"/>
          <w:sz w:val="15"/>
          <w:szCs w:val="15"/>
          <w:color w:val="28C0DA"/>
        </w:rPr>
      </w:pPr>
    </w:p>
    <w:p>
      <w:pPr>
        <w:ind w:left="140" w:hanging="130"/>
        <w:spacing w:after="0"/>
        <w:tabs>
          <w:tab w:leader="none" w:pos="140" w:val="left"/>
        </w:tabs>
        <w:numPr>
          <w:ilvl w:val="0"/>
          <w:numId w:val="77"/>
        </w:numPr>
        <w:rPr>
          <w:rFonts w:ascii="Arial" w:cs="Arial" w:eastAsia="Arial" w:hAnsi="Arial"/>
          <w:sz w:val="15"/>
          <w:szCs w:val="15"/>
          <w:color w:val="28C0DA"/>
        </w:rPr>
      </w:pPr>
      <w:r>
        <w:rPr>
          <w:rFonts w:ascii="Arial" w:cs="Arial" w:eastAsia="Arial" w:hAnsi="Arial"/>
          <w:sz w:val="15"/>
          <w:szCs w:val="15"/>
          <w:color w:val="auto"/>
        </w:rPr>
        <w:t>  Expanded leadership oversight to include Global Product organization, effective January 2024.</w:t>
      </w:r>
    </w:p>
    <w:p>
      <w:pPr>
        <w:spacing w:after="0" w:line="200" w:lineRule="exact"/>
        <w:rPr>
          <w:sz w:val="20"/>
          <w:szCs w:val="20"/>
          <w:color w:val="auto"/>
        </w:rPr>
      </w:pPr>
    </w:p>
    <w:p>
      <w:pPr>
        <w:sectPr>
          <w:pgSz w:w="11900" w:h="16838" w:orient="portrait"/>
          <w:cols w:equalWidth="0" w:num="2">
            <w:col w:w="1640" w:space="600"/>
            <w:col w:w="9000"/>
          </w:cols>
          <w:pgMar w:left="320" w:top="223" w:right="339" w:bottom="1440" w:gutter="0" w:footer="0" w:header="0"/>
          <w:type w:val="continuous"/>
        </w:sectPr>
      </w:pPr>
    </w:p>
    <w:p>
      <w:pPr>
        <w:spacing w:after="0" w:line="164"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00244F"/>
        </w:rPr>
        <w:t>Glenn R. 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42480" cy="26187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2480" cy="261874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0"/>
        <w:spacing w:after="0" w:line="289" w:lineRule="auto"/>
        <w:rPr>
          <w:sz w:val="20"/>
          <w:szCs w:val="20"/>
          <w:color w:val="auto"/>
        </w:rPr>
      </w:pPr>
      <w:r>
        <w:rPr>
          <w:rFonts w:ascii="Arial" w:cs="Arial" w:eastAsia="Arial" w:hAnsi="Arial"/>
          <w:sz w:val="15"/>
          <w:szCs w:val="15"/>
          <w:b w:val="1"/>
          <w:bCs w:val="1"/>
          <w:color w:val="00254F"/>
        </w:rPr>
        <w:t>Chief Executive Officer of OHA</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00244F"/>
        </w:rPr>
        <w:t>ROLE CONSIDERATIONS</w:t>
      </w:r>
    </w:p>
    <w:p>
      <w:pPr>
        <w:spacing w:after="0" w:line="198" w:lineRule="exact"/>
        <w:rPr>
          <w:sz w:val="20"/>
          <w:szCs w:val="20"/>
          <w:color w:val="auto"/>
        </w:rPr>
      </w:pPr>
    </w:p>
    <w:p>
      <w:pPr>
        <w:ind w:left="140" w:hanging="130"/>
        <w:spacing w:after="0"/>
        <w:tabs>
          <w:tab w:leader="none" w:pos="140" w:val="left"/>
        </w:tabs>
        <w:numPr>
          <w:ilvl w:val="0"/>
          <w:numId w:val="78"/>
        </w:numPr>
        <w:rPr>
          <w:rFonts w:ascii="Arial" w:cs="Arial" w:eastAsia="Arial" w:hAnsi="Arial"/>
          <w:sz w:val="15"/>
          <w:szCs w:val="15"/>
          <w:color w:val="28C0DA"/>
        </w:rPr>
      </w:pPr>
      <w:r>
        <w:rPr>
          <w:rFonts w:ascii="Arial" w:cs="Arial" w:eastAsia="Arial" w:hAnsi="Arial"/>
          <w:sz w:val="15"/>
          <w:szCs w:val="15"/>
          <w:color w:val="auto"/>
        </w:rPr>
        <w:t>  Leadership, responsibility, and performance as CEO of OHA.</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00244F"/>
        </w:rPr>
        <w:t>INDIVIDUAL ACHIEVEMENTS</w:t>
      </w:r>
    </w:p>
    <w:p>
      <w:pPr>
        <w:spacing w:after="0" w:line="198" w:lineRule="exact"/>
        <w:rPr>
          <w:sz w:val="20"/>
          <w:szCs w:val="20"/>
          <w:color w:val="auto"/>
        </w:rPr>
      </w:pPr>
    </w:p>
    <w:p>
      <w:pPr>
        <w:ind w:left="180" w:right="240" w:hanging="170"/>
        <w:spacing w:after="0" w:line="278" w:lineRule="auto"/>
        <w:tabs>
          <w:tab w:leader="none" w:pos="132" w:val="left"/>
        </w:tabs>
        <w:numPr>
          <w:ilvl w:val="0"/>
          <w:numId w:val="79"/>
        </w:numPr>
        <w:rPr>
          <w:rFonts w:ascii="Arial" w:cs="Arial" w:eastAsia="Arial" w:hAnsi="Arial"/>
          <w:sz w:val="15"/>
          <w:szCs w:val="15"/>
          <w:color w:val="28C0DA"/>
        </w:rPr>
      </w:pPr>
      <w:r>
        <w:rPr>
          <w:rFonts w:ascii="Arial" w:cs="Arial" w:eastAsia="Arial" w:hAnsi="Arial"/>
          <w:sz w:val="15"/>
          <w:szCs w:val="15"/>
          <w:color w:val="auto"/>
        </w:rPr>
        <w:t>  Contributed to a meaningful increase in the firm's alternatives-based revenue, stemming from strong investment performance and positive capital flows in OHA-managed funds and investor relationships.</w:t>
      </w:r>
    </w:p>
    <w:p>
      <w:pPr>
        <w:spacing w:after="0" w:line="12" w:lineRule="exact"/>
        <w:rPr>
          <w:rFonts w:ascii="Arial" w:cs="Arial" w:eastAsia="Arial" w:hAnsi="Arial"/>
          <w:sz w:val="15"/>
          <w:szCs w:val="15"/>
          <w:color w:val="28C0DA"/>
        </w:rPr>
      </w:pPr>
    </w:p>
    <w:p>
      <w:pPr>
        <w:ind w:left="180" w:right="80" w:hanging="170"/>
        <w:spacing w:after="0" w:line="278" w:lineRule="auto"/>
        <w:tabs>
          <w:tab w:leader="none" w:pos="132" w:val="left"/>
        </w:tabs>
        <w:numPr>
          <w:ilvl w:val="0"/>
          <w:numId w:val="79"/>
        </w:numPr>
        <w:rPr>
          <w:rFonts w:ascii="Arial" w:cs="Arial" w:eastAsia="Arial" w:hAnsi="Arial"/>
          <w:sz w:val="15"/>
          <w:szCs w:val="15"/>
          <w:color w:val="28C0DA"/>
        </w:rPr>
      </w:pPr>
      <w:r>
        <w:rPr>
          <w:rFonts w:ascii="Arial" w:cs="Arial" w:eastAsia="Arial" w:hAnsi="Arial"/>
          <w:sz w:val="15"/>
          <w:szCs w:val="15"/>
          <w:color w:val="auto"/>
        </w:rPr>
        <w:t>  Guided OHA's investment strategy, helping the firm to generate strong fund performance and investor returns amid a volatile market environment throughout 2023.</w:t>
      </w:r>
    </w:p>
    <w:p>
      <w:pPr>
        <w:spacing w:after="0" w:line="12" w:lineRule="exact"/>
        <w:rPr>
          <w:rFonts w:ascii="Arial" w:cs="Arial" w:eastAsia="Arial" w:hAnsi="Arial"/>
          <w:sz w:val="15"/>
          <w:szCs w:val="15"/>
          <w:color w:val="28C0DA"/>
        </w:rPr>
      </w:pPr>
    </w:p>
    <w:p>
      <w:pPr>
        <w:ind w:left="180" w:right="260" w:hanging="170"/>
        <w:spacing w:after="0" w:line="278" w:lineRule="auto"/>
        <w:tabs>
          <w:tab w:leader="none" w:pos="132" w:val="left"/>
        </w:tabs>
        <w:numPr>
          <w:ilvl w:val="0"/>
          <w:numId w:val="79"/>
        </w:numPr>
        <w:rPr>
          <w:rFonts w:ascii="Arial" w:cs="Arial" w:eastAsia="Arial" w:hAnsi="Arial"/>
          <w:sz w:val="15"/>
          <w:szCs w:val="15"/>
          <w:color w:val="28C0DA"/>
        </w:rPr>
      </w:pPr>
      <w:r>
        <w:rPr>
          <w:rFonts w:ascii="Arial" w:cs="Arial" w:eastAsia="Arial" w:hAnsi="Arial"/>
          <w:sz w:val="15"/>
          <w:szCs w:val="15"/>
          <w:color w:val="auto"/>
        </w:rPr>
        <w:t>  Successfully managed OHA's global distressed investment activities and contributed to fundraising efforts for the $2.3 billion third vintage of OHA's flagship distressed fund, OHA Strategic Credit Fund III, L.P.</w:t>
      </w:r>
    </w:p>
    <w:p>
      <w:pPr>
        <w:spacing w:after="0" w:line="25" w:lineRule="exact"/>
        <w:rPr>
          <w:rFonts w:ascii="Arial" w:cs="Arial" w:eastAsia="Arial" w:hAnsi="Arial"/>
          <w:sz w:val="15"/>
          <w:szCs w:val="15"/>
          <w:color w:val="28C0DA"/>
        </w:rPr>
      </w:pPr>
    </w:p>
    <w:p>
      <w:pPr>
        <w:ind w:left="180" w:right="180" w:hanging="170"/>
        <w:spacing w:after="0" w:line="278" w:lineRule="auto"/>
        <w:tabs>
          <w:tab w:leader="none" w:pos="132" w:val="left"/>
        </w:tabs>
        <w:numPr>
          <w:ilvl w:val="0"/>
          <w:numId w:val="79"/>
        </w:numPr>
        <w:rPr>
          <w:rFonts w:ascii="Arial" w:cs="Arial" w:eastAsia="Arial" w:hAnsi="Arial"/>
          <w:sz w:val="15"/>
          <w:szCs w:val="15"/>
          <w:color w:val="28C0DA"/>
        </w:rPr>
      </w:pPr>
      <w:r>
        <w:rPr>
          <w:rFonts w:ascii="Arial" w:cs="Arial" w:eastAsia="Arial" w:hAnsi="Arial"/>
          <w:sz w:val="15"/>
          <w:szCs w:val="15"/>
          <w:color w:val="auto"/>
        </w:rPr>
        <w:t>  Oversaw development of new business initiatives, including the successful formation of OCREDIT, a non-traded BDC targeting the wealth channel and the first TRP and OHA jointly developed investment product.</w:t>
      </w:r>
    </w:p>
    <w:p>
      <w:pPr>
        <w:spacing w:after="0" w:line="12" w:lineRule="exact"/>
        <w:rPr>
          <w:rFonts w:ascii="Arial" w:cs="Arial" w:eastAsia="Arial" w:hAnsi="Arial"/>
          <w:sz w:val="15"/>
          <w:szCs w:val="15"/>
          <w:color w:val="28C0DA"/>
        </w:rPr>
      </w:pPr>
    </w:p>
    <w:p>
      <w:pPr>
        <w:ind w:left="180" w:right="520" w:hanging="170"/>
        <w:spacing w:after="0" w:line="278" w:lineRule="auto"/>
        <w:tabs>
          <w:tab w:leader="none" w:pos="132" w:val="left"/>
        </w:tabs>
        <w:numPr>
          <w:ilvl w:val="0"/>
          <w:numId w:val="79"/>
        </w:numPr>
        <w:rPr>
          <w:rFonts w:ascii="Arial" w:cs="Arial" w:eastAsia="Arial" w:hAnsi="Arial"/>
          <w:sz w:val="15"/>
          <w:szCs w:val="15"/>
          <w:color w:val="28C0DA"/>
        </w:rPr>
      </w:pPr>
      <w:r>
        <w:rPr>
          <w:rFonts w:ascii="Arial" w:cs="Arial" w:eastAsia="Arial" w:hAnsi="Arial"/>
          <w:sz w:val="15"/>
          <w:szCs w:val="15"/>
          <w:color w:val="auto"/>
        </w:rPr>
        <w:t>  Played a leading role in developing client relationships across OHA's client base, leading to meaningful inflows and an overall increase in capital under management.</w:t>
      </w:r>
    </w:p>
    <w:p>
      <w:pPr>
        <w:spacing w:after="0" w:line="12" w:lineRule="exact"/>
        <w:rPr>
          <w:rFonts w:ascii="Arial" w:cs="Arial" w:eastAsia="Arial" w:hAnsi="Arial"/>
          <w:sz w:val="15"/>
          <w:szCs w:val="15"/>
          <w:color w:val="28C0DA"/>
        </w:rPr>
      </w:pPr>
    </w:p>
    <w:p>
      <w:pPr>
        <w:ind w:left="180" w:right="340" w:hanging="170"/>
        <w:spacing w:after="0" w:line="278" w:lineRule="auto"/>
        <w:tabs>
          <w:tab w:leader="none" w:pos="132" w:val="left"/>
        </w:tabs>
        <w:numPr>
          <w:ilvl w:val="0"/>
          <w:numId w:val="79"/>
        </w:numPr>
        <w:rPr>
          <w:rFonts w:ascii="Arial" w:cs="Arial" w:eastAsia="Arial" w:hAnsi="Arial"/>
          <w:sz w:val="15"/>
          <w:szCs w:val="15"/>
          <w:color w:val="28C0DA"/>
        </w:rPr>
      </w:pPr>
      <w:r>
        <w:rPr>
          <w:rFonts w:ascii="Arial" w:cs="Arial" w:eastAsia="Arial" w:hAnsi="Arial"/>
          <w:sz w:val="15"/>
          <w:szCs w:val="15"/>
          <w:color w:val="28C0DA"/>
        </w:rPr>
        <w:t xml:space="preserve">   </w:t>
      </w:r>
      <w:r>
        <w:rPr>
          <w:rFonts w:ascii="Arial" w:cs="Arial" w:eastAsia="Arial" w:hAnsi="Arial"/>
          <w:sz w:val="15"/>
          <w:szCs w:val="15"/>
          <w:color w:val="000000"/>
        </w:rPr>
        <w:t>Effective leadership in supporting and advancing OHA's talent and culture, with 60 internal promotions as of year-end 2023 and</w:t>
      </w:r>
      <w:r>
        <w:rPr>
          <w:rFonts w:ascii="Arial" w:cs="Arial" w:eastAsia="Arial" w:hAnsi="Arial"/>
          <w:sz w:val="15"/>
          <w:szCs w:val="15"/>
          <w:color w:val="28C0DA"/>
        </w:rPr>
        <w:t xml:space="preserve"> </w:t>
      </w:r>
      <w:r>
        <w:rPr>
          <w:rFonts w:ascii="Arial" w:cs="Arial" w:eastAsia="Arial" w:hAnsi="Arial"/>
          <w:sz w:val="15"/>
          <w:szCs w:val="15"/>
          <w:color w:val="000000"/>
        </w:rPr>
        <w:t>continued integration of DEI initiatives into business priorities.</w:t>
      </w:r>
    </w:p>
    <w:p>
      <w:pPr>
        <w:spacing w:after="0" w:line="25" w:lineRule="exact"/>
        <w:rPr>
          <w:rFonts w:ascii="Arial" w:cs="Arial" w:eastAsia="Arial" w:hAnsi="Arial"/>
          <w:sz w:val="15"/>
          <w:szCs w:val="15"/>
          <w:color w:val="28C0DA"/>
        </w:rPr>
      </w:pPr>
    </w:p>
    <w:p>
      <w:pPr>
        <w:ind w:left="180" w:right="40" w:hanging="170"/>
        <w:spacing w:after="0" w:line="278" w:lineRule="auto"/>
        <w:tabs>
          <w:tab w:leader="none" w:pos="132" w:val="left"/>
        </w:tabs>
        <w:numPr>
          <w:ilvl w:val="0"/>
          <w:numId w:val="79"/>
        </w:numPr>
        <w:rPr>
          <w:rFonts w:ascii="Arial" w:cs="Arial" w:eastAsia="Arial" w:hAnsi="Arial"/>
          <w:sz w:val="15"/>
          <w:szCs w:val="15"/>
          <w:color w:val="28C0DA"/>
        </w:rPr>
      </w:pPr>
      <w:r>
        <w:rPr>
          <w:rFonts w:ascii="Arial" w:cs="Arial" w:eastAsia="Arial" w:hAnsi="Arial"/>
          <w:sz w:val="15"/>
          <w:szCs w:val="15"/>
          <w:color w:val="auto"/>
        </w:rPr>
        <w:t>  Key contributor on the Management Committee to facilitate the various strategic opportunities and long-term growth objectives of the company as CEO of its private markets platform.</w:t>
      </w:r>
    </w:p>
    <w:p>
      <w:pPr>
        <w:spacing w:after="0" w:line="200" w:lineRule="exact"/>
        <w:rPr>
          <w:sz w:val="20"/>
          <w:szCs w:val="20"/>
          <w:color w:val="auto"/>
        </w:rPr>
      </w:pPr>
    </w:p>
    <w:p>
      <w:pPr>
        <w:sectPr>
          <w:pgSz w:w="11900" w:h="16838" w:orient="portrait"/>
          <w:cols w:equalWidth="0" w:num="2">
            <w:col w:w="1880" w:space="360"/>
            <w:col w:w="9000"/>
          </w:cols>
          <w:pgMar w:left="320" w:top="223" w:right="339" w:bottom="144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00" w:type="dxa"/>
            <w:vAlign w:val="bottom"/>
          </w:tcPr>
          <w:p>
            <w:pPr>
              <w:ind w:left="9500"/>
              <w:spacing w:after="0"/>
              <w:rPr>
                <w:sz w:val="20"/>
                <w:szCs w:val="20"/>
                <w:color w:val="auto"/>
              </w:rPr>
            </w:pPr>
            <w:r>
              <w:rPr>
                <w:rFonts w:ascii="Times New Roman" w:cs="Times New Roman" w:eastAsia="Times New Roman" w:hAnsi="Times New Roman"/>
                <w:sz w:val="13"/>
                <w:szCs w:val="13"/>
                <w:b w:val="1"/>
                <w:bCs w:val="1"/>
                <w:color w:val="auto"/>
              </w:rPr>
              <w:t xml:space="preserve">2024 </w:t>
            </w:r>
            <w:r>
              <w:rPr>
                <w:rFonts w:ascii="Times New Roman" w:cs="Times New Roman" w:eastAsia="Times New Roman" w:hAnsi="Times New Roman"/>
                <w:sz w:val="13"/>
                <w:szCs w:val="13"/>
                <w:color w:val="auto"/>
              </w:rPr>
              <w:t>Proxy Statement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244F"/>
              </w:rPr>
              <w:t>55</w:t>
            </w:r>
          </w:p>
        </w:tc>
      </w:tr>
      <w:tr>
        <w:trPr>
          <w:trHeight w:val="385"/>
        </w:trPr>
        <w:tc>
          <w:tcPr>
            <w:tcW w:w="10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3" w:right="3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7"/>
          <w:szCs w:val="17"/>
          <w:u w:val="single" w:color="auto"/>
          <w:color w:val="0000EE"/>
        </w:rPr>
        <w:t>Table of Contents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00244F"/>
        </w:rPr>
        <w:t>Justin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142480" cy="285686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2480" cy="2856865"/>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0"/>
        <w:spacing w:after="0" w:line="327" w:lineRule="auto"/>
        <w:rPr>
          <w:sz w:val="20"/>
          <w:szCs w:val="20"/>
          <w:color w:val="auto"/>
        </w:rPr>
      </w:pPr>
      <w:r>
        <w:rPr>
          <w:rFonts w:ascii="Arial" w:cs="Arial" w:eastAsia="Arial" w:hAnsi="Arial"/>
          <w:sz w:val="14"/>
          <w:szCs w:val="14"/>
          <w:b w:val="1"/>
          <w:bCs w:val="1"/>
          <w:color w:val="00254F"/>
        </w:rPr>
        <w:t>Head of International Equity and CIO</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00244F"/>
        </w:rPr>
        <w:t>ROLE CONSIDERATIONS</w:t>
      </w:r>
    </w:p>
    <w:p>
      <w:pPr>
        <w:spacing w:after="0" w:line="198" w:lineRule="exact"/>
        <w:rPr>
          <w:sz w:val="20"/>
          <w:szCs w:val="20"/>
          <w:color w:val="auto"/>
        </w:rPr>
      </w:pPr>
    </w:p>
    <w:p>
      <w:pPr>
        <w:ind w:left="180" w:hanging="170"/>
        <w:spacing w:after="0" w:line="278" w:lineRule="auto"/>
        <w:tabs>
          <w:tab w:leader="none" w:pos="132" w:val="left"/>
        </w:tabs>
        <w:numPr>
          <w:ilvl w:val="0"/>
          <w:numId w:val="80"/>
        </w:numPr>
        <w:rPr>
          <w:rFonts w:ascii="Arial" w:cs="Arial" w:eastAsia="Arial" w:hAnsi="Arial"/>
          <w:sz w:val="15"/>
          <w:szCs w:val="15"/>
          <w:color w:val="28C0DA"/>
        </w:rPr>
      </w:pPr>
      <w:r>
        <w:rPr>
          <w:rFonts w:ascii="Arial" w:cs="Arial" w:eastAsia="Arial" w:hAnsi="Arial"/>
          <w:sz w:val="15"/>
          <w:szCs w:val="15"/>
          <w:color w:val="auto"/>
        </w:rPr>
        <w:t>  Leadership, responsibility, and performance as head of International Equity and chief investment officer, and chair of the International Equity Steering Committee.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00244F"/>
        </w:rPr>
        <w:t>INDIVIDUAL ACHIEVEMENTS</w:t>
      </w:r>
    </w:p>
    <w:p>
      <w:pPr>
        <w:spacing w:after="0" w:line="198" w:lineRule="exact"/>
        <w:rPr>
          <w:sz w:val="20"/>
          <w:szCs w:val="20"/>
          <w:color w:val="auto"/>
        </w:rPr>
      </w:pPr>
    </w:p>
    <w:p>
      <w:pPr>
        <w:ind w:left="180" w:right="380" w:hanging="170"/>
        <w:spacing w:after="0" w:line="278" w:lineRule="auto"/>
        <w:tabs>
          <w:tab w:leader="none" w:pos="132" w:val="left"/>
        </w:tabs>
        <w:numPr>
          <w:ilvl w:val="0"/>
          <w:numId w:val="81"/>
        </w:numPr>
        <w:rPr>
          <w:rFonts w:ascii="Arial" w:cs="Arial" w:eastAsia="Arial" w:hAnsi="Arial"/>
          <w:sz w:val="15"/>
          <w:szCs w:val="15"/>
          <w:color w:val="28C0DA"/>
        </w:rPr>
      </w:pPr>
      <w:r>
        <w:rPr>
          <w:rFonts w:ascii="Arial" w:cs="Arial" w:eastAsia="Arial" w:hAnsi="Arial"/>
          <w:sz w:val="15"/>
          <w:szCs w:val="15"/>
          <w:color w:val="auto"/>
        </w:rPr>
        <w:t>  Investment performance for International Equity remained strong with over 50% of International Equity strategies outperforming against active peers and benchmarks over five years and were within target over 10 years.</w:t>
      </w:r>
    </w:p>
    <w:p>
      <w:pPr>
        <w:spacing w:after="0" w:line="12" w:lineRule="exact"/>
        <w:rPr>
          <w:rFonts w:ascii="Arial" w:cs="Arial" w:eastAsia="Arial" w:hAnsi="Arial"/>
          <w:sz w:val="15"/>
          <w:szCs w:val="15"/>
          <w:color w:val="28C0DA"/>
        </w:rPr>
      </w:pPr>
    </w:p>
    <w:p>
      <w:pPr>
        <w:ind w:left="140" w:hanging="130"/>
        <w:spacing w:after="0"/>
        <w:tabs>
          <w:tab w:leader="none" w:pos="140" w:val="left"/>
        </w:tabs>
        <w:numPr>
          <w:ilvl w:val="0"/>
          <w:numId w:val="81"/>
        </w:numPr>
        <w:rPr>
          <w:rFonts w:ascii="Arial" w:cs="Arial" w:eastAsia="Arial" w:hAnsi="Arial"/>
          <w:sz w:val="15"/>
          <w:szCs w:val="15"/>
          <w:color w:val="28C0DA"/>
        </w:rPr>
      </w:pPr>
      <w:r>
        <w:rPr>
          <w:rFonts w:ascii="Arial" w:cs="Arial" w:eastAsia="Arial" w:hAnsi="Arial"/>
          <w:sz w:val="15"/>
          <w:szCs w:val="15"/>
          <w:color w:val="auto"/>
        </w:rPr>
        <w:t>  Effective chair of the International Equity Steering Committee.</w:t>
      </w:r>
    </w:p>
    <w:p>
      <w:pPr>
        <w:spacing w:after="0" w:line="64" w:lineRule="exact"/>
        <w:rPr>
          <w:rFonts w:ascii="Arial" w:cs="Arial" w:eastAsia="Arial" w:hAnsi="Arial"/>
          <w:sz w:val="15"/>
          <w:szCs w:val="15"/>
          <w:color w:val="28C0DA"/>
        </w:rPr>
      </w:pPr>
    </w:p>
    <w:p>
      <w:pPr>
        <w:ind w:left="140" w:hanging="130"/>
        <w:spacing w:after="0"/>
        <w:tabs>
          <w:tab w:leader="none" w:pos="140" w:val="left"/>
        </w:tabs>
        <w:numPr>
          <w:ilvl w:val="0"/>
          <w:numId w:val="81"/>
        </w:numPr>
        <w:rPr>
          <w:rFonts w:ascii="Arial" w:cs="Arial" w:eastAsia="Arial" w:hAnsi="Arial"/>
          <w:sz w:val="15"/>
          <w:szCs w:val="15"/>
          <w:color w:val="28C0DA"/>
        </w:rPr>
      </w:pPr>
      <w:r>
        <w:rPr>
          <w:rFonts w:ascii="Arial" w:cs="Arial" w:eastAsia="Arial" w:hAnsi="Arial"/>
          <w:sz w:val="15"/>
          <w:szCs w:val="15"/>
          <w:color w:val="auto"/>
        </w:rPr>
        <w:t>  Central leadership role in developing the talent and culture of the team to deliver the division's investment results.</w:t>
      </w:r>
    </w:p>
    <w:p>
      <w:pPr>
        <w:spacing w:after="0" w:line="77" w:lineRule="exact"/>
        <w:rPr>
          <w:rFonts w:ascii="Arial" w:cs="Arial" w:eastAsia="Arial" w:hAnsi="Arial"/>
          <w:sz w:val="15"/>
          <w:szCs w:val="15"/>
          <w:color w:val="28C0DA"/>
        </w:rPr>
      </w:pPr>
    </w:p>
    <w:p>
      <w:pPr>
        <w:ind w:left="140" w:hanging="130"/>
        <w:spacing w:after="0"/>
        <w:tabs>
          <w:tab w:leader="none" w:pos="140" w:val="left"/>
        </w:tabs>
        <w:numPr>
          <w:ilvl w:val="0"/>
          <w:numId w:val="81"/>
        </w:numPr>
        <w:rPr>
          <w:rFonts w:ascii="Arial" w:cs="Arial" w:eastAsia="Arial" w:hAnsi="Arial"/>
          <w:sz w:val="15"/>
          <w:szCs w:val="15"/>
          <w:color w:val="28C0DA"/>
        </w:rPr>
      </w:pPr>
      <w:r>
        <w:rPr>
          <w:rFonts w:ascii="Arial" w:cs="Arial" w:eastAsia="Arial" w:hAnsi="Arial"/>
          <w:sz w:val="15"/>
          <w:szCs w:val="15"/>
          <w:color w:val="auto"/>
        </w:rPr>
        <w:t>  Executed a number of organizational changes to ensure International Equity resources were optimized.</w:t>
      </w:r>
    </w:p>
    <w:p>
      <w:pPr>
        <w:spacing w:after="0" w:line="64" w:lineRule="exact"/>
        <w:rPr>
          <w:rFonts w:ascii="Arial" w:cs="Arial" w:eastAsia="Arial" w:hAnsi="Arial"/>
          <w:sz w:val="15"/>
          <w:szCs w:val="15"/>
          <w:color w:val="28C0DA"/>
        </w:rPr>
      </w:pPr>
    </w:p>
    <w:p>
      <w:pPr>
        <w:ind w:left="180" w:right="420" w:hanging="170"/>
        <w:spacing w:after="0" w:line="278" w:lineRule="auto"/>
        <w:tabs>
          <w:tab w:leader="none" w:pos="132" w:val="left"/>
        </w:tabs>
        <w:numPr>
          <w:ilvl w:val="0"/>
          <w:numId w:val="81"/>
        </w:numPr>
        <w:rPr>
          <w:rFonts w:ascii="Arial" w:cs="Arial" w:eastAsia="Arial" w:hAnsi="Arial"/>
          <w:sz w:val="15"/>
          <w:szCs w:val="15"/>
          <w:color w:val="28C0DA"/>
        </w:rPr>
      </w:pPr>
      <w:r>
        <w:rPr>
          <w:rFonts w:ascii="Arial" w:cs="Arial" w:eastAsia="Arial" w:hAnsi="Arial"/>
          <w:sz w:val="15"/>
          <w:szCs w:val="15"/>
          <w:color w:val="auto"/>
        </w:rPr>
        <w:t>  Co-Executive Sponsor of our Women in Investments program, which continues to make progress on initiatives that support the attraction, development and retention of female investors.</w:t>
      </w:r>
    </w:p>
    <w:p>
      <w:pPr>
        <w:spacing w:after="0" w:line="12" w:lineRule="exact"/>
        <w:rPr>
          <w:rFonts w:ascii="Arial" w:cs="Arial" w:eastAsia="Arial" w:hAnsi="Arial"/>
          <w:sz w:val="15"/>
          <w:szCs w:val="15"/>
          <w:color w:val="28C0DA"/>
        </w:rPr>
      </w:pPr>
    </w:p>
    <w:p>
      <w:pPr>
        <w:ind w:left="180" w:right="640" w:hanging="170"/>
        <w:spacing w:after="0" w:line="278" w:lineRule="auto"/>
        <w:tabs>
          <w:tab w:leader="none" w:pos="132" w:val="left"/>
        </w:tabs>
        <w:numPr>
          <w:ilvl w:val="0"/>
          <w:numId w:val="81"/>
        </w:numPr>
        <w:rPr>
          <w:rFonts w:ascii="Arial" w:cs="Arial" w:eastAsia="Arial" w:hAnsi="Arial"/>
          <w:sz w:val="15"/>
          <w:szCs w:val="15"/>
          <w:color w:val="28C0DA"/>
        </w:rPr>
      </w:pPr>
      <w:r>
        <w:rPr>
          <w:rFonts w:ascii="Arial" w:cs="Arial" w:eastAsia="Arial" w:hAnsi="Arial"/>
          <w:sz w:val="15"/>
          <w:szCs w:val="15"/>
          <w:color w:val="auto"/>
        </w:rPr>
        <w:t>  Partnered with the Product team and Distribution to re evaluate our International Equity product suite and ensure resources remained aligned to strategies that most effectively support client needs.</w:t>
      </w:r>
    </w:p>
    <w:p>
      <w:pPr>
        <w:spacing w:after="0" w:line="25" w:lineRule="exact"/>
        <w:rPr>
          <w:rFonts w:ascii="Arial" w:cs="Arial" w:eastAsia="Arial" w:hAnsi="Arial"/>
          <w:sz w:val="15"/>
          <w:szCs w:val="15"/>
          <w:color w:val="28C0DA"/>
        </w:rPr>
      </w:pPr>
    </w:p>
    <w:p>
      <w:pPr>
        <w:ind w:left="180" w:right="380" w:hanging="170"/>
        <w:spacing w:after="0" w:line="278" w:lineRule="auto"/>
        <w:tabs>
          <w:tab w:leader="none" w:pos="132" w:val="left"/>
        </w:tabs>
        <w:numPr>
          <w:ilvl w:val="0"/>
          <w:numId w:val="81"/>
        </w:numPr>
        <w:rPr>
          <w:rFonts w:ascii="Arial" w:cs="Arial" w:eastAsia="Arial" w:hAnsi="Arial"/>
          <w:sz w:val="15"/>
          <w:szCs w:val="15"/>
          <w:color w:val="28C0DA"/>
        </w:rPr>
      </w:pPr>
      <w:r>
        <w:rPr>
          <w:rFonts w:ascii="Arial" w:cs="Arial" w:eastAsia="Arial" w:hAnsi="Arial"/>
          <w:sz w:val="15"/>
          <w:szCs w:val="15"/>
          <w:color w:val="auto"/>
        </w:rPr>
        <w:t>  Clear thought leader around navigating challenges arising from regime change in markets, inflation and geo-political risks more broadly.</w:t>
      </w:r>
    </w:p>
    <w:p>
      <w:pPr>
        <w:spacing w:after="0" w:line="12" w:lineRule="exact"/>
        <w:rPr>
          <w:rFonts w:ascii="Arial" w:cs="Arial" w:eastAsia="Arial" w:hAnsi="Arial"/>
          <w:sz w:val="15"/>
          <w:szCs w:val="15"/>
          <w:color w:val="28C0DA"/>
        </w:rPr>
      </w:pPr>
    </w:p>
    <w:p>
      <w:pPr>
        <w:ind w:left="140" w:hanging="130"/>
        <w:spacing w:after="0"/>
        <w:tabs>
          <w:tab w:leader="none" w:pos="140" w:val="left"/>
        </w:tabs>
        <w:numPr>
          <w:ilvl w:val="0"/>
          <w:numId w:val="81"/>
        </w:numPr>
        <w:rPr>
          <w:rFonts w:ascii="Arial" w:cs="Arial" w:eastAsia="Arial" w:hAnsi="Arial"/>
          <w:sz w:val="15"/>
          <w:szCs w:val="15"/>
          <w:color w:val="28C0DA"/>
        </w:rPr>
      </w:pPr>
      <w:r>
        <w:rPr>
          <w:rFonts w:ascii="Arial" w:cs="Arial" w:eastAsia="Arial" w:hAnsi="Arial"/>
          <w:sz w:val="15"/>
          <w:szCs w:val="15"/>
          <w:color w:val="auto"/>
        </w:rPr>
        <w:t>  Significant contributor to our Tactical Asset Allocation team as we navigated changing market dynamics.</w:t>
      </w:r>
    </w:p>
    <w:p>
      <w:pPr>
        <w:spacing w:after="0" w:line="64" w:lineRule="exact"/>
        <w:rPr>
          <w:rFonts w:ascii="Arial" w:cs="Arial" w:eastAsia="Arial" w:hAnsi="Arial"/>
          <w:sz w:val="15"/>
          <w:szCs w:val="15"/>
          <w:color w:val="28C0DA"/>
        </w:rPr>
      </w:pPr>
    </w:p>
    <w:p>
      <w:pPr>
        <w:ind w:left="140" w:hanging="130"/>
        <w:spacing w:after="0"/>
        <w:tabs>
          <w:tab w:leader="none" w:pos="140" w:val="left"/>
        </w:tabs>
        <w:numPr>
          <w:ilvl w:val="0"/>
          <w:numId w:val="81"/>
        </w:numPr>
        <w:rPr>
          <w:rFonts w:ascii="Arial" w:cs="Arial" w:eastAsia="Arial" w:hAnsi="Arial"/>
          <w:sz w:val="15"/>
          <w:szCs w:val="15"/>
          <w:color w:val="28C0DA"/>
        </w:rPr>
      </w:pPr>
      <w:r>
        <w:rPr>
          <w:rFonts w:ascii="Arial" w:cs="Arial" w:eastAsia="Arial" w:hAnsi="Arial"/>
          <w:sz w:val="15"/>
          <w:szCs w:val="15"/>
          <w:color w:val="auto"/>
        </w:rPr>
        <w:t>  As CIO, provided meaningful contributions to client events and broadcasts.</w:t>
      </w:r>
    </w:p>
    <w:p>
      <w:pPr>
        <w:spacing w:after="0" w:line="77" w:lineRule="exact"/>
        <w:rPr>
          <w:rFonts w:ascii="Arial" w:cs="Arial" w:eastAsia="Arial" w:hAnsi="Arial"/>
          <w:sz w:val="15"/>
          <w:szCs w:val="15"/>
          <w:color w:val="28C0DA"/>
        </w:rPr>
      </w:pPr>
    </w:p>
    <w:p>
      <w:pPr>
        <w:ind w:left="140" w:hanging="130"/>
        <w:spacing w:after="0"/>
        <w:tabs>
          <w:tab w:leader="none" w:pos="140" w:val="left"/>
        </w:tabs>
        <w:numPr>
          <w:ilvl w:val="0"/>
          <w:numId w:val="81"/>
        </w:numPr>
        <w:rPr>
          <w:rFonts w:ascii="Arial" w:cs="Arial" w:eastAsia="Arial" w:hAnsi="Arial"/>
          <w:sz w:val="15"/>
          <w:szCs w:val="15"/>
          <w:color w:val="28C0DA"/>
        </w:rPr>
      </w:pPr>
      <w:r>
        <w:rPr>
          <w:rFonts w:ascii="Arial" w:cs="Arial" w:eastAsia="Arial" w:hAnsi="Arial"/>
          <w:sz w:val="15"/>
          <w:szCs w:val="15"/>
          <w:color w:val="auto"/>
        </w:rPr>
        <w:t>  Key contributor on the Management, Investment Management Steering, Product Strategy, and Asset Allocation Committees.</w:t>
      </w:r>
    </w:p>
    <w:p>
      <w:pPr>
        <w:spacing w:after="0" w:line="200" w:lineRule="exact"/>
        <w:rPr>
          <w:sz w:val="20"/>
          <w:szCs w:val="20"/>
          <w:color w:val="auto"/>
        </w:rPr>
      </w:pPr>
    </w:p>
    <w:p>
      <w:pPr>
        <w:sectPr>
          <w:pgSz w:w="11900" w:h="16838" w:orient="portrait"/>
          <w:cols w:equalWidth="0" w:num="2">
            <w:col w:w="1540" w:space="700"/>
            <w:col w:w="8980"/>
          </w:cols>
          <w:pgMar w:left="320" w:top="223" w:right="359" w:bottom="1440" w:gutter="0" w:footer="0" w:header="0"/>
          <w:type w:val="continuous"/>
        </w:sectPr>
      </w:pPr>
    </w:p>
    <w:p>
      <w:pPr>
        <w:spacing w:after="0" w:line="105"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3"/>
          <w:szCs w:val="13"/>
          <w:b w:val="1"/>
          <w:bCs w:val="1"/>
          <w:color w:val="00244F"/>
        </w:rPr>
        <w:t>56</w:t>
      </w:r>
      <w:r>
        <w:rPr>
          <w:sz w:val="20"/>
          <w:szCs w:val="20"/>
          <w:color w:val="auto"/>
        </w:rPr>
        <w:tab/>
      </w:r>
      <w:r>
        <w:rPr>
          <w:rFonts w:ascii="Times New Roman" w:cs="Times New Roman" w:eastAsia="Times New Roman" w:hAnsi="Times New Roman"/>
          <w:sz w:val="13"/>
          <w:szCs w:val="13"/>
          <w:b w:val="1"/>
          <w:bCs w:val="1"/>
          <w:color w:val="00244F"/>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42480" cy="76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6"/>
          <w:szCs w:val="16"/>
          <w:u w:val="single" w:color="auto"/>
          <w:color w:val="0000EE"/>
        </w:rPr>
        <w:t>Table of Contents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0244F"/>
        </w:rPr>
        <w:t>Eric L. Veiel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52705</wp:posOffset>
            </wp:positionV>
            <wp:extent cx="7142480" cy="29521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2480" cy="295211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0"/>
        <w:spacing w:after="0" w:line="327" w:lineRule="auto"/>
        <w:rPr>
          <w:sz w:val="20"/>
          <w:szCs w:val="20"/>
          <w:color w:val="auto"/>
        </w:rPr>
      </w:pPr>
      <w:r>
        <w:rPr>
          <w:rFonts w:ascii="Arial" w:cs="Arial" w:eastAsia="Arial" w:hAnsi="Arial"/>
          <w:sz w:val="14"/>
          <w:szCs w:val="14"/>
          <w:b w:val="1"/>
          <w:bCs w:val="1"/>
          <w:color w:val="00254F"/>
        </w:rPr>
        <w:t>Head of Global Investments and CIO</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00244F"/>
        </w:rPr>
        <w:t>ROLE CONSIDERATIONS</w:t>
      </w:r>
    </w:p>
    <w:p>
      <w:pPr>
        <w:spacing w:after="0" w:line="198" w:lineRule="exact"/>
        <w:rPr>
          <w:sz w:val="20"/>
          <w:szCs w:val="20"/>
          <w:color w:val="auto"/>
        </w:rPr>
      </w:pPr>
    </w:p>
    <w:p>
      <w:pPr>
        <w:ind w:left="180" w:right="100" w:hanging="170"/>
        <w:spacing w:after="0" w:line="278" w:lineRule="auto"/>
        <w:tabs>
          <w:tab w:leader="none" w:pos="132" w:val="left"/>
        </w:tabs>
        <w:numPr>
          <w:ilvl w:val="0"/>
          <w:numId w:val="82"/>
        </w:numPr>
        <w:rPr>
          <w:rFonts w:ascii="Arial" w:cs="Arial" w:eastAsia="Arial" w:hAnsi="Arial"/>
          <w:sz w:val="15"/>
          <w:szCs w:val="15"/>
          <w:color w:val="28C0DA"/>
        </w:rPr>
      </w:pPr>
      <w:r>
        <w:rPr>
          <w:rFonts w:ascii="Arial" w:cs="Arial" w:eastAsia="Arial" w:hAnsi="Arial"/>
          <w:sz w:val="15"/>
          <w:szCs w:val="15"/>
          <w:color w:val="auto"/>
        </w:rPr>
        <w:t>  Leadership, responsibility, and performance as head of Global Investments and chief investment officer, and chair of the Investment Management Steering Committee.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00244F"/>
        </w:rPr>
        <w:t>INDIVIDUAL ACHIEVEMENTS</w:t>
      </w:r>
    </w:p>
    <w:p>
      <w:pPr>
        <w:spacing w:after="0" w:line="198" w:lineRule="exact"/>
        <w:rPr>
          <w:sz w:val="20"/>
          <w:szCs w:val="20"/>
          <w:color w:val="auto"/>
        </w:rPr>
      </w:pPr>
    </w:p>
    <w:p>
      <w:pPr>
        <w:ind w:left="180" w:right="120" w:hanging="170"/>
        <w:spacing w:after="0" w:line="278" w:lineRule="auto"/>
        <w:tabs>
          <w:tab w:leader="none" w:pos="132" w:val="left"/>
        </w:tabs>
        <w:numPr>
          <w:ilvl w:val="0"/>
          <w:numId w:val="83"/>
        </w:numPr>
        <w:rPr>
          <w:rFonts w:ascii="Arial" w:cs="Arial" w:eastAsia="Arial" w:hAnsi="Arial"/>
          <w:sz w:val="15"/>
          <w:szCs w:val="15"/>
          <w:color w:val="28C0DA"/>
        </w:rPr>
      </w:pPr>
      <w:r>
        <w:rPr>
          <w:rFonts w:ascii="Arial" w:cs="Arial" w:eastAsia="Arial" w:hAnsi="Arial"/>
          <w:sz w:val="15"/>
          <w:szCs w:val="15"/>
          <w:color w:val="28C0DA"/>
        </w:rPr>
        <w:t>  </w:t>
      </w:r>
      <w:r>
        <w:rPr>
          <w:rFonts w:ascii="Arial" w:cs="Arial" w:eastAsia="Arial" w:hAnsi="Arial"/>
          <w:sz w:val="15"/>
          <w:szCs w:val="15"/>
          <w:color w:val="000000"/>
        </w:rPr>
        <w:t>Investment performance for Global Equity was mixed over three- and five-year periods with stronger results over the 10-year period</w:t>
      </w:r>
      <w:r>
        <w:rPr>
          <w:rFonts w:ascii="Arial" w:cs="Arial" w:eastAsia="Arial" w:hAnsi="Arial"/>
          <w:sz w:val="15"/>
          <w:szCs w:val="15"/>
          <w:color w:val="28C0DA"/>
        </w:rPr>
        <w:t xml:space="preserve"> </w:t>
      </w:r>
      <w:r>
        <w:rPr>
          <w:rFonts w:ascii="Arial" w:cs="Arial" w:eastAsia="Arial" w:hAnsi="Arial"/>
          <w:sz w:val="15"/>
          <w:szCs w:val="15"/>
          <w:color w:val="000000"/>
        </w:rPr>
        <w:t>versus peers and benchmarks.</w:t>
      </w:r>
    </w:p>
    <w:p>
      <w:pPr>
        <w:spacing w:after="0" w:line="12" w:lineRule="exact"/>
        <w:rPr>
          <w:rFonts w:ascii="Arial" w:cs="Arial" w:eastAsia="Arial" w:hAnsi="Arial"/>
          <w:sz w:val="15"/>
          <w:szCs w:val="15"/>
          <w:color w:val="28C0DA"/>
        </w:rPr>
      </w:pPr>
    </w:p>
    <w:p>
      <w:pPr>
        <w:ind w:left="180" w:right="180" w:hanging="170"/>
        <w:spacing w:after="0" w:line="261" w:lineRule="auto"/>
        <w:tabs>
          <w:tab w:leader="none" w:pos="132" w:val="left"/>
        </w:tabs>
        <w:numPr>
          <w:ilvl w:val="0"/>
          <w:numId w:val="83"/>
        </w:numPr>
        <w:rPr>
          <w:rFonts w:ascii="Arial" w:cs="Arial" w:eastAsia="Arial" w:hAnsi="Arial"/>
          <w:sz w:val="15"/>
          <w:szCs w:val="15"/>
          <w:color w:val="28C0DA"/>
        </w:rPr>
      </w:pPr>
      <w:r>
        <w:rPr>
          <w:rFonts w:ascii="Arial" w:cs="Arial" w:eastAsia="Arial" w:hAnsi="Arial"/>
          <w:sz w:val="15"/>
          <w:szCs w:val="15"/>
          <w:color w:val="auto"/>
        </w:rPr>
        <w:t>  Chaired the Investment Management Steering Committee, which oversees the firm's investment management capabilities and processes across asset classes, channels, vehicles, and regions, including coordination and collaboration of senior leaders across Investments, Distribution, and Product.</w:t>
      </w:r>
    </w:p>
    <w:p>
      <w:pPr>
        <w:spacing w:after="0" w:line="24" w:lineRule="exact"/>
        <w:rPr>
          <w:rFonts w:ascii="Arial" w:cs="Arial" w:eastAsia="Arial" w:hAnsi="Arial"/>
          <w:sz w:val="15"/>
          <w:szCs w:val="15"/>
          <w:color w:val="28C0DA"/>
        </w:rPr>
      </w:pPr>
    </w:p>
    <w:p>
      <w:pPr>
        <w:ind w:left="140" w:hanging="130"/>
        <w:spacing w:after="0"/>
        <w:tabs>
          <w:tab w:leader="none" w:pos="140" w:val="left"/>
        </w:tabs>
        <w:numPr>
          <w:ilvl w:val="0"/>
          <w:numId w:val="83"/>
        </w:numPr>
        <w:rPr>
          <w:rFonts w:ascii="Arial" w:cs="Arial" w:eastAsia="Arial" w:hAnsi="Arial"/>
          <w:sz w:val="15"/>
          <w:szCs w:val="15"/>
          <w:color w:val="28C0DA"/>
        </w:rPr>
      </w:pPr>
      <w:r>
        <w:rPr>
          <w:rFonts w:ascii="Arial" w:cs="Arial" w:eastAsia="Arial" w:hAnsi="Arial"/>
          <w:sz w:val="15"/>
          <w:szCs w:val="15"/>
          <w:color w:val="auto"/>
        </w:rPr>
        <w:t>  Managed and developed a large group of leaders over a wide variety of disciplines.</w:t>
      </w:r>
    </w:p>
    <w:p>
      <w:pPr>
        <w:spacing w:after="0" w:line="77" w:lineRule="exact"/>
        <w:rPr>
          <w:rFonts w:ascii="Arial" w:cs="Arial" w:eastAsia="Arial" w:hAnsi="Arial"/>
          <w:sz w:val="15"/>
          <w:szCs w:val="15"/>
          <w:color w:val="28C0DA"/>
        </w:rPr>
      </w:pPr>
    </w:p>
    <w:p>
      <w:pPr>
        <w:ind w:left="180" w:right="100" w:hanging="170"/>
        <w:spacing w:after="0" w:line="261" w:lineRule="auto"/>
        <w:tabs>
          <w:tab w:leader="none" w:pos="132" w:val="left"/>
        </w:tabs>
        <w:numPr>
          <w:ilvl w:val="0"/>
          <w:numId w:val="83"/>
        </w:numPr>
        <w:rPr>
          <w:rFonts w:ascii="Arial" w:cs="Arial" w:eastAsia="Arial" w:hAnsi="Arial"/>
          <w:sz w:val="15"/>
          <w:szCs w:val="15"/>
          <w:color w:val="28C0DA"/>
        </w:rPr>
      </w:pPr>
      <w:r>
        <w:rPr>
          <w:rFonts w:ascii="Arial" w:cs="Arial" w:eastAsia="Arial" w:hAnsi="Arial"/>
          <w:sz w:val="15"/>
          <w:szCs w:val="15"/>
          <w:color w:val="auto"/>
        </w:rPr>
        <w:t>  Oversaw continued growth in the firm's equity exchange traded fund (ETF) program with the launch of five new fully transparent active equity ETFs. Further developed the firm's Integrated Equity capabilities, including the build-out of thematic and customization processes.</w:t>
      </w:r>
    </w:p>
    <w:p>
      <w:pPr>
        <w:spacing w:after="0" w:line="24" w:lineRule="exact"/>
        <w:rPr>
          <w:rFonts w:ascii="Arial" w:cs="Arial" w:eastAsia="Arial" w:hAnsi="Arial"/>
          <w:sz w:val="15"/>
          <w:szCs w:val="15"/>
          <w:color w:val="28C0DA"/>
        </w:rPr>
      </w:pPr>
    </w:p>
    <w:p>
      <w:pPr>
        <w:ind w:left="180" w:right="40" w:hanging="170"/>
        <w:spacing w:after="0" w:line="261" w:lineRule="auto"/>
        <w:tabs>
          <w:tab w:leader="none" w:pos="132" w:val="left"/>
        </w:tabs>
        <w:numPr>
          <w:ilvl w:val="0"/>
          <w:numId w:val="83"/>
        </w:numPr>
        <w:rPr>
          <w:rFonts w:ascii="Arial" w:cs="Arial" w:eastAsia="Arial" w:hAnsi="Arial"/>
          <w:sz w:val="15"/>
          <w:szCs w:val="15"/>
          <w:color w:val="28C0DA"/>
        </w:rPr>
      </w:pPr>
      <w:r>
        <w:rPr>
          <w:rFonts w:ascii="Arial" w:cs="Arial" w:eastAsia="Arial" w:hAnsi="Arial"/>
          <w:sz w:val="15"/>
          <w:szCs w:val="15"/>
          <w:color w:val="auto"/>
        </w:rPr>
        <w:t>  Expanded the firm's ESG offerings and capabilities amid increasing regulatory scrutiny and a rapidly evolving competitive landscape. Important advancements in Fixed Income ESG research and its integration into our investment process as well as our ESG operations, and corporate undertakings.</w:t>
      </w:r>
    </w:p>
    <w:p>
      <w:pPr>
        <w:spacing w:after="0" w:line="24" w:lineRule="exact"/>
        <w:rPr>
          <w:rFonts w:ascii="Arial" w:cs="Arial" w:eastAsia="Arial" w:hAnsi="Arial"/>
          <w:sz w:val="15"/>
          <w:szCs w:val="15"/>
          <w:color w:val="28C0DA"/>
        </w:rPr>
      </w:pPr>
    </w:p>
    <w:p>
      <w:pPr>
        <w:ind w:left="180" w:right="480" w:hanging="170"/>
        <w:spacing w:after="0" w:line="278" w:lineRule="auto"/>
        <w:tabs>
          <w:tab w:leader="none" w:pos="132" w:val="left"/>
        </w:tabs>
        <w:numPr>
          <w:ilvl w:val="0"/>
          <w:numId w:val="83"/>
        </w:numPr>
        <w:rPr>
          <w:rFonts w:ascii="Arial" w:cs="Arial" w:eastAsia="Arial" w:hAnsi="Arial"/>
          <w:sz w:val="15"/>
          <w:szCs w:val="15"/>
          <w:color w:val="28C0DA"/>
        </w:rPr>
      </w:pPr>
      <w:r>
        <w:rPr>
          <w:rFonts w:ascii="Arial" w:cs="Arial" w:eastAsia="Arial" w:hAnsi="Arial"/>
          <w:sz w:val="15"/>
          <w:szCs w:val="15"/>
          <w:color w:val="auto"/>
        </w:rPr>
        <w:t>  Served as executive sponsor of WAVE, the firm's business resource group designed to promote a sense of community among women and cultivate a network of support, mentorship, and sponsorship inclusive of allies.</w:t>
      </w:r>
    </w:p>
    <w:p>
      <w:pPr>
        <w:spacing w:after="0" w:line="25" w:lineRule="exact"/>
        <w:rPr>
          <w:rFonts w:ascii="Arial" w:cs="Arial" w:eastAsia="Arial" w:hAnsi="Arial"/>
          <w:sz w:val="15"/>
          <w:szCs w:val="15"/>
          <w:color w:val="28C0DA"/>
        </w:rPr>
      </w:pPr>
    </w:p>
    <w:p>
      <w:pPr>
        <w:ind w:left="180" w:right="440" w:hanging="170"/>
        <w:spacing w:after="0" w:line="278" w:lineRule="auto"/>
        <w:tabs>
          <w:tab w:leader="none" w:pos="132" w:val="left"/>
        </w:tabs>
        <w:numPr>
          <w:ilvl w:val="0"/>
          <w:numId w:val="83"/>
        </w:numPr>
        <w:rPr>
          <w:rFonts w:ascii="Arial" w:cs="Arial" w:eastAsia="Arial" w:hAnsi="Arial"/>
          <w:sz w:val="15"/>
          <w:szCs w:val="15"/>
          <w:color w:val="28C0DA"/>
        </w:rPr>
      </w:pPr>
      <w:r>
        <w:rPr>
          <w:rFonts w:ascii="Arial" w:cs="Arial" w:eastAsia="Arial" w:hAnsi="Arial"/>
          <w:sz w:val="15"/>
          <w:szCs w:val="15"/>
          <w:color w:val="auto"/>
        </w:rPr>
        <w:t>  Key contributor on the Management, Management Compensation and Development, U.S. Equity Steering, International Equity Steering, Multi-Asset Steering, and Product Committees.</w:t>
      </w:r>
    </w:p>
    <w:p>
      <w:pPr>
        <w:spacing w:after="0" w:line="200" w:lineRule="exact"/>
        <w:rPr>
          <w:sz w:val="20"/>
          <w:szCs w:val="20"/>
          <w:color w:val="auto"/>
        </w:rPr>
      </w:pPr>
    </w:p>
    <w:p>
      <w:pPr>
        <w:sectPr>
          <w:pgSz w:w="11900" w:h="16838" w:orient="portrait"/>
          <w:cols w:equalWidth="0" w:num="2">
            <w:col w:w="1540" w:space="700"/>
            <w:col w:w="9000"/>
          </w:cols>
          <w:pgMar w:left="320" w:top="223" w:right="339" w:bottom="1440" w:gutter="0" w:footer="0" w:header="0"/>
          <w:type w:val="continuous"/>
        </w:sect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Annual Variable Compensation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Annual Incentive Compensation</w:t>
      </w:r>
    </w:p>
    <w:p>
      <w:pPr>
        <w:spacing w:after="0" w:line="100" w:lineRule="exact"/>
        <w:rPr>
          <w:sz w:val="20"/>
          <w:szCs w:val="20"/>
          <w:color w:val="auto"/>
        </w:rPr>
      </w:pPr>
    </w:p>
    <w:p>
      <w:pPr>
        <w:ind w:right="100"/>
        <w:spacing w:after="0" w:line="252" w:lineRule="auto"/>
        <w:rPr>
          <w:sz w:val="20"/>
          <w:szCs w:val="20"/>
          <w:color w:val="auto"/>
        </w:rPr>
      </w:pPr>
      <w:r>
        <w:rPr>
          <w:rFonts w:ascii="Arial" w:cs="Arial" w:eastAsia="Arial" w:hAnsi="Arial"/>
          <w:sz w:val="15"/>
          <w:szCs w:val="15"/>
          <w:color w:val="auto"/>
        </w:rPr>
        <w:t>At the beginning of the year, the Compensation Committee established each participating NEO's maximum payout percentage from the AICP bonus pool. The established payout percentages reflect the Compensation Committee's decision to impose a financial-based limit on the maximum payout to each NEO and the Compensation Committee's expectation of each NEO's relative contribution to the Company's performance. The Compensation Committee has the discretion to reduce or eliminate the share of the bonus pool payable to any NEO. Mr. August did not participate in the AICP for 2023, and did not receive an annual bonus payment from the OHA compensation pool for 2023.</w:t>
      </w:r>
    </w:p>
    <w:p>
      <w:pPr>
        <w:spacing w:after="0" w:line="144" w:lineRule="exact"/>
        <w:rPr>
          <w:sz w:val="20"/>
          <w:szCs w:val="20"/>
          <w:color w:val="auto"/>
        </w:rPr>
      </w:pPr>
    </w:p>
    <w:p>
      <w:pPr>
        <w:ind w:right="980"/>
        <w:spacing w:after="0" w:line="278" w:lineRule="auto"/>
        <w:rPr>
          <w:sz w:val="20"/>
          <w:szCs w:val="20"/>
          <w:color w:val="auto"/>
        </w:rPr>
      </w:pPr>
      <w:r>
        <w:rPr>
          <w:rFonts w:ascii="Arial" w:cs="Arial" w:eastAsia="Arial" w:hAnsi="Arial"/>
          <w:sz w:val="15"/>
          <w:szCs w:val="15"/>
          <w:color w:val="auto"/>
        </w:rPr>
        <w:t>The table below shows the maximum payout (in millions) for each NEO who participated in the AICP and the actual bonus awards (in millions) made by the Compensation Committee for 2023 and 2022.</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1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jc w:val="right"/>
              <w:ind w:right="11"/>
              <w:spacing w:after="0"/>
              <w:rPr>
                <w:sz w:val="20"/>
                <w:szCs w:val="20"/>
                <w:color w:val="auto"/>
              </w:rPr>
            </w:pPr>
            <w:r>
              <w:rPr>
                <w:rFonts w:ascii="Arial" w:cs="Arial" w:eastAsia="Arial" w:hAnsi="Arial"/>
                <w:sz w:val="12"/>
                <w:szCs w:val="12"/>
                <w:b w:val="1"/>
                <w:bCs w:val="1"/>
                <w:color w:val="auto"/>
                <w:w w:val="97"/>
              </w:rPr>
              <w:t>2023</w:t>
            </w:r>
          </w:p>
        </w:tc>
        <w:tc>
          <w:tcPr>
            <w:tcW w:w="140" w:type="dxa"/>
            <w:vAlign w:val="bottom"/>
            <w:tcBorders>
              <w:right w:val="single" w:sz="8" w:color="auto"/>
            </w:tcBorders>
          </w:tcPr>
          <w:p>
            <w:pPr>
              <w:spacing w:after="0"/>
              <w:rPr>
                <w:sz w:val="12"/>
                <w:szCs w:val="12"/>
                <w:color w:val="auto"/>
              </w:rPr>
            </w:pPr>
          </w:p>
        </w:tc>
        <w:tc>
          <w:tcPr>
            <w:tcW w:w="760" w:type="dxa"/>
            <w:vAlign w:val="bottom"/>
            <w:vMerge w:val="restart"/>
          </w:tcPr>
          <w:p>
            <w:pPr>
              <w:jc w:val="right"/>
              <w:ind w:right="16"/>
              <w:spacing w:after="0"/>
              <w:rPr>
                <w:sz w:val="20"/>
                <w:szCs w:val="20"/>
                <w:color w:val="auto"/>
              </w:rPr>
            </w:pPr>
            <w:r>
              <w:rPr>
                <w:rFonts w:ascii="Arial" w:cs="Arial" w:eastAsia="Arial" w:hAnsi="Arial"/>
                <w:sz w:val="12"/>
                <w:szCs w:val="12"/>
                <w:b w:val="1"/>
                <w:bCs w:val="1"/>
                <w:color w:val="auto"/>
              </w:rPr>
              <w:t>2023</w:t>
            </w:r>
          </w:p>
        </w:tc>
        <w:tc>
          <w:tcPr>
            <w:tcW w:w="140" w:type="dxa"/>
            <w:vAlign w:val="bottom"/>
            <w:tcBorders>
              <w:right w:val="single" w:sz="8" w:color="auto"/>
            </w:tcBorders>
          </w:tcPr>
          <w:p>
            <w:pPr>
              <w:spacing w:after="0"/>
              <w:rPr>
                <w:sz w:val="12"/>
                <w:szCs w:val="12"/>
                <w:color w:val="auto"/>
              </w:rPr>
            </w:pPr>
          </w:p>
        </w:tc>
        <w:tc>
          <w:tcPr>
            <w:tcW w:w="760" w:type="dxa"/>
            <w:vAlign w:val="bottom"/>
            <w:vMerge w:val="restart"/>
          </w:tcPr>
          <w:p>
            <w:pPr>
              <w:jc w:val="right"/>
              <w:ind w:right="16"/>
              <w:spacing w:after="0"/>
              <w:rPr>
                <w:sz w:val="20"/>
                <w:szCs w:val="20"/>
                <w:color w:val="auto"/>
              </w:rPr>
            </w:pPr>
            <w:r>
              <w:rPr>
                <w:rFonts w:ascii="Arial" w:cs="Arial" w:eastAsia="Arial" w:hAnsi="Arial"/>
                <w:sz w:val="12"/>
                <w:szCs w:val="12"/>
                <w:b w:val="1"/>
                <w:bCs w:val="1"/>
                <w:color w:val="auto"/>
              </w:rPr>
              <w:t>2022</w:t>
            </w:r>
          </w:p>
        </w:tc>
        <w:tc>
          <w:tcPr>
            <w:tcW w:w="14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jc w:val="right"/>
              <w:ind w:right="10"/>
              <w:spacing w:after="0"/>
              <w:rPr>
                <w:sz w:val="20"/>
                <w:szCs w:val="20"/>
                <w:color w:val="auto"/>
              </w:rPr>
            </w:pPr>
            <w:r>
              <w:rPr>
                <w:rFonts w:ascii="Arial" w:cs="Arial" w:eastAsia="Arial" w:hAnsi="Arial"/>
                <w:sz w:val="12"/>
                <w:szCs w:val="12"/>
                <w:b w:val="1"/>
                <w:bCs w:val="1"/>
                <w:color w:val="auto"/>
              </w:rPr>
              <w:t>2023</w:t>
            </w:r>
          </w:p>
        </w:tc>
        <w:tc>
          <w:tcPr>
            <w:tcW w:w="0" w:type="dxa"/>
            <w:vAlign w:val="bottom"/>
          </w:tcPr>
          <w:p>
            <w:pPr>
              <w:spacing w:after="0"/>
              <w:rPr>
                <w:sz w:val="1"/>
                <w:szCs w:val="1"/>
                <w:color w:val="auto"/>
              </w:rPr>
            </w:pPr>
          </w:p>
        </w:tc>
      </w:tr>
      <w:tr>
        <w:trPr>
          <w:trHeight w:val="125"/>
        </w:trPr>
        <w:tc>
          <w:tcPr>
            <w:tcW w:w="71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100" w:type="dxa"/>
            <w:vAlign w:val="bottom"/>
            <w:gridSpan w:val="2"/>
          </w:tcPr>
          <w:p>
            <w:pPr>
              <w:jc w:val="right"/>
              <w:ind w:right="11"/>
              <w:spacing w:after="0" w:line="125" w:lineRule="exact"/>
              <w:rPr>
                <w:sz w:val="20"/>
                <w:szCs w:val="20"/>
                <w:color w:val="auto"/>
              </w:rPr>
            </w:pPr>
            <w:r>
              <w:rPr>
                <w:rFonts w:ascii="Arial" w:cs="Arial" w:eastAsia="Arial" w:hAnsi="Arial"/>
                <w:sz w:val="12"/>
                <w:szCs w:val="12"/>
                <w:b w:val="1"/>
                <w:bCs w:val="1"/>
                <w:color w:val="auto"/>
              </w:rPr>
              <w:t>MAXIMUM</w:t>
            </w:r>
          </w:p>
        </w:tc>
        <w:tc>
          <w:tcPr>
            <w:tcW w:w="140" w:type="dxa"/>
            <w:vAlign w:val="bottom"/>
            <w:tcBorders>
              <w:right w:val="single" w:sz="8" w:color="auto"/>
            </w:tcBorders>
          </w:tcPr>
          <w:p>
            <w:pPr>
              <w:spacing w:after="0"/>
              <w:rPr>
                <w:sz w:val="10"/>
                <w:szCs w:val="10"/>
                <w:color w:val="auto"/>
              </w:rPr>
            </w:pPr>
          </w:p>
        </w:tc>
        <w:tc>
          <w:tcPr>
            <w:tcW w:w="760" w:type="dxa"/>
            <w:vAlign w:val="bottom"/>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760" w:type="dxa"/>
            <w:vAlign w:val="bottom"/>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920" w:type="dxa"/>
            <w:vAlign w:val="bottom"/>
            <w:gridSpan w:val="2"/>
          </w:tcPr>
          <w:p>
            <w:pPr>
              <w:jc w:val="right"/>
              <w:ind w:right="10"/>
              <w:spacing w:after="0" w:line="125" w:lineRule="exact"/>
              <w:rPr>
                <w:sz w:val="20"/>
                <w:szCs w:val="20"/>
                <w:color w:val="auto"/>
              </w:rPr>
            </w:pPr>
            <w:r>
              <w:rPr>
                <w:rFonts w:ascii="Arial" w:cs="Arial" w:eastAsia="Arial" w:hAnsi="Arial"/>
                <w:sz w:val="12"/>
                <w:szCs w:val="12"/>
                <w:b w:val="1"/>
                <w:bCs w:val="1"/>
                <w:color w:val="auto"/>
              </w:rPr>
              <w:t>PAYMENT</w:t>
            </w:r>
          </w:p>
        </w:tc>
        <w:tc>
          <w:tcPr>
            <w:tcW w:w="0" w:type="dxa"/>
            <w:vAlign w:val="bottom"/>
          </w:tcPr>
          <w:p>
            <w:pPr>
              <w:spacing w:after="0"/>
              <w:rPr>
                <w:sz w:val="1"/>
                <w:szCs w:val="1"/>
                <w:color w:val="auto"/>
              </w:rPr>
            </w:pPr>
          </w:p>
        </w:tc>
      </w:tr>
      <w:tr>
        <w:trPr>
          <w:trHeight w:val="125"/>
        </w:trPr>
        <w:tc>
          <w:tcPr>
            <w:tcW w:w="71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100" w:type="dxa"/>
            <w:vAlign w:val="bottom"/>
            <w:gridSpan w:val="2"/>
          </w:tcPr>
          <w:p>
            <w:pPr>
              <w:jc w:val="right"/>
              <w:ind w:right="11"/>
              <w:spacing w:after="0" w:line="125" w:lineRule="exact"/>
              <w:rPr>
                <w:sz w:val="20"/>
                <w:szCs w:val="20"/>
                <w:color w:val="auto"/>
              </w:rPr>
            </w:pPr>
            <w:r>
              <w:rPr>
                <w:rFonts w:ascii="Arial" w:cs="Arial" w:eastAsia="Arial" w:hAnsi="Arial"/>
                <w:sz w:val="12"/>
                <w:szCs w:val="12"/>
                <w:b w:val="1"/>
                <w:bCs w:val="1"/>
                <w:color w:val="auto"/>
              </w:rPr>
              <w:t>PAYOUT</w:t>
            </w:r>
          </w:p>
        </w:tc>
        <w:tc>
          <w:tcPr>
            <w:tcW w:w="140" w:type="dxa"/>
            <w:vAlign w:val="bottom"/>
            <w:tcBorders>
              <w:right w:val="single" w:sz="8" w:color="auto"/>
            </w:tcBorders>
          </w:tcPr>
          <w:p>
            <w:pPr>
              <w:spacing w:after="0"/>
              <w:rPr>
                <w:sz w:val="10"/>
                <w:szCs w:val="10"/>
                <w:color w:val="auto"/>
              </w:rPr>
            </w:pPr>
          </w:p>
        </w:tc>
        <w:tc>
          <w:tcPr>
            <w:tcW w:w="760" w:type="dxa"/>
            <w:vAlign w:val="bottom"/>
          </w:tcPr>
          <w:p>
            <w:pPr>
              <w:jc w:val="right"/>
              <w:ind w:right="16"/>
              <w:spacing w:after="0" w:line="125" w:lineRule="exact"/>
              <w:rPr>
                <w:sz w:val="20"/>
                <w:szCs w:val="20"/>
                <w:color w:val="auto"/>
              </w:rPr>
            </w:pPr>
            <w:r>
              <w:rPr>
                <w:rFonts w:ascii="Arial" w:cs="Arial" w:eastAsia="Arial" w:hAnsi="Arial"/>
                <w:sz w:val="12"/>
                <w:szCs w:val="12"/>
                <w:b w:val="1"/>
                <w:bCs w:val="1"/>
                <w:color w:val="auto"/>
              </w:rPr>
              <w:t>ANNUAL</w:t>
            </w:r>
          </w:p>
        </w:tc>
        <w:tc>
          <w:tcPr>
            <w:tcW w:w="140" w:type="dxa"/>
            <w:vAlign w:val="bottom"/>
            <w:tcBorders>
              <w:right w:val="single" w:sz="8" w:color="auto"/>
            </w:tcBorders>
          </w:tcPr>
          <w:p>
            <w:pPr>
              <w:spacing w:after="0"/>
              <w:rPr>
                <w:sz w:val="10"/>
                <w:szCs w:val="10"/>
                <w:color w:val="auto"/>
              </w:rPr>
            </w:pPr>
          </w:p>
        </w:tc>
        <w:tc>
          <w:tcPr>
            <w:tcW w:w="760" w:type="dxa"/>
            <w:vAlign w:val="bottom"/>
          </w:tcPr>
          <w:p>
            <w:pPr>
              <w:jc w:val="right"/>
              <w:ind w:right="16"/>
              <w:spacing w:after="0" w:line="125" w:lineRule="exact"/>
              <w:rPr>
                <w:sz w:val="20"/>
                <w:szCs w:val="20"/>
                <w:color w:val="auto"/>
              </w:rPr>
            </w:pPr>
            <w:r>
              <w:rPr>
                <w:rFonts w:ascii="Arial" w:cs="Arial" w:eastAsia="Arial" w:hAnsi="Arial"/>
                <w:sz w:val="12"/>
                <w:szCs w:val="12"/>
                <w:b w:val="1"/>
                <w:bCs w:val="1"/>
                <w:color w:val="auto"/>
              </w:rPr>
              <w:t>ANNUAL</w:t>
            </w:r>
          </w:p>
        </w:tc>
        <w:tc>
          <w:tcPr>
            <w:tcW w:w="140" w:type="dxa"/>
            <w:vAlign w:val="bottom"/>
            <w:tcBorders>
              <w:right w:val="single" w:sz="8" w:color="auto"/>
            </w:tcBorders>
          </w:tcPr>
          <w:p>
            <w:pPr>
              <w:spacing w:after="0"/>
              <w:rPr>
                <w:sz w:val="10"/>
                <w:szCs w:val="10"/>
                <w:color w:val="auto"/>
              </w:rPr>
            </w:pPr>
          </w:p>
        </w:tc>
        <w:tc>
          <w:tcPr>
            <w:tcW w:w="920" w:type="dxa"/>
            <w:vAlign w:val="bottom"/>
            <w:gridSpan w:val="2"/>
          </w:tcPr>
          <w:p>
            <w:pPr>
              <w:jc w:val="right"/>
              <w:ind w:right="10"/>
              <w:spacing w:after="0" w:line="125" w:lineRule="exact"/>
              <w:rPr>
                <w:sz w:val="20"/>
                <w:szCs w:val="20"/>
                <w:color w:val="auto"/>
              </w:rPr>
            </w:pPr>
            <w:r>
              <w:rPr>
                <w:rFonts w:ascii="Arial" w:cs="Arial" w:eastAsia="Arial" w:hAnsi="Arial"/>
                <w:sz w:val="12"/>
                <w:szCs w:val="12"/>
                <w:b w:val="1"/>
                <w:bCs w:val="1"/>
                <w:color w:val="auto"/>
                <w:w w:val="98"/>
              </w:rPr>
              <w:t>PERCENTAGE</w:t>
            </w:r>
          </w:p>
        </w:tc>
        <w:tc>
          <w:tcPr>
            <w:tcW w:w="0" w:type="dxa"/>
            <w:vAlign w:val="bottom"/>
          </w:tcPr>
          <w:p>
            <w:pPr>
              <w:spacing w:after="0"/>
              <w:rPr>
                <w:sz w:val="1"/>
                <w:szCs w:val="1"/>
                <w:color w:val="auto"/>
              </w:rPr>
            </w:pPr>
          </w:p>
        </w:tc>
      </w:tr>
      <w:tr>
        <w:trPr>
          <w:trHeight w:val="125"/>
        </w:trPr>
        <w:tc>
          <w:tcPr>
            <w:tcW w:w="7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NAME</w:t>
            </w:r>
          </w:p>
        </w:tc>
        <w:tc>
          <w:tcPr>
            <w:tcW w:w="140" w:type="dxa"/>
            <w:vAlign w:val="bottom"/>
            <w:tcBorders>
              <w:right w:val="single" w:sz="8" w:color="auto"/>
            </w:tcBorders>
          </w:tcPr>
          <w:p>
            <w:pPr>
              <w:spacing w:after="0"/>
              <w:rPr>
                <w:sz w:val="10"/>
                <w:szCs w:val="10"/>
                <w:color w:val="auto"/>
              </w:rPr>
            </w:pPr>
          </w:p>
        </w:tc>
        <w:tc>
          <w:tcPr>
            <w:tcW w:w="1100" w:type="dxa"/>
            <w:vAlign w:val="bottom"/>
            <w:gridSpan w:val="2"/>
          </w:tcPr>
          <w:p>
            <w:pPr>
              <w:jc w:val="right"/>
              <w:ind w:right="11"/>
              <w:spacing w:after="0" w:line="125" w:lineRule="exact"/>
              <w:rPr>
                <w:sz w:val="20"/>
                <w:szCs w:val="20"/>
                <w:color w:val="auto"/>
              </w:rPr>
            </w:pPr>
            <w:r>
              <w:rPr>
                <w:rFonts w:ascii="Arial" w:cs="Arial" w:eastAsia="Arial" w:hAnsi="Arial"/>
                <w:sz w:val="12"/>
                <w:szCs w:val="12"/>
                <w:b w:val="1"/>
                <w:bCs w:val="1"/>
                <w:color w:val="auto"/>
              </w:rPr>
              <w:t>BASED ON THE</w:t>
            </w:r>
          </w:p>
        </w:tc>
        <w:tc>
          <w:tcPr>
            <w:tcW w:w="140" w:type="dxa"/>
            <w:vAlign w:val="bottom"/>
            <w:tcBorders>
              <w:right w:val="single" w:sz="8" w:color="auto"/>
            </w:tcBorders>
          </w:tcPr>
          <w:p>
            <w:pPr>
              <w:spacing w:after="0"/>
              <w:rPr>
                <w:sz w:val="10"/>
                <w:szCs w:val="10"/>
                <w:color w:val="auto"/>
              </w:rPr>
            </w:pPr>
          </w:p>
        </w:tc>
        <w:tc>
          <w:tcPr>
            <w:tcW w:w="760" w:type="dxa"/>
            <w:vAlign w:val="bottom"/>
          </w:tcPr>
          <w:p>
            <w:pPr>
              <w:jc w:val="right"/>
              <w:ind w:right="16"/>
              <w:spacing w:after="0" w:line="125" w:lineRule="exact"/>
              <w:rPr>
                <w:sz w:val="20"/>
                <w:szCs w:val="20"/>
                <w:color w:val="auto"/>
              </w:rPr>
            </w:pPr>
            <w:r>
              <w:rPr>
                <w:rFonts w:ascii="Arial" w:cs="Arial" w:eastAsia="Arial" w:hAnsi="Arial"/>
                <w:sz w:val="12"/>
                <w:szCs w:val="12"/>
                <w:b w:val="1"/>
                <w:bCs w:val="1"/>
                <w:color w:val="auto"/>
              </w:rPr>
              <w:t>INCENTIVE</w:t>
            </w:r>
          </w:p>
        </w:tc>
        <w:tc>
          <w:tcPr>
            <w:tcW w:w="140" w:type="dxa"/>
            <w:vAlign w:val="bottom"/>
            <w:tcBorders>
              <w:right w:val="single" w:sz="8" w:color="auto"/>
            </w:tcBorders>
          </w:tcPr>
          <w:p>
            <w:pPr>
              <w:spacing w:after="0"/>
              <w:rPr>
                <w:sz w:val="10"/>
                <w:szCs w:val="10"/>
                <w:color w:val="auto"/>
              </w:rPr>
            </w:pPr>
          </w:p>
        </w:tc>
        <w:tc>
          <w:tcPr>
            <w:tcW w:w="760" w:type="dxa"/>
            <w:vAlign w:val="bottom"/>
          </w:tcPr>
          <w:p>
            <w:pPr>
              <w:jc w:val="right"/>
              <w:ind w:right="16"/>
              <w:spacing w:after="0" w:line="125" w:lineRule="exact"/>
              <w:rPr>
                <w:sz w:val="20"/>
                <w:szCs w:val="20"/>
                <w:color w:val="auto"/>
              </w:rPr>
            </w:pPr>
            <w:r>
              <w:rPr>
                <w:rFonts w:ascii="Arial" w:cs="Arial" w:eastAsia="Arial" w:hAnsi="Arial"/>
                <w:sz w:val="12"/>
                <w:szCs w:val="12"/>
                <w:b w:val="1"/>
                <w:bCs w:val="1"/>
                <w:color w:val="auto"/>
              </w:rPr>
              <w:t>INCENTIVE</w:t>
            </w:r>
          </w:p>
        </w:tc>
        <w:tc>
          <w:tcPr>
            <w:tcW w:w="140" w:type="dxa"/>
            <w:vAlign w:val="bottom"/>
            <w:tcBorders>
              <w:right w:val="single" w:sz="8" w:color="auto"/>
            </w:tcBorders>
          </w:tcPr>
          <w:p>
            <w:pPr>
              <w:spacing w:after="0"/>
              <w:rPr>
                <w:sz w:val="10"/>
                <w:szCs w:val="10"/>
                <w:color w:val="auto"/>
              </w:rPr>
            </w:pPr>
          </w:p>
        </w:tc>
        <w:tc>
          <w:tcPr>
            <w:tcW w:w="920" w:type="dxa"/>
            <w:vAlign w:val="bottom"/>
            <w:gridSpan w:val="2"/>
          </w:tcPr>
          <w:p>
            <w:pPr>
              <w:jc w:val="right"/>
              <w:ind w:right="10"/>
              <w:spacing w:after="0" w:line="125" w:lineRule="exact"/>
              <w:rPr>
                <w:sz w:val="20"/>
                <w:szCs w:val="20"/>
                <w:color w:val="auto"/>
              </w:rPr>
            </w:pPr>
            <w:r>
              <w:rPr>
                <w:rFonts w:ascii="Arial" w:cs="Arial" w:eastAsia="Arial" w:hAnsi="Arial"/>
                <w:sz w:val="12"/>
                <w:szCs w:val="12"/>
                <w:b w:val="1"/>
                <w:bCs w:val="1"/>
                <w:color w:val="auto"/>
              </w:rPr>
              <w:t>CHANGE</w:t>
            </w:r>
          </w:p>
        </w:tc>
        <w:tc>
          <w:tcPr>
            <w:tcW w:w="0" w:type="dxa"/>
            <w:vAlign w:val="bottom"/>
          </w:tcPr>
          <w:p>
            <w:pPr>
              <w:spacing w:after="0"/>
              <w:rPr>
                <w:sz w:val="1"/>
                <w:szCs w:val="1"/>
                <w:color w:val="auto"/>
              </w:rPr>
            </w:pPr>
          </w:p>
        </w:tc>
      </w:tr>
      <w:tr>
        <w:trPr>
          <w:trHeight w:val="155"/>
        </w:trPr>
        <w:tc>
          <w:tcPr>
            <w:tcW w:w="714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CEEFF"/>
              <w:right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2"/>
                <w:szCs w:val="12"/>
                <w:b w:val="1"/>
                <w:bCs w:val="1"/>
                <w:color w:val="auto"/>
              </w:rPr>
              <w:t>TOTAL POOL</w:t>
            </w:r>
          </w:p>
        </w:tc>
        <w:tc>
          <w:tcPr>
            <w:tcW w:w="140" w:type="dxa"/>
            <w:vAlign w:val="bottom"/>
            <w:tcBorders>
              <w:bottom w:val="single" w:sz="8" w:color="CCEEFF"/>
              <w:right w:val="single" w:sz="8" w:color="auto"/>
            </w:tcBorders>
          </w:tcPr>
          <w:p>
            <w:pPr>
              <w:spacing w:after="0"/>
              <w:rPr>
                <w:sz w:val="13"/>
                <w:szCs w:val="13"/>
                <w:color w:val="auto"/>
              </w:rPr>
            </w:pP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12"/>
                <w:szCs w:val="12"/>
                <w:b w:val="1"/>
                <w:bCs w:val="1"/>
                <w:color w:val="auto"/>
              </w:rPr>
              <w:t>PAYMENT</w:t>
            </w:r>
          </w:p>
        </w:tc>
        <w:tc>
          <w:tcPr>
            <w:tcW w:w="140" w:type="dxa"/>
            <w:vAlign w:val="bottom"/>
            <w:tcBorders>
              <w:bottom w:val="single" w:sz="8" w:color="CCEEFF"/>
              <w:right w:val="single" w:sz="8" w:color="auto"/>
            </w:tcBorders>
          </w:tcPr>
          <w:p>
            <w:pPr>
              <w:spacing w:after="0"/>
              <w:rPr>
                <w:sz w:val="13"/>
                <w:szCs w:val="13"/>
                <w:color w:val="auto"/>
              </w:rPr>
            </w:pP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12"/>
                <w:szCs w:val="12"/>
                <w:b w:val="1"/>
                <w:bCs w:val="1"/>
                <w:color w:val="auto"/>
              </w:rPr>
              <w:t>PAYMENT</w:t>
            </w:r>
          </w:p>
        </w:tc>
        <w:tc>
          <w:tcPr>
            <w:tcW w:w="140" w:type="dxa"/>
            <w:vAlign w:val="bottom"/>
            <w:tcBorders>
              <w:bottom w:val="single" w:sz="8" w:color="CCEEFF"/>
              <w:right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2"/>
                <w:szCs w:val="12"/>
                <w:b w:val="1"/>
                <w:bCs w:val="1"/>
                <w:color w:val="auto"/>
              </w:rPr>
              <w:t>OVER 2022</w:t>
            </w:r>
          </w:p>
        </w:tc>
        <w:tc>
          <w:tcPr>
            <w:tcW w:w="0" w:type="dxa"/>
            <w:vAlign w:val="bottom"/>
          </w:tcPr>
          <w:p>
            <w:pPr>
              <w:spacing w:after="0"/>
              <w:rPr>
                <w:sz w:val="1"/>
                <w:szCs w:val="1"/>
                <w:color w:val="auto"/>
              </w:rPr>
            </w:pPr>
          </w:p>
        </w:tc>
      </w:tr>
      <w:tr>
        <w:trPr>
          <w:trHeight w:val="192"/>
        </w:trPr>
        <w:tc>
          <w:tcPr>
            <w:tcW w:w="7140" w:type="dxa"/>
            <w:vAlign w:val="bottom"/>
            <w:shd w:val="clear" w:color="auto" w:fill="CCEEFF"/>
          </w:tcPr>
          <w:p>
            <w:pPr>
              <w:ind w:left="60"/>
              <w:spacing w:after="0"/>
              <w:rPr>
                <w:sz w:val="20"/>
                <w:szCs w:val="20"/>
                <w:color w:val="auto"/>
              </w:rPr>
            </w:pPr>
            <w:r>
              <w:rPr>
                <w:rFonts w:ascii="Arial" w:cs="Arial" w:eastAsia="Arial" w:hAnsi="Arial"/>
                <w:sz w:val="15"/>
                <w:szCs w:val="15"/>
                <w:b w:val="1"/>
                <w:bCs w:val="1"/>
                <w:color w:val="00254F"/>
              </w:rPr>
              <w:t>Robert W. Sharps</w:t>
            </w:r>
          </w:p>
        </w:tc>
        <w:tc>
          <w:tcPr>
            <w:tcW w:w="1240" w:type="dxa"/>
            <w:vAlign w:val="bottom"/>
            <w:gridSpan w:val="3"/>
            <w:shd w:val="clear" w:color="auto" w:fill="CCEEFF"/>
          </w:tcPr>
          <w:p>
            <w:pPr>
              <w:jc w:val="right"/>
              <w:ind w:right="11"/>
              <w:spacing w:after="0"/>
              <w:rPr>
                <w:sz w:val="20"/>
                <w:szCs w:val="20"/>
                <w:color w:val="auto"/>
              </w:rPr>
            </w:pPr>
            <w:r>
              <w:rPr>
                <w:rFonts w:ascii="Arial" w:cs="Arial" w:eastAsia="Arial" w:hAnsi="Arial"/>
                <w:sz w:val="15"/>
                <w:szCs w:val="15"/>
                <w:color w:val="auto"/>
              </w:rPr>
              <w:t>$12.7</w:t>
            </w:r>
          </w:p>
        </w:tc>
        <w:tc>
          <w:tcPr>
            <w:tcW w:w="900" w:type="dxa"/>
            <w:vAlign w:val="bottom"/>
            <w:gridSpan w:val="2"/>
            <w:shd w:val="clear" w:color="auto" w:fill="CCEEFF"/>
          </w:tcPr>
          <w:p>
            <w:pPr>
              <w:jc w:val="right"/>
              <w:ind w:right="16"/>
              <w:spacing w:after="0"/>
              <w:rPr>
                <w:sz w:val="20"/>
                <w:szCs w:val="20"/>
                <w:color w:val="auto"/>
              </w:rPr>
            </w:pPr>
            <w:r>
              <w:rPr>
                <w:rFonts w:ascii="Arial" w:cs="Arial" w:eastAsia="Arial" w:hAnsi="Arial"/>
                <w:sz w:val="15"/>
                <w:szCs w:val="15"/>
                <w:color w:val="auto"/>
              </w:rPr>
              <w:t>$7.3</w:t>
            </w:r>
          </w:p>
        </w:tc>
        <w:tc>
          <w:tcPr>
            <w:tcW w:w="900" w:type="dxa"/>
            <w:vAlign w:val="bottom"/>
            <w:gridSpan w:val="2"/>
            <w:shd w:val="clear" w:color="auto" w:fill="CCEEFF"/>
          </w:tcPr>
          <w:p>
            <w:pPr>
              <w:jc w:val="right"/>
              <w:ind w:right="16"/>
              <w:spacing w:after="0"/>
              <w:rPr>
                <w:sz w:val="20"/>
                <w:szCs w:val="20"/>
                <w:color w:val="auto"/>
              </w:rPr>
            </w:pPr>
            <w:r>
              <w:rPr>
                <w:rFonts w:ascii="Arial" w:cs="Arial" w:eastAsia="Arial" w:hAnsi="Arial"/>
                <w:sz w:val="15"/>
                <w:szCs w:val="15"/>
                <w:color w:val="auto"/>
              </w:rPr>
              <w:t>$8.0</w:t>
            </w:r>
          </w:p>
        </w:tc>
        <w:tc>
          <w:tcPr>
            <w:tcW w:w="140" w:type="dxa"/>
            <w:vAlign w:val="bottom"/>
            <w:tcBorders>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w w:val="99"/>
              </w:rPr>
              <w:t>(8.8)%</w:t>
            </w:r>
          </w:p>
        </w:tc>
        <w:tc>
          <w:tcPr>
            <w:tcW w:w="0" w:type="dxa"/>
            <w:vAlign w:val="bottom"/>
          </w:tcPr>
          <w:p>
            <w:pPr>
              <w:spacing w:after="0"/>
              <w:rPr>
                <w:sz w:val="1"/>
                <w:szCs w:val="1"/>
                <w:color w:val="auto"/>
              </w:rPr>
            </w:pPr>
          </w:p>
        </w:tc>
      </w:tr>
      <w:tr>
        <w:trPr>
          <w:trHeight w:val="192"/>
        </w:trPr>
        <w:tc>
          <w:tcPr>
            <w:tcW w:w="7140" w:type="dxa"/>
            <w:vAlign w:val="bottom"/>
            <w:tcBorders>
              <w:top w:val="single" w:sz="8" w:color="auto"/>
              <w:bottom w:val="single" w:sz="8" w:color="auto"/>
            </w:tcBorders>
            <w:shd w:val="clear" w:color="auto" w:fill="EEEFEE"/>
          </w:tcPr>
          <w:p>
            <w:pPr>
              <w:ind w:left="60"/>
              <w:spacing w:after="0"/>
              <w:rPr>
                <w:sz w:val="20"/>
                <w:szCs w:val="20"/>
                <w:color w:val="auto"/>
              </w:rPr>
            </w:pPr>
            <w:r>
              <w:rPr>
                <w:rFonts w:ascii="Arial" w:cs="Arial" w:eastAsia="Arial" w:hAnsi="Arial"/>
                <w:sz w:val="15"/>
                <w:szCs w:val="15"/>
                <w:b w:val="1"/>
                <w:bCs w:val="1"/>
                <w:color w:val="00254F"/>
              </w:rPr>
              <w:t>Jennifer B. Dardis</w:t>
            </w:r>
          </w:p>
        </w:tc>
        <w:tc>
          <w:tcPr>
            <w:tcW w:w="140" w:type="dxa"/>
            <w:vAlign w:val="bottom"/>
            <w:tcBorders>
              <w:bottom w:val="single" w:sz="8" w:color="CCEEFF"/>
              <w:right w:val="single" w:sz="8" w:color="EEEFEE"/>
            </w:tcBorders>
          </w:tcPr>
          <w:p>
            <w:pPr>
              <w:spacing w:after="0"/>
              <w:rPr>
                <w:sz w:val="16"/>
                <w:szCs w:val="16"/>
                <w:color w:val="auto"/>
              </w:rPr>
            </w:pPr>
          </w:p>
        </w:tc>
        <w:tc>
          <w:tcPr>
            <w:tcW w:w="74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360" w:type="dxa"/>
            <w:vAlign w:val="bottom"/>
            <w:tcBorders>
              <w:top w:val="single" w:sz="8" w:color="auto"/>
              <w:bottom w:val="single" w:sz="8" w:color="auto"/>
            </w:tcBorders>
            <w:shd w:val="clear" w:color="auto" w:fill="EEEFEE"/>
          </w:tcPr>
          <w:p>
            <w:pPr>
              <w:jc w:val="right"/>
              <w:ind w:right="11"/>
              <w:spacing w:after="0"/>
              <w:rPr>
                <w:sz w:val="20"/>
                <w:szCs w:val="20"/>
                <w:color w:val="auto"/>
              </w:rPr>
            </w:pPr>
            <w:r>
              <w:rPr>
                <w:rFonts w:ascii="Arial" w:cs="Arial" w:eastAsia="Arial" w:hAnsi="Arial"/>
                <w:sz w:val="15"/>
                <w:szCs w:val="15"/>
                <w:color w:val="auto"/>
              </w:rPr>
              <w:t>6.3</w:t>
            </w:r>
          </w:p>
        </w:tc>
        <w:tc>
          <w:tcPr>
            <w:tcW w:w="140" w:type="dxa"/>
            <w:vAlign w:val="bottom"/>
            <w:tcBorders>
              <w:bottom w:val="single" w:sz="8" w:color="CCEEFF"/>
              <w:right w:val="single" w:sz="8" w:color="EEEFEE"/>
            </w:tcBorders>
          </w:tcPr>
          <w:p>
            <w:pPr>
              <w:spacing w:after="0"/>
              <w:rPr>
                <w:sz w:val="16"/>
                <w:szCs w:val="16"/>
                <w:color w:val="auto"/>
              </w:rPr>
            </w:pPr>
          </w:p>
        </w:tc>
        <w:tc>
          <w:tcPr>
            <w:tcW w:w="760" w:type="dxa"/>
            <w:vAlign w:val="bottom"/>
            <w:tcBorders>
              <w:top w:val="single" w:sz="8" w:color="auto"/>
              <w:bottom w:val="single" w:sz="8" w:color="auto"/>
            </w:tcBorders>
            <w:shd w:val="clear" w:color="auto" w:fill="EEEFEE"/>
          </w:tcPr>
          <w:p>
            <w:pPr>
              <w:jc w:val="right"/>
              <w:ind w:right="16"/>
              <w:spacing w:after="0"/>
              <w:rPr>
                <w:sz w:val="20"/>
                <w:szCs w:val="20"/>
                <w:color w:val="auto"/>
              </w:rPr>
            </w:pPr>
            <w:r>
              <w:rPr>
                <w:rFonts w:ascii="Arial" w:cs="Arial" w:eastAsia="Arial" w:hAnsi="Arial"/>
                <w:sz w:val="15"/>
                <w:szCs w:val="15"/>
                <w:color w:val="auto"/>
              </w:rPr>
              <w:t>$2.2</w:t>
            </w:r>
          </w:p>
        </w:tc>
        <w:tc>
          <w:tcPr>
            <w:tcW w:w="140" w:type="dxa"/>
            <w:vAlign w:val="bottom"/>
            <w:tcBorders>
              <w:bottom w:val="single" w:sz="8" w:color="CCEEFF"/>
              <w:right w:val="single" w:sz="8" w:color="EEEFEE"/>
            </w:tcBorders>
          </w:tcPr>
          <w:p>
            <w:pPr>
              <w:spacing w:after="0"/>
              <w:rPr>
                <w:sz w:val="16"/>
                <w:szCs w:val="16"/>
                <w:color w:val="auto"/>
              </w:rPr>
            </w:pPr>
          </w:p>
        </w:tc>
        <w:tc>
          <w:tcPr>
            <w:tcW w:w="760" w:type="dxa"/>
            <w:vAlign w:val="bottom"/>
            <w:tcBorders>
              <w:top w:val="single" w:sz="8" w:color="auto"/>
              <w:bottom w:val="single" w:sz="8" w:color="auto"/>
            </w:tcBorders>
            <w:shd w:val="clear" w:color="auto" w:fill="EEEFEE"/>
          </w:tcPr>
          <w:p>
            <w:pPr>
              <w:jc w:val="right"/>
              <w:ind w:right="16"/>
              <w:spacing w:after="0"/>
              <w:rPr>
                <w:sz w:val="20"/>
                <w:szCs w:val="20"/>
                <w:color w:val="auto"/>
              </w:rPr>
            </w:pPr>
            <w:r>
              <w:rPr>
                <w:rFonts w:ascii="Arial" w:cs="Arial" w:eastAsia="Arial" w:hAnsi="Arial"/>
                <w:sz w:val="15"/>
                <w:szCs w:val="15"/>
                <w:color w:val="auto"/>
              </w:rPr>
              <w:t>$2.3</w:t>
            </w:r>
          </w:p>
        </w:tc>
        <w:tc>
          <w:tcPr>
            <w:tcW w:w="140" w:type="dxa"/>
            <w:vAlign w:val="bottom"/>
            <w:tcBorders>
              <w:bottom w:val="single" w:sz="8" w:color="CCEEFF"/>
              <w:right w:val="single" w:sz="8" w:color="EEEFEE"/>
            </w:tcBorders>
          </w:tcPr>
          <w:p>
            <w:pPr>
              <w:spacing w:after="0"/>
              <w:rPr>
                <w:sz w:val="16"/>
                <w:szCs w:val="16"/>
                <w:color w:val="auto"/>
              </w:rPr>
            </w:pPr>
          </w:p>
        </w:tc>
        <w:tc>
          <w:tcPr>
            <w:tcW w:w="380" w:type="dxa"/>
            <w:vAlign w:val="bottom"/>
            <w:tcBorders>
              <w:top w:val="single" w:sz="8" w:color="auto"/>
              <w:bottom w:val="single" w:sz="8" w:color="auto"/>
            </w:tcBorders>
            <w:shd w:val="clear" w:color="auto" w:fill="EEEFEE"/>
          </w:tcPr>
          <w:p>
            <w:pPr>
              <w:spacing w:after="0"/>
              <w:rPr>
                <w:sz w:val="16"/>
                <w:szCs w:val="16"/>
                <w:color w:val="auto"/>
              </w:rPr>
            </w:pPr>
          </w:p>
        </w:tc>
        <w:tc>
          <w:tcPr>
            <w:tcW w:w="540" w:type="dxa"/>
            <w:vAlign w:val="bottom"/>
            <w:tcBorders>
              <w:top w:val="single" w:sz="8" w:color="auto"/>
              <w:bottom w:val="single" w:sz="8" w:color="auto"/>
            </w:tcBorders>
            <w:shd w:val="clear" w:color="auto" w:fill="EEEFEE"/>
          </w:tcPr>
          <w:p>
            <w:pPr>
              <w:jc w:val="right"/>
              <w:ind w:right="10"/>
              <w:spacing w:after="0"/>
              <w:rPr>
                <w:sz w:val="20"/>
                <w:szCs w:val="20"/>
                <w:color w:val="auto"/>
              </w:rPr>
            </w:pPr>
            <w:r>
              <w:rPr>
                <w:rFonts w:ascii="Arial" w:cs="Arial" w:eastAsia="Arial" w:hAnsi="Arial"/>
                <w:sz w:val="15"/>
                <w:szCs w:val="15"/>
                <w:color w:val="auto"/>
                <w:w w:val="99"/>
              </w:rPr>
              <w:t>(5.4)%</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60"/>
              <w:spacing w:after="0" w:line="229" w:lineRule="exact"/>
              <w:rPr>
                <w:sz w:val="20"/>
                <w:szCs w:val="20"/>
                <w:color w:val="auto"/>
              </w:rPr>
            </w:pPr>
            <w:r>
              <w:rPr>
                <w:rFonts w:ascii="Arial" w:cs="Arial" w:eastAsia="Arial" w:hAnsi="Arial"/>
                <w:sz w:val="15"/>
                <w:szCs w:val="15"/>
                <w:b w:val="1"/>
                <w:bCs w:val="1"/>
                <w:color w:val="00254F"/>
              </w:rPr>
              <w:t>Justin Thomson</w:t>
            </w:r>
            <w:r>
              <w:rPr>
                <w:rFonts w:ascii="Arial" w:cs="Arial" w:eastAsia="Arial" w:hAnsi="Arial"/>
                <w:sz w:val="24"/>
                <w:szCs w:val="24"/>
                <w:b w:val="1"/>
                <w:bCs w:val="1"/>
                <w:color w:val="00254F"/>
                <w:vertAlign w:val="superscript"/>
              </w:rPr>
              <w:t>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jc w:val="right"/>
              <w:ind w:right="11"/>
              <w:spacing w:after="0"/>
              <w:rPr>
                <w:sz w:val="20"/>
                <w:szCs w:val="20"/>
                <w:color w:val="auto"/>
              </w:rPr>
            </w:pPr>
            <w:r>
              <w:rPr>
                <w:rFonts w:ascii="Arial" w:cs="Arial" w:eastAsia="Arial" w:hAnsi="Arial"/>
                <w:sz w:val="15"/>
                <w:szCs w:val="15"/>
                <w:color w:val="auto"/>
              </w:rPr>
              <w:t>6.3</w:t>
            </w:r>
          </w:p>
        </w:tc>
        <w:tc>
          <w:tcPr>
            <w:tcW w:w="900" w:type="dxa"/>
            <w:vAlign w:val="bottom"/>
            <w:gridSpan w:val="2"/>
            <w:shd w:val="clear" w:color="auto" w:fill="CCEEFF"/>
          </w:tcPr>
          <w:p>
            <w:pPr>
              <w:jc w:val="right"/>
              <w:ind w:right="16"/>
              <w:spacing w:after="0"/>
              <w:rPr>
                <w:sz w:val="20"/>
                <w:szCs w:val="20"/>
                <w:color w:val="auto"/>
              </w:rPr>
            </w:pPr>
            <w:r>
              <w:rPr>
                <w:rFonts w:ascii="Arial" w:cs="Arial" w:eastAsia="Arial" w:hAnsi="Arial"/>
                <w:sz w:val="15"/>
                <w:szCs w:val="15"/>
                <w:color w:val="auto"/>
              </w:rPr>
              <w:t>$2.1</w:t>
            </w:r>
          </w:p>
        </w:tc>
        <w:tc>
          <w:tcPr>
            <w:tcW w:w="900" w:type="dxa"/>
            <w:vAlign w:val="bottom"/>
            <w:gridSpan w:val="2"/>
            <w:shd w:val="clear" w:color="auto" w:fill="CCEEFF"/>
          </w:tcPr>
          <w:p>
            <w:pPr>
              <w:jc w:val="right"/>
              <w:ind w:right="16"/>
              <w:spacing w:after="0"/>
              <w:rPr>
                <w:sz w:val="20"/>
                <w:szCs w:val="20"/>
                <w:color w:val="auto"/>
              </w:rPr>
            </w:pPr>
            <w:r>
              <w:rPr>
                <w:rFonts w:ascii="Arial" w:cs="Arial" w:eastAsia="Arial" w:hAnsi="Arial"/>
                <w:sz w:val="15"/>
                <w:szCs w:val="15"/>
                <w:color w:val="auto"/>
              </w:rPr>
              <w:t>$2.5</w:t>
            </w:r>
          </w:p>
        </w:tc>
        <w:tc>
          <w:tcPr>
            <w:tcW w:w="1060" w:type="dxa"/>
            <w:vAlign w:val="bottom"/>
            <w:gridSpan w:val="3"/>
            <w:shd w:val="clear" w:color="auto" w:fill="CCEEFF"/>
          </w:tcPr>
          <w:p>
            <w:pPr>
              <w:jc w:val="right"/>
              <w:ind w:right="10"/>
              <w:spacing w:after="0"/>
              <w:rPr>
                <w:sz w:val="20"/>
                <w:szCs w:val="20"/>
                <w:color w:val="auto"/>
              </w:rPr>
            </w:pPr>
            <w:r>
              <w:rPr>
                <w:rFonts w:ascii="Arial" w:cs="Arial" w:eastAsia="Arial" w:hAnsi="Arial"/>
                <w:sz w:val="15"/>
                <w:szCs w:val="15"/>
                <w:color w:val="auto"/>
              </w:rPr>
              <w:t>(13.6)%</w:t>
            </w:r>
          </w:p>
        </w:tc>
        <w:tc>
          <w:tcPr>
            <w:tcW w:w="0" w:type="dxa"/>
            <w:vAlign w:val="bottom"/>
          </w:tcPr>
          <w:p>
            <w:pPr>
              <w:spacing w:after="0"/>
              <w:rPr>
                <w:sz w:val="1"/>
                <w:szCs w:val="1"/>
                <w:color w:val="auto"/>
              </w:rPr>
            </w:pPr>
          </w:p>
        </w:tc>
      </w:tr>
      <w:tr>
        <w:trPr>
          <w:trHeight w:val="192"/>
        </w:trPr>
        <w:tc>
          <w:tcPr>
            <w:tcW w:w="7140" w:type="dxa"/>
            <w:vAlign w:val="bottom"/>
            <w:tcBorders>
              <w:top w:val="single" w:sz="8" w:color="auto"/>
              <w:bottom w:val="single" w:sz="8" w:color="auto"/>
            </w:tcBorders>
            <w:shd w:val="clear" w:color="auto" w:fill="EEEFEE"/>
          </w:tcPr>
          <w:p>
            <w:pPr>
              <w:ind w:left="60"/>
              <w:spacing w:after="0"/>
              <w:rPr>
                <w:sz w:val="20"/>
                <w:szCs w:val="20"/>
                <w:color w:val="auto"/>
              </w:rPr>
            </w:pPr>
            <w:r>
              <w:rPr>
                <w:rFonts w:ascii="Arial" w:cs="Arial" w:eastAsia="Arial" w:hAnsi="Arial"/>
                <w:sz w:val="15"/>
                <w:szCs w:val="15"/>
                <w:b w:val="1"/>
                <w:bCs w:val="1"/>
                <w:color w:val="00254F"/>
              </w:rPr>
              <w:t>Eric L. Veiel</w:t>
            </w:r>
          </w:p>
        </w:tc>
        <w:tc>
          <w:tcPr>
            <w:tcW w:w="140" w:type="dxa"/>
            <w:vAlign w:val="bottom"/>
            <w:tcBorders>
              <w:right w:val="single" w:sz="8" w:color="EEEFEE"/>
            </w:tcBorders>
          </w:tcPr>
          <w:p>
            <w:pPr>
              <w:spacing w:after="0"/>
              <w:rPr>
                <w:sz w:val="16"/>
                <w:szCs w:val="16"/>
                <w:color w:val="auto"/>
              </w:rPr>
            </w:pPr>
          </w:p>
        </w:tc>
        <w:tc>
          <w:tcPr>
            <w:tcW w:w="1100" w:type="dxa"/>
            <w:vAlign w:val="bottom"/>
            <w:tcBorders>
              <w:top w:val="single" w:sz="8" w:color="auto"/>
              <w:bottom w:val="single" w:sz="8" w:color="auto"/>
            </w:tcBorders>
            <w:gridSpan w:val="2"/>
            <w:shd w:val="clear" w:color="auto" w:fill="EEEFEE"/>
          </w:tcPr>
          <w:p>
            <w:pPr>
              <w:jc w:val="right"/>
              <w:ind w:right="11"/>
              <w:spacing w:after="0"/>
              <w:rPr>
                <w:sz w:val="20"/>
                <w:szCs w:val="20"/>
                <w:color w:val="auto"/>
              </w:rPr>
            </w:pPr>
            <w:r>
              <w:rPr>
                <w:rFonts w:ascii="Arial" w:cs="Arial" w:eastAsia="Arial" w:hAnsi="Arial"/>
                <w:sz w:val="15"/>
                <w:szCs w:val="15"/>
                <w:color w:val="auto"/>
              </w:rPr>
              <w:t>$10.6</w:t>
            </w:r>
          </w:p>
        </w:tc>
        <w:tc>
          <w:tcPr>
            <w:tcW w:w="140" w:type="dxa"/>
            <w:vAlign w:val="bottom"/>
            <w:tcBorders>
              <w:right w:val="single" w:sz="8" w:color="EEEFEE"/>
            </w:tcBorders>
          </w:tcPr>
          <w:p>
            <w:pPr>
              <w:spacing w:after="0"/>
              <w:rPr>
                <w:sz w:val="16"/>
                <w:szCs w:val="16"/>
                <w:color w:val="auto"/>
              </w:rPr>
            </w:pPr>
          </w:p>
        </w:tc>
        <w:tc>
          <w:tcPr>
            <w:tcW w:w="760" w:type="dxa"/>
            <w:vAlign w:val="bottom"/>
            <w:tcBorders>
              <w:top w:val="single" w:sz="8" w:color="auto"/>
              <w:bottom w:val="single" w:sz="8" w:color="auto"/>
            </w:tcBorders>
            <w:shd w:val="clear" w:color="auto" w:fill="EEEFEE"/>
          </w:tcPr>
          <w:p>
            <w:pPr>
              <w:jc w:val="right"/>
              <w:ind w:right="16"/>
              <w:spacing w:after="0"/>
              <w:rPr>
                <w:sz w:val="20"/>
                <w:szCs w:val="20"/>
                <w:color w:val="auto"/>
              </w:rPr>
            </w:pPr>
            <w:r>
              <w:rPr>
                <w:rFonts w:ascii="Arial" w:cs="Arial" w:eastAsia="Arial" w:hAnsi="Arial"/>
                <w:sz w:val="15"/>
                <w:szCs w:val="15"/>
                <w:color w:val="auto"/>
              </w:rPr>
              <w:t>$5.5</w:t>
            </w:r>
          </w:p>
        </w:tc>
        <w:tc>
          <w:tcPr>
            <w:tcW w:w="140" w:type="dxa"/>
            <w:vAlign w:val="bottom"/>
            <w:tcBorders>
              <w:right w:val="single" w:sz="8" w:color="EEEFEE"/>
            </w:tcBorders>
          </w:tcPr>
          <w:p>
            <w:pPr>
              <w:spacing w:after="0"/>
              <w:rPr>
                <w:sz w:val="16"/>
                <w:szCs w:val="16"/>
                <w:color w:val="auto"/>
              </w:rPr>
            </w:pPr>
          </w:p>
        </w:tc>
        <w:tc>
          <w:tcPr>
            <w:tcW w:w="760" w:type="dxa"/>
            <w:vAlign w:val="bottom"/>
            <w:tcBorders>
              <w:top w:val="single" w:sz="8" w:color="auto"/>
              <w:bottom w:val="single" w:sz="8" w:color="auto"/>
            </w:tcBorders>
            <w:shd w:val="clear" w:color="auto" w:fill="EEEFEE"/>
          </w:tcPr>
          <w:p>
            <w:pPr>
              <w:jc w:val="right"/>
              <w:ind w:right="16"/>
              <w:spacing w:after="0"/>
              <w:rPr>
                <w:sz w:val="20"/>
                <w:szCs w:val="20"/>
                <w:color w:val="auto"/>
              </w:rPr>
            </w:pPr>
            <w:r>
              <w:rPr>
                <w:rFonts w:ascii="Arial" w:cs="Arial" w:eastAsia="Arial" w:hAnsi="Arial"/>
                <w:sz w:val="15"/>
                <w:szCs w:val="15"/>
                <w:color w:val="auto"/>
              </w:rPr>
              <w:t>$6.0</w:t>
            </w:r>
          </w:p>
        </w:tc>
        <w:tc>
          <w:tcPr>
            <w:tcW w:w="140" w:type="dxa"/>
            <w:vAlign w:val="bottom"/>
            <w:tcBorders>
              <w:right w:val="single" w:sz="8" w:color="EEEFEE"/>
            </w:tcBorders>
          </w:tcPr>
          <w:p>
            <w:pPr>
              <w:spacing w:after="0"/>
              <w:rPr>
                <w:sz w:val="16"/>
                <w:szCs w:val="16"/>
                <w:color w:val="auto"/>
              </w:rPr>
            </w:pPr>
          </w:p>
        </w:tc>
        <w:tc>
          <w:tcPr>
            <w:tcW w:w="380" w:type="dxa"/>
            <w:vAlign w:val="bottom"/>
            <w:tcBorders>
              <w:top w:val="single" w:sz="8" w:color="auto"/>
              <w:bottom w:val="single" w:sz="8" w:color="auto"/>
            </w:tcBorders>
            <w:shd w:val="clear" w:color="auto" w:fill="EEEFEE"/>
          </w:tcPr>
          <w:p>
            <w:pPr>
              <w:spacing w:after="0"/>
              <w:rPr>
                <w:sz w:val="16"/>
                <w:szCs w:val="16"/>
                <w:color w:val="auto"/>
              </w:rPr>
            </w:pPr>
          </w:p>
        </w:tc>
        <w:tc>
          <w:tcPr>
            <w:tcW w:w="540" w:type="dxa"/>
            <w:vAlign w:val="bottom"/>
            <w:tcBorders>
              <w:top w:val="single" w:sz="8" w:color="auto"/>
              <w:bottom w:val="single" w:sz="8" w:color="auto"/>
            </w:tcBorders>
            <w:shd w:val="clear" w:color="auto" w:fill="EEEFEE"/>
          </w:tcPr>
          <w:p>
            <w:pPr>
              <w:jc w:val="right"/>
              <w:ind w:right="10"/>
              <w:spacing w:after="0"/>
              <w:rPr>
                <w:sz w:val="20"/>
                <w:szCs w:val="20"/>
                <w:color w:val="auto"/>
              </w:rPr>
            </w:pPr>
            <w:r>
              <w:rPr>
                <w:rFonts w:ascii="Arial" w:cs="Arial" w:eastAsia="Arial" w:hAnsi="Arial"/>
                <w:sz w:val="15"/>
                <w:szCs w:val="15"/>
                <w:color w:val="auto"/>
                <w:w w:val="99"/>
              </w:rPr>
              <w:t>(8.3)%</w:t>
            </w:r>
          </w:p>
        </w:tc>
        <w:tc>
          <w:tcPr>
            <w:tcW w:w="0" w:type="dxa"/>
            <w:vAlign w:val="bottom"/>
          </w:tcPr>
          <w:p>
            <w:pPr>
              <w:spacing w:after="0"/>
              <w:rPr>
                <w:sz w:val="1"/>
                <w:szCs w:val="1"/>
                <w:color w:val="auto"/>
              </w:rPr>
            </w:pPr>
          </w:p>
        </w:tc>
      </w:tr>
      <w:tr>
        <w:trPr>
          <w:trHeight w:val="352"/>
        </w:trPr>
        <w:tc>
          <w:tcPr>
            <w:tcW w:w="7140" w:type="dxa"/>
            <w:vAlign w:val="bottom"/>
          </w:tcPr>
          <w:p>
            <w:pPr>
              <w:spacing w:after="0"/>
              <w:rPr>
                <w:sz w:val="20"/>
                <w:szCs w:val="20"/>
                <w:color w:val="auto"/>
              </w:rPr>
            </w:pPr>
            <w:r>
              <w:rPr>
                <w:rFonts w:ascii="Arial" w:cs="Arial" w:eastAsia="Arial" w:hAnsi="Arial"/>
                <w:sz w:val="22"/>
                <w:szCs w:val="22"/>
                <w:color w:val="auto"/>
                <w:vertAlign w:val="superscript"/>
              </w:rPr>
              <w:t>1</w:t>
            </w:r>
            <w:r>
              <w:rPr>
                <w:rFonts w:ascii="Arial" w:cs="Arial" w:eastAsia="Arial" w:hAnsi="Arial"/>
                <w:sz w:val="13"/>
                <w:szCs w:val="13"/>
                <w:color w:val="auto"/>
              </w:rPr>
              <w:t xml:space="preserve"> Mr. Thomson received bonus amounts denominated in British pounds of £1.7 million in 2023 and £2.0 million in 2022.</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 xml:space="preserve">2024 </w:t>
            </w:r>
            <w:r>
              <w:rPr>
                <w:rFonts w:ascii="Times New Roman" w:cs="Times New Roman" w:eastAsia="Times New Roman" w:hAnsi="Times New Roman"/>
                <w:sz w:val="13"/>
                <w:szCs w:val="13"/>
                <w:color w:val="auto"/>
              </w:rPr>
              <w:t>Proxy Statement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244F"/>
              </w:rPr>
              <w:t>57</w:t>
            </w:r>
          </w:p>
        </w:tc>
        <w:tc>
          <w:tcPr>
            <w:tcW w:w="0" w:type="dxa"/>
            <w:vAlign w:val="bottom"/>
          </w:tcPr>
          <w:p>
            <w:pPr>
              <w:spacing w:after="0"/>
              <w:rPr>
                <w:sz w:val="1"/>
                <w:szCs w:val="1"/>
                <w:color w:val="auto"/>
              </w:rPr>
            </w:pPr>
          </w:p>
        </w:tc>
      </w:tr>
      <w:tr>
        <w:trPr>
          <w:trHeight w:val="385"/>
        </w:trPr>
        <w:tc>
          <w:tcPr>
            <w:tcW w:w="7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-1205865</wp:posOffset>
            </wp:positionV>
            <wp:extent cx="7142480" cy="1346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2480" cy="134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-935990</wp:posOffset>
            </wp:positionV>
            <wp:extent cx="7142480" cy="1587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2480" cy="15875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7"/>
          <w:szCs w:val="17"/>
          <w:u w:val="single" w:color="auto"/>
          <w:color w:val="0000EE"/>
        </w:rPr>
        <w:t>Table of Contents</w:t>
      </w:r>
    </w:p>
    <w:p>
      <w:pPr>
        <w:spacing w:after="0" w:line="197" w:lineRule="exact"/>
        <w:rPr>
          <w:sz w:val="20"/>
          <w:szCs w:val="20"/>
          <w:color w:val="auto"/>
        </w:rPr>
      </w:pPr>
    </w:p>
    <w:p>
      <w:pPr>
        <w:spacing w:after="0" w:line="255" w:lineRule="auto"/>
        <w:rPr>
          <w:sz w:val="20"/>
          <w:szCs w:val="20"/>
          <w:color w:val="auto"/>
        </w:rPr>
      </w:pPr>
      <w:r>
        <w:rPr>
          <w:rFonts w:ascii="Arial" w:cs="Arial" w:eastAsia="Arial" w:hAnsi="Arial"/>
          <w:sz w:val="15"/>
          <w:szCs w:val="15"/>
          <w:color w:val="auto"/>
        </w:rPr>
        <w:t>Consistent with past practice, the Compensation Committee exercised negative discretion and awarded less than the maximum payout to the NEOs above. Exercising negative discretion maintains alignment between the bonus amounts paid to the NEOs and bonuses and compensation paid at our competitors. For the NEOs who participate in the AICP, the Compensation Committee has the power to authorize additional annual incentive compensation or bonuses outside the AICP but did not do so in 2023.</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Long-Term Variable Incentive Compensation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 Awards</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color w:val="auto"/>
        </w:rPr>
        <w:t>Generally, long-term equity awards are split equally between performance-based and time-based awards to our NEOs. Grants to Messrs. Sharps and Veiel and</w:t>
      </w:r>
    </w:p>
    <w:p>
      <w:pPr>
        <w:spacing w:after="0" w:line="16" w:lineRule="exact"/>
        <w:rPr>
          <w:sz w:val="20"/>
          <w:szCs w:val="20"/>
          <w:color w:val="auto"/>
        </w:rPr>
      </w:pPr>
    </w:p>
    <w:p>
      <w:pPr>
        <w:ind w:right="160"/>
        <w:spacing w:after="0" w:line="248" w:lineRule="auto"/>
        <w:rPr>
          <w:sz w:val="20"/>
          <w:szCs w:val="20"/>
          <w:color w:val="auto"/>
        </w:rPr>
      </w:pPr>
      <w:r>
        <w:rPr>
          <w:rFonts w:ascii="Arial" w:cs="Arial" w:eastAsia="Arial" w:hAnsi="Arial"/>
          <w:sz w:val="15"/>
          <w:szCs w:val="15"/>
          <w:color w:val="auto"/>
        </w:rPr>
        <w:t>Ms. Dardis were split equally between performance-based and time-based RSUs. For Mr. Thomson, the awards were split equally between performance-based RSUs and MFUs (see Mutual Fund Unit Plan below). The grant value of performance-based or time-based RSUs was converted to units using the closing stock price of our common stock on the date of grant ($100.55 for 2023). The NEOs were granted the following long-term incentive values (in millions) in 2023. Mr. August did not receive any long-term equity awards in 2023.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574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80" w:type="dxa"/>
            <w:vAlign w:val="bottom"/>
            <w:vMerge w:val="restart"/>
          </w:tcPr>
          <w:p>
            <w:pPr>
              <w:jc w:val="right"/>
              <w:ind w:right="16"/>
              <w:spacing w:after="0"/>
              <w:rPr>
                <w:sz w:val="20"/>
                <w:szCs w:val="20"/>
                <w:color w:val="auto"/>
              </w:rPr>
            </w:pPr>
            <w:r>
              <w:rPr>
                <w:rFonts w:ascii="Arial" w:cs="Arial" w:eastAsia="Arial" w:hAnsi="Arial"/>
                <w:sz w:val="12"/>
                <w:szCs w:val="12"/>
                <w:b w:val="1"/>
                <w:bCs w:val="1"/>
                <w:color w:val="auto"/>
              </w:rPr>
              <w:t>2023</w:t>
            </w:r>
          </w:p>
        </w:tc>
        <w:tc>
          <w:tcPr>
            <w:tcW w:w="140" w:type="dxa"/>
            <w:vAlign w:val="bottom"/>
            <w:tcBorders>
              <w:right w:val="single" w:sz="8" w:color="auto"/>
            </w:tcBorders>
          </w:tcPr>
          <w:p>
            <w:pPr>
              <w:spacing w:after="0"/>
              <w:rPr>
                <w:sz w:val="13"/>
                <w:szCs w:val="13"/>
                <w:color w:val="auto"/>
              </w:rPr>
            </w:pPr>
          </w:p>
        </w:tc>
        <w:tc>
          <w:tcPr>
            <w:tcW w:w="1080" w:type="dxa"/>
            <w:vAlign w:val="bottom"/>
          </w:tcPr>
          <w:p>
            <w:pPr>
              <w:jc w:val="right"/>
              <w:ind w:right="17"/>
              <w:spacing w:after="0"/>
              <w:rPr>
                <w:sz w:val="20"/>
                <w:szCs w:val="20"/>
                <w:color w:val="auto"/>
              </w:rPr>
            </w:pPr>
            <w:r>
              <w:rPr>
                <w:rFonts w:ascii="Arial" w:cs="Arial" w:eastAsia="Arial" w:hAnsi="Arial"/>
                <w:sz w:val="12"/>
                <w:szCs w:val="12"/>
                <w:b w:val="1"/>
                <w:bCs w:val="1"/>
                <w:color w:val="auto"/>
              </w:rPr>
              <w:t>2023</w:t>
            </w:r>
          </w:p>
        </w:tc>
        <w:tc>
          <w:tcPr>
            <w:tcW w:w="140" w:type="dxa"/>
            <w:vAlign w:val="bottom"/>
            <w:tcBorders>
              <w:right w:val="single" w:sz="8" w:color="auto"/>
            </w:tcBorders>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b w:val="1"/>
                <w:bCs w:val="1"/>
                <w:color w:val="auto"/>
              </w:rPr>
              <w:t>2023 TIME-</w:t>
            </w:r>
          </w:p>
        </w:tc>
        <w:tc>
          <w:tcPr>
            <w:tcW w:w="120" w:type="dxa"/>
            <w:vAlign w:val="bottom"/>
            <w:tcBorders>
              <w:right w:val="single" w:sz="8" w:color="auto"/>
            </w:tcBorders>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80" w:type="dxa"/>
            <w:vAlign w:val="bottom"/>
          </w:tcPr>
          <w:p>
            <w:pPr>
              <w:jc w:val="right"/>
              <w:ind w:right="17"/>
              <w:spacing w:after="0"/>
              <w:rPr>
                <w:sz w:val="20"/>
                <w:szCs w:val="20"/>
                <w:color w:val="auto"/>
              </w:rPr>
            </w:pPr>
            <w:r>
              <w:rPr>
                <w:rFonts w:ascii="Arial" w:cs="Arial" w:eastAsia="Arial" w:hAnsi="Arial"/>
                <w:sz w:val="12"/>
                <w:szCs w:val="12"/>
                <w:b w:val="1"/>
                <w:bCs w:val="1"/>
                <w:color w:val="auto"/>
              </w:rPr>
              <w:t>2023 LTI</w:t>
            </w:r>
          </w:p>
        </w:tc>
        <w:tc>
          <w:tcPr>
            <w:tcW w:w="0" w:type="dxa"/>
            <w:vAlign w:val="bottom"/>
          </w:tcPr>
          <w:p>
            <w:pPr>
              <w:spacing w:after="0"/>
              <w:rPr>
                <w:sz w:val="1"/>
                <w:szCs w:val="1"/>
                <w:color w:val="auto"/>
              </w:rPr>
            </w:pPr>
          </w:p>
        </w:tc>
      </w:tr>
      <w:tr>
        <w:trPr>
          <w:trHeight w:val="125"/>
        </w:trPr>
        <w:tc>
          <w:tcPr>
            <w:tcW w:w="57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880" w:type="dxa"/>
            <w:vAlign w:val="bottom"/>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80" w:type="dxa"/>
            <w:vAlign w:val="bottom"/>
          </w:tcPr>
          <w:p>
            <w:pPr>
              <w:jc w:val="right"/>
              <w:ind w:right="17"/>
              <w:spacing w:after="0" w:line="125" w:lineRule="exact"/>
              <w:rPr>
                <w:sz w:val="20"/>
                <w:szCs w:val="20"/>
                <w:color w:val="auto"/>
              </w:rPr>
            </w:pPr>
            <w:r>
              <w:rPr>
                <w:rFonts w:ascii="Arial" w:cs="Arial" w:eastAsia="Arial" w:hAnsi="Arial"/>
                <w:sz w:val="12"/>
                <w:szCs w:val="12"/>
                <w:b w:val="1"/>
                <w:bCs w:val="1"/>
                <w:color w:val="auto"/>
                <w:w w:val="99"/>
              </w:rPr>
              <w:t>PERFORMANCE-</w:t>
            </w:r>
          </w:p>
        </w:tc>
        <w:tc>
          <w:tcPr>
            <w:tcW w:w="140" w:type="dxa"/>
            <w:vAlign w:val="bottom"/>
            <w:tcBorders>
              <w:right w:val="single" w:sz="8" w:color="auto"/>
            </w:tcBorders>
          </w:tcPr>
          <w:p>
            <w:pPr>
              <w:spacing w:after="0"/>
              <w:rPr>
                <w:sz w:val="10"/>
                <w:szCs w:val="10"/>
                <w:color w:val="auto"/>
              </w:rPr>
            </w:pPr>
          </w:p>
        </w:tc>
        <w:tc>
          <w:tcPr>
            <w:tcW w:w="100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BASED</w:t>
            </w:r>
          </w:p>
        </w:tc>
        <w:tc>
          <w:tcPr>
            <w:tcW w:w="120" w:type="dxa"/>
            <w:vAlign w:val="bottom"/>
            <w:tcBorders>
              <w:right w:val="single" w:sz="8" w:color="auto"/>
            </w:tcBorders>
          </w:tcPr>
          <w:p>
            <w:pPr>
              <w:spacing w:after="0"/>
              <w:rPr>
                <w:sz w:val="10"/>
                <w:szCs w:val="10"/>
                <w:color w:val="auto"/>
              </w:rPr>
            </w:pPr>
          </w:p>
        </w:tc>
        <w:tc>
          <w:tcPr>
            <w:tcW w:w="1000" w:type="dxa"/>
            <w:vAlign w:val="bottom"/>
            <w:vMerge w:val="restart"/>
          </w:tcPr>
          <w:p>
            <w:pPr>
              <w:jc w:val="right"/>
              <w:ind w:right="15"/>
              <w:spacing w:after="0"/>
              <w:rPr>
                <w:sz w:val="20"/>
                <w:szCs w:val="20"/>
                <w:color w:val="auto"/>
              </w:rPr>
            </w:pPr>
            <w:r>
              <w:rPr>
                <w:rFonts w:ascii="Arial" w:cs="Arial" w:eastAsia="Arial" w:hAnsi="Arial"/>
                <w:sz w:val="12"/>
                <w:szCs w:val="12"/>
                <w:b w:val="1"/>
                <w:bCs w:val="1"/>
                <w:color w:val="auto"/>
              </w:rPr>
              <w:t>2022 EQUITY</w:t>
            </w:r>
          </w:p>
        </w:tc>
        <w:tc>
          <w:tcPr>
            <w:tcW w:w="120" w:type="dxa"/>
            <w:vAlign w:val="bottom"/>
            <w:tcBorders>
              <w:right w:val="single" w:sz="8" w:color="auto"/>
            </w:tcBorders>
          </w:tcPr>
          <w:p>
            <w:pPr>
              <w:spacing w:after="0"/>
              <w:rPr>
                <w:sz w:val="10"/>
                <w:szCs w:val="10"/>
                <w:color w:val="auto"/>
              </w:rPr>
            </w:pPr>
          </w:p>
        </w:tc>
        <w:tc>
          <w:tcPr>
            <w:tcW w:w="880" w:type="dxa"/>
            <w:vAlign w:val="bottom"/>
          </w:tcPr>
          <w:p>
            <w:pPr>
              <w:jc w:val="right"/>
              <w:ind w:right="17"/>
              <w:spacing w:after="0" w:line="125" w:lineRule="exact"/>
              <w:rPr>
                <w:sz w:val="20"/>
                <w:szCs w:val="20"/>
                <w:color w:val="auto"/>
              </w:rPr>
            </w:pPr>
            <w:r>
              <w:rPr>
                <w:rFonts w:ascii="Arial" w:cs="Arial" w:eastAsia="Arial" w:hAnsi="Arial"/>
                <w:sz w:val="12"/>
                <w:szCs w:val="12"/>
                <w:b w:val="1"/>
                <w:bCs w:val="1"/>
                <w:color w:val="auto"/>
              </w:rPr>
              <w:t>AWARD</w:t>
            </w:r>
          </w:p>
        </w:tc>
        <w:tc>
          <w:tcPr>
            <w:tcW w:w="0" w:type="dxa"/>
            <w:vAlign w:val="bottom"/>
          </w:tcPr>
          <w:p>
            <w:pPr>
              <w:spacing w:after="0"/>
              <w:rPr>
                <w:sz w:val="1"/>
                <w:szCs w:val="1"/>
                <w:color w:val="auto"/>
              </w:rPr>
            </w:pPr>
          </w:p>
        </w:tc>
      </w:tr>
      <w:tr>
        <w:trPr>
          <w:trHeight w:val="125"/>
        </w:trPr>
        <w:tc>
          <w:tcPr>
            <w:tcW w:w="57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880" w:type="dxa"/>
            <w:vAlign w:val="bottom"/>
          </w:tcPr>
          <w:p>
            <w:pPr>
              <w:jc w:val="right"/>
              <w:ind w:right="16"/>
              <w:spacing w:after="0" w:line="125" w:lineRule="exact"/>
              <w:rPr>
                <w:sz w:val="20"/>
                <w:szCs w:val="20"/>
                <w:color w:val="auto"/>
              </w:rPr>
            </w:pPr>
            <w:r>
              <w:rPr>
                <w:rFonts w:ascii="Arial" w:cs="Arial" w:eastAsia="Arial" w:hAnsi="Arial"/>
                <w:sz w:val="12"/>
                <w:szCs w:val="12"/>
                <w:b w:val="1"/>
                <w:bCs w:val="1"/>
                <w:color w:val="auto"/>
              </w:rPr>
              <w:t>EQUITY</w:t>
            </w:r>
          </w:p>
        </w:tc>
        <w:tc>
          <w:tcPr>
            <w:tcW w:w="140" w:type="dxa"/>
            <w:vAlign w:val="bottom"/>
            <w:tcBorders>
              <w:right w:val="single" w:sz="8" w:color="auto"/>
            </w:tcBorders>
          </w:tcPr>
          <w:p>
            <w:pPr>
              <w:spacing w:after="0"/>
              <w:rPr>
                <w:sz w:val="10"/>
                <w:szCs w:val="10"/>
                <w:color w:val="auto"/>
              </w:rPr>
            </w:pPr>
          </w:p>
        </w:tc>
        <w:tc>
          <w:tcPr>
            <w:tcW w:w="1080" w:type="dxa"/>
            <w:vAlign w:val="bottom"/>
          </w:tcPr>
          <w:p>
            <w:pPr>
              <w:jc w:val="right"/>
              <w:ind w:right="17"/>
              <w:spacing w:after="0" w:line="125" w:lineRule="exact"/>
              <w:rPr>
                <w:sz w:val="20"/>
                <w:szCs w:val="20"/>
                <w:color w:val="auto"/>
              </w:rPr>
            </w:pPr>
            <w:r>
              <w:rPr>
                <w:rFonts w:ascii="Arial" w:cs="Arial" w:eastAsia="Arial" w:hAnsi="Arial"/>
                <w:sz w:val="12"/>
                <w:szCs w:val="12"/>
                <w:b w:val="1"/>
                <w:bCs w:val="1"/>
                <w:color w:val="auto"/>
              </w:rPr>
              <w:t>BASED</w:t>
            </w:r>
          </w:p>
        </w:tc>
        <w:tc>
          <w:tcPr>
            <w:tcW w:w="140" w:type="dxa"/>
            <w:vAlign w:val="bottom"/>
            <w:tcBorders>
              <w:right w:val="single" w:sz="8" w:color="auto"/>
            </w:tcBorders>
          </w:tcPr>
          <w:p>
            <w:pPr>
              <w:spacing w:after="0"/>
              <w:rPr>
                <w:sz w:val="10"/>
                <w:szCs w:val="10"/>
                <w:color w:val="auto"/>
              </w:rPr>
            </w:pPr>
          </w:p>
        </w:tc>
        <w:tc>
          <w:tcPr>
            <w:tcW w:w="100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RESTRICTED</w:t>
            </w:r>
          </w:p>
        </w:tc>
        <w:tc>
          <w:tcPr>
            <w:tcW w:w="120" w:type="dxa"/>
            <w:vAlign w:val="bottom"/>
            <w:tcBorders>
              <w:right w:val="single" w:sz="8" w:color="auto"/>
            </w:tcBorders>
          </w:tcPr>
          <w:p>
            <w:pPr>
              <w:spacing w:after="0"/>
              <w:rPr>
                <w:sz w:val="10"/>
                <w:szCs w:val="10"/>
                <w:color w:val="auto"/>
              </w:rPr>
            </w:pPr>
          </w:p>
        </w:tc>
        <w:tc>
          <w:tcPr>
            <w:tcW w:w="1000" w:type="dxa"/>
            <w:vAlign w:val="bottom"/>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80" w:type="dxa"/>
            <w:vAlign w:val="bottom"/>
          </w:tcPr>
          <w:p>
            <w:pPr>
              <w:jc w:val="right"/>
              <w:ind w:right="17"/>
              <w:spacing w:after="0" w:line="125" w:lineRule="exact"/>
              <w:rPr>
                <w:sz w:val="20"/>
                <w:szCs w:val="20"/>
                <w:color w:val="auto"/>
              </w:rPr>
            </w:pPr>
            <w:r>
              <w:rPr>
                <w:rFonts w:ascii="Arial" w:cs="Arial" w:eastAsia="Arial" w:hAnsi="Arial"/>
                <w:sz w:val="12"/>
                <w:szCs w:val="12"/>
                <w:b w:val="1"/>
                <w:bCs w:val="1"/>
                <w:color w:val="auto"/>
              </w:rPr>
              <w:t>VALUE</w:t>
            </w:r>
          </w:p>
        </w:tc>
        <w:tc>
          <w:tcPr>
            <w:tcW w:w="0" w:type="dxa"/>
            <w:vAlign w:val="bottom"/>
          </w:tcPr>
          <w:p>
            <w:pPr>
              <w:spacing w:after="0"/>
              <w:rPr>
                <w:sz w:val="1"/>
                <w:szCs w:val="1"/>
                <w:color w:val="auto"/>
              </w:rPr>
            </w:pPr>
          </w:p>
        </w:tc>
      </w:tr>
      <w:tr>
        <w:trPr>
          <w:trHeight w:val="125"/>
        </w:trPr>
        <w:tc>
          <w:tcPr>
            <w:tcW w:w="5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NAME</w:t>
            </w:r>
          </w:p>
        </w:tc>
        <w:tc>
          <w:tcPr>
            <w:tcW w:w="140" w:type="dxa"/>
            <w:vAlign w:val="bottom"/>
            <w:tcBorders>
              <w:right w:val="single" w:sz="8" w:color="auto"/>
            </w:tcBorders>
          </w:tcPr>
          <w:p>
            <w:pPr>
              <w:spacing w:after="0"/>
              <w:rPr>
                <w:sz w:val="10"/>
                <w:szCs w:val="10"/>
                <w:color w:val="auto"/>
              </w:rPr>
            </w:pPr>
          </w:p>
        </w:tc>
        <w:tc>
          <w:tcPr>
            <w:tcW w:w="880" w:type="dxa"/>
            <w:vAlign w:val="bottom"/>
          </w:tcPr>
          <w:p>
            <w:pPr>
              <w:jc w:val="right"/>
              <w:ind w:right="16"/>
              <w:spacing w:after="0" w:line="125" w:lineRule="exact"/>
              <w:rPr>
                <w:sz w:val="20"/>
                <w:szCs w:val="20"/>
                <w:color w:val="auto"/>
              </w:rPr>
            </w:pPr>
            <w:r>
              <w:rPr>
                <w:rFonts w:ascii="Arial" w:cs="Arial" w:eastAsia="Arial" w:hAnsi="Arial"/>
                <w:sz w:val="12"/>
                <w:szCs w:val="12"/>
                <w:b w:val="1"/>
                <w:bCs w:val="1"/>
                <w:color w:val="auto"/>
              </w:rPr>
              <w:t>INCENTIVE</w:t>
            </w:r>
          </w:p>
        </w:tc>
        <w:tc>
          <w:tcPr>
            <w:tcW w:w="140" w:type="dxa"/>
            <w:vAlign w:val="bottom"/>
            <w:tcBorders>
              <w:right w:val="single" w:sz="8" w:color="auto"/>
            </w:tcBorders>
          </w:tcPr>
          <w:p>
            <w:pPr>
              <w:spacing w:after="0"/>
              <w:rPr>
                <w:sz w:val="10"/>
                <w:szCs w:val="10"/>
                <w:color w:val="auto"/>
              </w:rPr>
            </w:pPr>
          </w:p>
        </w:tc>
        <w:tc>
          <w:tcPr>
            <w:tcW w:w="1080" w:type="dxa"/>
            <w:vAlign w:val="bottom"/>
          </w:tcPr>
          <w:p>
            <w:pPr>
              <w:jc w:val="right"/>
              <w:ind w:right="17"/>
              <w:spacing w:after="0" w:line="125" w:lineRule="exact"/>
              <w:rPr>
                <w:sz w:val="20"/>
                <w:szCs w:val="20"/>
                <w:color w:val="auto"/>
              </w:rPr>
            </w:pPr>
            <w:r>
              <w:rPr>
                <w:rFonts w:ascii="Arial" w:cs="Arial" w:eastAsia="Arial" w:hAnsi="Arial"/>
                <w:sz w:val="12"/>
                <w:szCs w:val="12"/>
                <w:b w:val="1"/>
                <w:bCs w:val="1"/>
                <w:color w:val="auto"/>
              </w:rPr>
              <w:t>RESTRICTED</w:t>
            </w:r>
          </w:p>
        </w:tc>
        <w:tc>
          <w:tcPr>
            <w:tcW w:w="140" w:type="dxa"/>
            <w:vAlign w:val="bottom"/>
            <w:tcBorders>
              <w:right w:val="single" w:sz="8" w:color="auto"/>
            </w:tcBorders>
          </w:tcPr>
          <w:p>
            <w:pPr>
              <w:spacing w:after="0"/>
              <w:rPr>
                <w:sz w:val="10"/>
                <w:szCs w:val="10"/>
                <w:color w:val="auto"/>
              </w:rPr>
            </w:pPr>
          </w:p>
        </w:tc>
        <w:tc>
          <w:tcPr>
            <w:tcW w:w="100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STOCK</w:t>
            </w:r>
          </w:p>
        </w:tc>
        <w:tc>
          <w:tcPr>
            <w:tcW w:w="120" w:type="dxa"/>
            <w:vAlign w:val="bottom"/>
            <w:tcBorders>
              <w:right w:val="single" w:sz="8" w:color="auto"/>
            </w:tcBorders>
          </w:tcPr>
          <w:p>
            <w:pPr>
              <w:spacing w:after="0"/>
              <w:rPr>
                <w:sz w:val="10"/>
                <w:szCs w:val="10"/>
                <w:color w:val="auto"/>
              </w:rPr>
            </w:pPr>
          </w:p>
        </w:tc>
        <w:tc>
          <w:tcPr>
            <w:tcW w:w="1000" w:type="dxa"/>
            <w:vAlign w:val="bottom"/>
          </w:tcPr>
          <w:p>
            <w:pPr>
              <w:jc w:val="right"/>
              <w:ind w:right="15"/>
              <w:spacing w:after="0" w:line="125" w:lineRule="exact"/>
              <w:rPr>
                <w:sz w:val="20"/>
                <w:szCs w:val="20"/>
                <w:color w:val="auto"/>
              </w:rPr>
            </w:pPr>
            <w:r>
              <w:rPr>
                <w:rFonts w:ascii="Arial" w:cs="Arial" w:eastAsia="Arial" w:hAnsi="Arial"/>
                <w:sz w:val="12"/>
                <w:szCs w:val="12"/>
                <w:b w:val="1"/>
                <w:bCs w:val="1"/>
                <w:color w:val="auto"/>
              </w:rPr>
              <w:t>INCENTIVE</w:t>
            </w:r>
          </w:p>
        </w:tc>
        <w:tc>
          <w:tcPr>
            <w:tcW w:w="120" w:type="dxa"/>
            <w:vAlign w:val="bottom"/>
            <w:tcBorders>
              <w:right w:val="single" w:sz="8" w:color="auto"/>
            </w:tcBorders>
          </w:tcPr>
          <w:p>
            <w:pPr>
              <w:spacing w:after="0"/>
              <w:rPr>
                <w:sz w:val="10"/>
                <w:szCs w:val="10"/>
                <w:color w:val="auto"/>
              </w:rPr>
            </w:pPr>
          </w:p>
        </w:tc>
        <w:tc>
          <w:tcPr>
            <w:tcW w:w="880" w:type="dxa"/>
            <w:vAlign w:val="bottom"/>
          </w:tcPr>
          <w:p>
            <w:pPr>
              <w:jc w:val="right"/>
              <w:ind w:right="17"/>
              <w:spacing w:after="0" w:line="125" w:lineRule="exact"/>
              <w:rPr>
                <w:sz w:val="20"/>
                <w:szCs w:val="20"/>
                <w:color w:val="auto"/>
              </w:rPr>
            </w:pPr>
            <w:r>
              <w:rPr>
                <w:rFonts w:ascii="Arial" w:cs="Arial" w:eastAsia="Arial" w:hAnsi="Arial"/>
                <w:sz w:val="12"/>
                <w:szCs w:val="12"/>
                <w:b w:val="1"/>
                <w:bCs w:val="1"/>
                <w:color w:val="auto"/>
              </w:rPr>
              <w:t>CHANGE</w:t>
            </w:r>
          </w:p>
        </w:tc>
        <w:tc>
          <w:tcPr>
            <w:tcW w:w="0" w:type="dxa"/>
            <w:vAlign w:val="bottom"/>
          </w:tcPr>
          <w:p>
            <w:pPr>
              <w:spacing w:after="0"/>
              <w:rPr>
                <w:sz w:val="1"/>
                <w:szCs w:val="1"/>
                <w:color w:val="auto"/>
              </w:rPr>
            </w:pPr>
          </w:p>
        </w:tc>
      </w:tr>
      <w:tr>
        <w:trPr>
          <w:trHeight w:val="162"/>
        </w:trPr>
        <w:tc>
          <w:tcPr>
            <w:tcW w:w="5740" w:type="dxa"/>
            <w:vAlign w:val="bottom"/>
            <w:tcBorders>
              <w:bottom w:val="single" w:sz="8" w:color="auto"/>
            </w:tcBorders>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2"/>
                <w:szCs w:val="12"/>
                <w:b w:val="1"/>
                <w:bCs w:val="1"/>
                <w:color w:val="auto"/>
              </w:rPr>
              <w:t>VALUE</w:t>
            </w:r>
          </w:p>
        </w:tc>
        <w:tc>
          <w:tcPr>
            <w:tcW w:w="140" w:type="dxa"/>
            <w:vAlign w:val="bottom"/>
            <w:tcBorders>
              <w:right w:val="single" w:sz="8" w:color="auto"/>
            </w:tcBorders>
          </w:tcPr>
          <w:p>
            <w:pPr>
              <w:spacing w:after="0"/>
              <w:rPr>
                <w:sz w:val="14"/>
                <w:szCs w:val="14"/>
                <w:color w:val="auto"/>
              </w:rPr>
            </w:pPr>
          </w:p>
        </w:tc>
        <w:tc>
          <w:tcPr>
            <w:tcW w:w="1080" w:type="dxa"/>
            <w:vAlign w:val="bottom"/>
            <w:tcBorders>
              <w:bottom w:val="single" w:sz="8" w:color="auto"/>
            </w:tcBorders>
          </w:tcPr>
          <w:p>
            <w:pPr>
              <w:jc w:val="right"/>
              <w:ind w:right="17"/>
              <w:spacing w:after="0"/>
              <w:rPr>
                <w:sz w:val="20"/>
                <w:szCs w:val="20"/>
                <w:color w:val="auto"/>
              </w:rPr>
            </w:pPr>
            <w:r>
              <w:rPr>
                <w:rFonts w:ascii="Arial" w:cs="Arial" w:eastAsia="Arial" w:hAnsi="Arial"/>
                <w:sz w:val="12"/>
                <w:szCs w:val="12"/>
                <w:b w:val="1"/>
                <w:bCs w:val="1"/>
                <w:color w:val="auto"/>
              </w:rPr>
              <w:t>STOCK UNITS</w:t>
            </w:r>
          </w:p>
        </w:tc>
        <w:tc>
          <w:tcPr>
            <w:tcW w:w="140" w:type="dxa"/>
            <w:vAlign w:val="bottom"/>
            <w:tcBorders>
              <w:right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1"/>
                <w:szCs w:val="11"/>
                <w:b w:val="1"/>
                <w:bCs w:val="1"/>
                <w:color w:val="auto"/>
              </w:rPr>
              <w:t>UNITS</w:t>
            </w:r>
            <w:r>
              <w:rPr>
                <w:rFonts w:ascii="Arial" w:cs="Arial" w:eastAsia="Arial" w:hAnsi="Arial"/>
                <w:sz w:val="18"/>
                <w:szCs w:val="18"/>
                <w:b w:val="1"/>
                <w:bCs w:val="1"/>
                <w:color w:val="auto"/>
                <w:vertAlign w:val="superscript"/>
              </w:rPr>
              <w:t>1</w:t>
            </w:r>
          </w:p>
        </w:tc>
        <w:tc>
          <w:tcPr>
            <w:tcW w:w="120" w:type="dxa"/>
            <w:vAlign w:val="bottom"/>
            <w:tcBorders>
              <w:right w:val="single" w:sz="8" w:color="auto"/>
            </w:tcBorders>
          </w:tcPr>
          <w:p>
            <w:pPr>
              <w:spacing w:after="0"/>
              <w:rPr>
                <w:sz w:val="14"/>
                <w:szCs w:val="14"/>
                <w:color w:val="auto"/>
              </w:rPr>
            </w:pP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2"/>
                <w:szCs w:val="12"/>
                <w:b w:val="1"/>
                <w:bCs w:val="1"/>
                <w:color w:val="auto"/>
              </w:rPr>
              <w:t>VALUE</w:t>
            </w:r>
          </w:p>
        </w:tc>
        <w:tc>
          <w:tcPr>
            <w:tcW w:w="120" w:type="dxa"/>
            <w:vAlign w:val="bottom"/>
            <w:tcBorders>
              <w:right w:val="single" w:sz="8" w:color="auto"/>
            </w:tcBorders>
          </w:tcPr>
          <w:p>
            <w:pPr>
              <w:spacing w:after="0"/>
              <w:rPr>
                <w:sz w:val="14"/>
                <w:szCs w:val="14"/>
                <w:color w:val="auto"/>
              </w:rPr>
            </w:pPr>
          </w:p>
        </w:tc>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2"/>
                <w:szCs w:val="12"/>
                <w:b w:val="1"/>
                <w:bCs w:val="1"/>
                <w:color w:val="auto"/>
              </w:rPr>
              <w:t>OVER 2022</w:t>
            </w:r>
          </w:p>
        </w:tc>
        <w:tc>
          <w:tcPr>
            <w:tcW w:w="0" w:type="dxa"/>
            <w:vAlign w:val="bottom"/>
          </w:tcPr>
          <w:p>
            <w:pPr>
              <w:spacing w:after="0"/>
              <w:rPr>
                <w:sz w:val="1"/>
                <w:szCs w:val="1"/>
                <w:color w:val="auto"/>
              </w:rPr>
            </w:pPr>
          </w:p>
        </w:tc>
      </w:tr>
      <w:tr>
        <w:trPr>
          <w:trHeight w:val="192"/>
        </w:trPr>
        <w:tc>
          <w:tcPr>
            <w:tcW w:w="5740" w:type="dxa"/>
            <w:vAlign w:val="bottom"/>
            <w:shd w:val="clear" w:color="auto" w:fill="CCEEFF"/>
          </w:tcPr>
          <w:p>
            <w:pPr>
              <w:ind w:left="80"/>
              <w:spacing w:after="0"/>
              <w:rPr>
                <w:sz w:val="20"/>
                <w:szCs w:val="20"/>
                <w:color w:val="auto"/>
              </w:rPr>
            </w:pPr>
            <w:r>
              <w:rPr>
                <w:rFonts w:ascii="Arial" w:cs="Arial" w:eastAsia="Arial" w:hAnsi="Arial"/>
                <w:sz w:val="15"/>
                <w:szCs w:val="15"/>
                <w:b w:val="1"/>
                <w:bCs w:val="1"/>
                <w:color w:val="00254F"/>
              </w:rPr>
              <w:t>Robert W. Sharps</w:t>
            </w:r>
          </w:p>
        </w:tc>
        <w:tc>
          <w:tcPr>
            <w:tcW w:w="1020" w:type="dxa"/>
            <w:vAlign w:val="bottom"/>
            <w:gridSpan w:val="2"/>
            <w:shd w:val="clear" w:color="auto" w:fill="CCEEFF"/>
          </w:tcPr>
          <w:p>
            <w:pPr>
              <w:jc w:val="right"/>
              <w:ind w:right="16"/>
              <w:spacing w:after="0"/>
              <w:rPr>
                <w:sz w:val="20"/>
                <w:szCs w:val="20"/>
                <w:color w:val="auto"/>
              </w:rPr>
            </w:pPr>
            <w:r>
              <w:rPr>
                <w:rFonts w:ascii="Arial" w:cs="Arial" w:eastAsia="Arial" w:hAnsi="Arial"/>
                <w:sz w:val="15"/>
                <w:szCs w:val="15"/>
                <w:color w:val="auto"/>
              </w:rPr>
              <w:t>$5.1</w:t>
            </w:r>
          </w:p>
        </w:tc>
        <w:tc>
          <w:tcPr>
            <w:tcW w:w="1220" w:type="dxa"/>
            <w:vAlign w:val="bottom"/>
            <w:gridSpan w:val="2"/>
            <w:shd w:val="clear" w:color="auto" w:fill="CCEEFF"/>
          </w:tcPr>
          <w:p>
            <w:pPr>
              <w:jc w:val="right"/>
              <w:ind w:right="17"/>
              <w:spacing w:after="0"/>
              <w:rPr>
                <w:sz w:val="20"/>
                <w:szCs w:val="20"/>
                <w:color w:val="auto"/>
              </w:rPr>
            </w:pPr>
            <w:r>
              <w:rPr>
                <w:rFonts w:ascii="Arial" w:cs="Arial" w:eastAsia="Arial" w:hAnsi="Arial"/>
                <w:sz w:val="15"/>
                <w:szCs w:val="15"/>
                <w:color w:val="auto"/>
              </w:rPr>
              <w:t>25,361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25,361</w:t>
            </w:r>
          </w:p>
        </w:tc>
        <w:tc>
          <w:tcPr>
            <w:tcW w:w="1120" w:type="dxa"/>
            <w:vAlign w:val="bottom"/>
            <w:gridSpan w:val="2"/>
            <w:shd w:val="clear" w:color="auto" w:fill="CCEEFF"/>
          </w:tcPr>
          <w:p>
            <w:pPr>
              <w:jc w:val="right"/>
              <w:ind w:right="15"/>
              <w:spacing w:after="0"/>
              <w:rPr>
                <w:sz w:val="20"/>
                <w:szCs w:val="20"/>
                <w:color w:val="auto"/>
              </w:rPr>
            </w:pPr>
            <w:r>
              <w:rPr>
                <w:rFonts w:ascii="Arial" w:cs="Arial" w:eastAsia="Arial" w:hAnsi="Arial"/>
                <w:sz w:val="15"/>
                <w:szCs w:val="15"/>
                <w:color w:val="auto"/>
              </w:rPr>
              <w:t>$5.4</w:t>
            </w:r>
          </w:p>
        </w:tc>
        <w:tc>
          <w:tcPr>
            <w:tcW w:w="1000" w:type="dxa"/>
            <w:vAlign w:val="bottom"/>
            <w:gridSpan w:val="2"/>
            <w:shd w:val="clear" w:color="auto" w:fill="CCEEFF"/>
          </w:tcPr>
          <w:p>
            <w:pPr>
              <w:jc w:val="right"/>
              <w:ind w:right="17"/>
              <w:spacing w:after="0"/>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192"/>
        </w:trPr>
        <w:tc>
          <w:tcPr>
            <w:tcW w:w="5740" w:type="dxa"/>
            <w:vAlign w:val="bottom"/>
            <w:tcBorders>
              <w:top w:val="single" w:sz="8" w:color="auto"/>
              <w:bottom w:val="single" w:sz="8" w:color="auto"/>
            </w:tcBorders>
            <w:shd w:val="clear" w:color="auto" w:fill="EEEFEE"/>
          </w:tcPr>
          <w:p>
            <w:pPr>
              <w:ind w:left="80"/>
              <w:spacing w:after="0"/>
              <w:rPr>
                <w:sz w:val="20"/>
                <w:szCs w:val="20"/>
                <w:color w:val="auto"/>
              </w:rPr>
            </w:pPr>
            <w:r>
              <w:rPr>
                <w:rFonts w:ascii="Arial" w:cs="Arial" w:eastAsia="Arial" w:hAnsi="Arial"/>
                <w:sz w:val="15"/>
                <w:szCs w:val="15"/>
                <w:b w:val="1"/>
                <w:bCs w:val="1"/>
                <w:color w:val="00254F"/>
              </w:rPr>
              <w:t>Jennifer B. Dardis</w:t>
            </w:r>
          </w:p>
        </w:tc>
        <w:tc>
          <w:tcPr>
            <w:tcW w:w="140" w:type="dxa"/>
            <w:vAlign w:val="bottom"/>
            <w:tcBorders>
              <w:top w:val="single" w:sz="8" w:color="CCEEFF"/>
              <w:right w:val="single" w:sz="8" w:color="EEEFEE"/>
            </w:tcBorders>
          </w:tcPr>
          <w:p>
            <w:pPr>
              <w:spacing w:after="0"/>
              <w:rPr>
                <w:sz w:val="16"/>
                <w:szCs w:val="16"/>
                <w:color w:val="auto"/>
              </w:rPr>
            </w:pPr>
          </w:p>
        </w:tc>
        <w:tc>
          <w:tcPr>
            <w:tcW w:w="880" w:type="dxa"/>
            <w:vAlign w:val="bottom"/>
            <w:tcBorders>
              <w:top w:val="single" w:sz="8" w:color="auto"/>
              <w:bottom w:val="single" w:sz="8" w:color="auto"/>
            </w:tcBorders>
            <w:shd w:val="clear" w:color="auto" w:fill="EEEFEE"/>
          </w:tcPr>
          <w:p>
            <w:pPr>
              <w:jc w:val="right"/>
              <w:ind w:right="16"/>
              <w:spacing w:after="0"/>
              <w:rPr>
                <w:sz w:val="20"/>
                <w:szCs w:val="20"/>
                <w:color w:val="auto"/>
              </w:rPr>
            </w:pPr>
            <w:r>
              <w:rPr>
                <w:rFonts w:ascii="Arial" w:cs="Arial" w:eastAsia="Arial" w:hAnsi="Arial"/>
                <w:sz w:val="15"/>
                <w:szCs w:val="15"/>
                <w:color w:val="auto"/>
              </w:rPr>
              <w:t>$1.3</w:t>
            </w:r>
          </w:p>
        </w:tc>
        <w:tc>
          <w:tcPr>
            <w:tcW w:w="140" w:type="dxa"/>
            <w:vAlign w:val="bottom"/>
            <w:tcBorders>
              <w:top w:val="single" w:sz="8" w:color="CCEEFF"/>
              <w:right w:val="single" w:sz="8" w:color="EEEFEE"/>
            </w:tcBorders>
          </w:tcPr>
          <w:p>
            <w:pPr>
              <w:spacing w:after="0"/>
              <w:rPr>
                <w:sz w:val="16"/>
                <w:szCs w:val="16"/>
                <w:color w:val="auto"/>
              </w:rPr>
            </w:pPr>
          </w:p>
        </w:tc>
        <w:tc>
          <w:tcPr>
            <w:tcW w:w="1080" w:type="dxa"/>
            <w:vAlign w:val="bottom"/>
            <w:tcBorders>
              <w:top w:val="single" w:sz="8" w:color="auto"/>
              <w:bottom w:val="single" w:sz="8" w:color="auto"/>
            </w:tcBorders>
            <w:shd w:val="clear" w:color="auto" w:fill="EEEFEE"/>
          </w:tcPr>
          <w:p>
            <w:pPr>
              <w:jc w:val="right"/>
              <w:ind w:right="17"/>
              <w:spacing w:after="0"/>
              <w:rPr>
                <w:sz w:val="20"/>
                <w:szCs w:val="20"/>
                <w:color w:val="auto"/>
              </w:rPr>
            </w:pPr>
            <w:r>
              <w:rPr>
                <w:rFonts w:ascii="Arial" w:cs="Arial" w:eastAsia="Arial" w:hAnsi="Arial"/>
                <w:sz w:val="15"/>
                <w:szCs w:val="15"/>
                <w:color w:val="auto"/>
              </w:rPr>
              <w:t>6,341</w:t>
            </w:r>
          </w:p>
        </w:tc>
        <w:tc>
          <w:tcPr>
            <w:tcW w:w="140" w:type="dxa"/>
            <w:vAlign w:val="bottom"/>
            <w:tcBorders>
              <w:top w:val="single" w:sz="8" w:color="CCEEFF"/>
              <w:right w:val="single" w:sz="8" w:color="EEEFEE"/>
            </w:tcBorders>
          </w:tcPr>
          <w:p>
            <w:pPr>
              <w:spacing w:after="0"/>
              <w:rPr>
                <w:sz w:val="16"/>
                <w:szCs w:val="16"/>
                <w:color w:val="auto"/>
              </w:rPr>
            </w:pPr>
          </w:p>
        </w:tc>
        <w:tc>
          <w:tcPr>
            <w:tcW w:w="100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6,341</w:t>
            </w:r>
          </w:p>
        </w:tc>
        <w:tc>
          <w:tcPr>
            <w:tcW w:w="120" w:type="dxa"/>
            <w:vAlign w:val="bottom"/>
            <w:tcBorders>
              <w:top w:val="single" w:sz="8" w:color="CCEEFF"/>
              <w:right w:val="single" w:sz="8" w:color="EEEFEE"/>
            </w:tcBorders>
          </w:tcPr>
          <w:p>
            <w:pPr>
              <w:spacing w:after="0"/>
              <w:rPr>
                <w:sz w:val="16"/>
                <w:szCs w:val="16"/>
                <w:color w:val="auto"/>
              </w:rPr>
            </w:pPr>
          </w:p>
        </w:tc>
        <w:tc>
          <w:tcPr>
            <w:tcW w:w="1000" w:type="dxa"/>
            <w:vAlign w:val="bottom"/>
            <w:tcBorders>
              <w:top w:val="single" w:sz="8" w:color="auto"/>
              <w:bottom w:val="single" w:sz="8" w:color="auto"/>
            </w:tcBorders>
            <w:shd w:val="clear" w:color="auto" w:fill="EEEFEE"/>
          </w:tcPr>
          <w:p>
            <w:pPr>
              <w:jc w:val="right"/>
              <w:ind w:right="15"/>
              <w:spacing w:after="0"/>
              <w:rPr>
                <w:sz w:val="20"/>
                <w:szCs w:val="20"/>
                <w:color w:val="auto"/>
              </w:rPr>
            </w:pPr>
            <w:r>
              <w:rPr>
                <w:rFonts w:ascii="Arial" w:cs="Arial" w:eastAsia="Arial" w:hAnsi="Arial"/>
                <w:sz w:val="15"/>
                <w:szCs w:val="15"/>
                <w:color w:val="auto"/>
              </w:rPr>
              <w:t>$1.4</w:t>
            </w:r>
          </w:p>
        </w:tc>
        <w:tc>
          <w:tcPr>
            <w:tcW w:w="120" w:type="dxa"/>
            <w:vAlign w:val="bottom"/>
            <w:tcBorders>
              <w:top w:val="single" w:sz="8" w:color="CCEEFF"/>
              <w:right w:val="single" w:sz="8" w:color="EEEFEE"/>
            </w:tcBorders>
          </w:tcPr>
          <w:p>
            <w:pPr>
              <w:spacing w:after="0"/>
              <w:rPr>
                <w:sz w:val="16"/>
                <w:szCs w:val="16"/>
                <w:color w:val="auto"/>
              </w:rPr>
            </w:pPr>
          </w:p>
        </w:tc>
        <w:tc>
          <w:tcPr>
            <w:tcW w:w="880" w:type="dxa"/>
            <w:vAlign w:val="bottom"/>
            <w:tcBorders>
              <w:top w:val="single" w:sz="8" w:color="auto"/>
              <w:bottom w:val="single" w:sz="8" w:color="auto"/>
            </w:tcBorders>
            <w:shd w:val="clear" w:color="auto" w:fill="EEEFEE"/>
          </w:tcPr>
          <w:p>
            <w:pPr>
              <w:jc w:val="right"/>
              <w:ind w:right="17"/>
              <w:spacing w:after="0"/>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192"/>
        </w:trPr>
        <w:tc>
          <w:tcPr>
            <w:tcW w:w="5740" w:type="dxa"/>
            <w:vAlign w:val="bottom"/>
            <w:shd w:val="clear" w:color="auto" w:fill="CCEEFF"/>
          </w:tcPr>
          <w:p>
            <w:pPr>
              <w:ind w:left="80"/>
              <w:spacing w:after="0"/>
              <w:rPr>
                <w:sz w:val="20"/>
                <w:szCs w:val="20"/>
                <w:color w:val="auto"/>
              </w:rPr>
            </w:pPr>
            <w:r>
              <w:rPr>
                <w:rFonts w:ascii="Arial" w:cs="Arial" w:eastAsia="Arial" w:hAnsi="Arial"/>
                <w:sz w:val="15"/>
                <w:szCs w:val="15"/>
                <w:b w:val="1"/>
                <w:bCs w:val="1"/>
                <w:color w:val="00254F"/>
              </w:rPr>
              <w:t>Justin Thomson</w:t>
            </w:r>
          </w:p>
        </w:tc>
        <w:tc>
          <w:tcPr>
            <w:tcW w:w="1020" w:type="dxa"/>
            <w:vAlign w:val="bottom"/>
            <w:gridSpan w:val="2"/>
            <w:shd w:val="clear" w:color="auto" w:fill="CCEEFF"/>
          </w:tcPr>
          <w:p>
            <w:pPr>
              <w:jc w:val="right"/>
              <w:ind w:right="16"/>
              <w:spacing w:after="0"/>
              <w:rPr>
                <w:sz w:val="20"/>
                <w:szCs w:val="20"/>
                <w:color w:val="auto"/>
              </w:rPr>
            </w:pPr>
            <w:r>
              <w:rPr>
                <w:rFonts w:ascii="Arial" w:cs="Arial" w:eastAsia="Arial" w:hAnsi="Arial"/>
                <w:sz w:val="15"/>
                <w:szCs w:val="15"/>
                <w:color w:val="auto"/>
              </w:rPr>
              <w:t>$1.6</w:t>
            </w:r>
          </w:p>
        </w:tc>
        <w:tc>
          <w:tcPr>
            <w:tcW w:w="1220" w:type="dxa"/>
            <w:vAlign w:val="bottom"/>
            <w:gridSpan w:val="2"/>
            <w:shd w:val="clear" w:color="auto" w:fill="CCEEFF"/>
          </w:tcPr>
          <w:p>
            <w:pPr>
              <w:jc w:val="right"/>
              <w:ind w:right="17"/>
              <w:spacing w:after="0"/>
              <w:rPr>
                <w:sz w:val="20"/>
                <w:szCs w:val="20"/>
                <w:color w:val="auto"/>
              </w:rPr>
            </w:pPr>
            <w:r>
              <w:rPr>
                <w:rFonts w:ascii="Arial" w:cs="Arial" w:eastAsia="Arial" w:hAnsi="Arial"/>
                <w:sz w:val="15"/>
                <w:szCs w:val="15"/>
                <w:color w:val="auto"/>
              </w:rPr>
              <w:t>15,915</w:t>
            </w:r>
          </w:p>
        </w:tc>
        <w:tc>
          <w:tcPr>
            <w:tcW w:w="140" w:type="dxa"/>
            <w:vAlign w:val="bottom"/>
            <w:tcBorders>
              <w:right w:val="single" w:sz="8" w:color="CCEEFF"/>
            </w:tcBorders>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15"/>
              <w:spacing w:after="0"/>
              <w:rPr>
                <w:sz w:val="20"/>
                <w:szCs w:val="20"/>
                <w:color w:val="auto"/>
              </w:rPr>
            </w:pPr>
            <w:r>
              <w:rPr>
                <w:rFonts w:ascii="Arial" w:cs="Arial" w:eastAsia="Arial" w:hAnsi="Arial"/>
                <w:sz w:val="15"/>
                <w:szCs w:val="15"/>
                <w:color w:val="auto"/>
              </w:rPr>
              <w:t>$1.9</w:t>
            </w:r>
          </w:p>
        </w:tc>
        <w:tc>
          <w:tcPr>
            <w:tcW w:w="1000" w:type="dxa"/>
            <w:vAlign w:val="bottom"/>
            <w:gridSpan w:val="2"/>
            <w:shd w:val="clear" w:color="auto" w:fill="CCEEFF"/>
          </w:tcPr>
          <w:p>
            <w:pPr>
              <w:jc w:val="right"/>
              <w:ind w:right="17"/>
              <w:spacing w:after="0"/>
              <w:rPr>
                <w:sz w:val="20"/>
                <w:szCs w:val="20"/>
                <w:color w:val="auto"/>
              </w:rPr>
            </w:pPr>
            <w:r>
              <w:rPr>
                <w:rFonts w:ascii="Arial" w:cs="Arial" w:eastAsia="Arial" w:hAnsi="Arial"/>
                <w:sz w:val="15"/>
                <w:szCs w:val="15"/>
                <w:color w:val="auto"/>
              </w:rPr>
              <w:t>(16.6)%</w:t>
            </w:r>
          </w:p>
        </w:tc>
        <w:tc>
          <w:tcPr>
            <w:tcW w:w="0" w:type="dxa"/>
            <w:vAlign w:val="bottom"/>
          </w:tcPr>
          <w:p>
            <w:pPr>
              <w:spacing w:after="0"/>
              <w:rPr>
                <w:sz w:val="1"/>
                <w:szCs w:val="1"/>
                <w:color w:val="auto"/>
              </w:rPr>
            </w:pPr>
          </w:p>
        </w:tc>
      </w:tr>
      <w:tr>
        <w:trPr>
          <w:trHeight w:val="192"/>
        </w:trPr>
        <w:tc>
          <w:tcPr>
            <w:tcW w:w="5740" w:type="dxa"/>
            <w:vAlign w:val="bottom"/>
            <w:tcBorders>
              <w:top w:val="single" w:sz="8" w:color="auto"/>
              <w:bottom w:val="single" w:sz="8" w:color="auto"/>
            </w:tcBorders>
            <w:shd w:val="clear" w:color="auto" w:fill="EEEFEE"/>
          </w:tcPr>
          <w:p>
            <w:pPr>
              <w:ind w:left="80"/>
              <w:spacing w:after="0"/>
              <w:rPr>
                <w:sz w:val="20"/>
                <w:szCs w:val="20"/>
                <w:color w:val="auto"/>
              </w:rPr>
            </w:pPr>
            <w:r>
              <w:rPr>
                <w:rFonts w:ascii="Arial" w:cs="Arial" w:eastAsia="Arial" w:hAnsi="Arial"/>
                <w:sz w:val="15"/>
                <w:szCs w:val="15"/>
                <w:b w:val="1"/>
                <w:bCs w:val="1"/>
                <w:color w:val="00254F"/>
              </w:rPr>
              <w:t>Eric L. Veiel</w:t>
            </w:r>
          </w:p>
        </w:tc>
        <w:tc>
          <w:tcPr>
            <w:tcW w:w="140" w:type="dxa"/>
            <w:vAlign w:val="bottom"/>
            <w:tcBorders>
              <w:top w:val="single" w:sz="8" w:color="CCEEFF"/>
              <w:right w:val="single" w:sz="8" w:color="EEEFEE"/>
            </w:tcBorders>
          </w:tcPr>
          <w:p>
            <w:pPr>
              <w:spacing w:after="0"/>
              <w:rPr>
                <w:sz w:val="16"/>
                <w:szCs w:val="16"/>
                <w:color w:val="auto"/>
              </w:rPr>
            </w:pPr>
          </w:p>
        </w:tc>
        <w:tc>
          <w:tcPr>
            <w:tcW w:w="880" w:type="dxa"/>
            <w:vAlign w:val="bottom"/>
            <w:tcBorders>
              <w:top w:val="single" w:sz="8" w:color="auto"/>
              <w:bottom w:val="single" w:sz="8" w:color="auto"/>
            </w:tcBorders>
            <w:shd w:val="clear" w:color="auto" w:fill="EEEFEE"/>
          </w:tcPr>
          <w:p>
            <w:pPr>
              <w:jc w:val="right"/>
              <w:ind w:right="16"/>
              <w:spacing w:after="0"/>
              <w:rPr>
                <w:sz w:val="20"/>
                <w:szCs w:val="20"/>
                <w:color w:val="auto"/>
              </w:rPr>
            </w:pPr>
            <w:r>
              <w:rPr>
                <w:rFonts w:ascii="Arial" w:cs="Arial" w:eastAsia="Arial" w:hAnsi="Arial"/>
                <w:sz w:val="15"/>
                <w:szCs w:val="15"/>
                <w:color w:val="auto"/>
              </w:rPr>
              <w:t>$3.0</w:t>
            </w:r>
          </w:p>
        </w:tc>
        <w:tc>
          <w:tcPr>
            <w:tcW w:w="140" w:type="dxa"/>
            <w:vAlign w:val="bottom"/>
            <w:tcBorders>
              <w:top w:val="single" w:sz="8" w:color="CCEEFF"/>
              <w:right w:val="single" w:sz="8" w:color="EEEFEE"/>
            </w:tcBorders>
          </w:tcPr>
          <w:p>
            <w:pPr>
              <w:spacing w:after="0"/>
              <w:rPr>
                <w:sz w:val="16"/>
                <w:szCs w:val="16"/>
                <w:color w:val="auto"/>
              </w:rPr>
            </w:pPr>
          </w:p>
        </w:tc>
        <w:tc>
          <w:tcPr>
            <w:tcW w:w="1080" w:type="dxa"/>
            <w:vAlign w:val="bottom"/>
            <w:tcBorders>
              <w:top w:val="single" w:sz="8" w:color="auto"/>
              <w:bottom w:val="single" w:sz="8" w:color="auto"/>
            </w:tcBorders>
            <w:shd w:val="clear" w:color="auto" w:fill="EEEFEE"/>
          </w:tcPr>
          <w:p>
            <w:pPr>
              <w:jc w:val="right"/>
              <w:ind w:right="17"/>
              <w:spacing w:after="0"/>
              <w:rPr>
                <w:sz w:val="20"/>
                <w:szCs w:val="20"/>
                <w:color w:val="auto"/>
              </w:rPr>
            </w:pPr>
            <w:r>
              <w:rPr>
                <w:rFonts w:ascii="Arial" w:cs="Arial" w:eastAsia="Arial" w:hAnsi="Arial"/>
                <w:sz w:val="15"/>
                <w:szCs w:val="15"/>
                <w:color w:val="auto"/>
              </w:rPr>
              <w:t>14,918</w:t>
            </w:r>
          </w:p>
        </w:tc>
        <w:tc>
          <w:tcPr>
            <w:tcW w:w="140" w:type="dxa"/>
            <w:vAlign w:val="bottom"/>
            <w:tcBorders>
              <w:top w:val="single" w:sz="8" w:color="CCEEFF"/>
              <w:right w:val="single" w:sz="8" w:color="EEEFEE"/>
            </w:tcBorders>
          </w:tcPr>
          <w:p>
            <w:pPr>
              <w:spacing w:after="0"/>
              <w:rPr>
                <w:sz w:val="16"/>
                <w:szCs w:val="16"/>
                <w:color w:val="auto"/>
              </w:rPr>
            </w:pPr>
          </w:p>
        </w:tc>
        <w:tc>
          <w:tcPr>
            <w:tcW w:w="100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14,918</w:t>
            </w:r>
          </w:p>
        </w:tc>
        <w:tc>
          <w:tcPr>
            <w:tcW w:w="120" w:type="dxa"/>
            <w:vAlign w:val="bottom"/>
            <w:tcBorders>
              <w:top w:val="single" w:sz="8" w:color="CCEEFF"/>
              <w:right w:val="single" w:sz="8" w:color="EEEFEE"/>
            </w:tcBorders>
          </w:tcPr>
          <w:p>
            <w:pPr>
              <w:spacing w:after="0"/>
              <w:rPr>
                <w:sz w:val="16"/>
                <w:szCs w:val="16"/>
                <w:color w:val="auto"/>
              </w:rPr>
            </w:pPr>
          </w:p>
        </w:tc>
        <w:tc>
          <w:tcPr>
            <w:tcW w:w="1000" w:type="dxa"/>
            <w:vAlign w:val="bottom"/>
            <w:tcBorders>
              <w:top w:val="single" w:sz="8" w:color="auto"/>
              <w:bottom w:val="single" w:sz="8" w:color="auto"/>
            </w:tcBorders>
            <w:shd w:val="clear" w:color="auto" w:fill="EEEFEE"/>
          </w:tcPr>
          <w:p>
            <w:pPr>
              <w:jc w:val="right"/>
              <w:ind w:right="15"/>
              <w:spacing w:after="0"/>
              <w:rPr>
                <w:sz w:val="20"/>
                <w:szCs w:val="20"/>
                <w:color w:val="auto"/>
              </w:rPr>
            </w:pPr>
            <w:r>
              <w:rPr>
                <w:rFonts w:ascii="Arial" w:cs="Arial" w:eastAsia="Arial" w:hAnsi="Arial"/>
                <w:sz w:val="15"/>
                <w:szCs w:val="15"/>
                <w:color w:val="auto"/>
              </w:rPr>
              <w:t>$3.2</w:t>
            </w:r>
          </w:p>
        </w:tc>
        <w:tc>
          <w:tcPr>
            <w:tcW w:w="120" w:type="dxa"/>
            <w:vAlign w:val="bottom"/>
            <w:tcBorders>
              <w:top w:val="single" w:sz="8" w:color="CCEEFF"/>
              <w:right w:val="single" w:sz="8" w:color="EEEFEE"/>
            </w:tcBorders>
          </w:tcPr>
          <w:p>
            <w:pPr>
              <w:spacing w:after="0"/>
              <w:rPr>
                <w:sz w:val="16"/>
                <w:szCs w:val="16"/>
                <w:color w:val="auto"/>
              </w:rPr>
            </w:pPr>
          </w:p>
        </w:tc>
        <w:tc>
          <w:tcPr>
            <w:tcW w:w="880" w:type="dxa"/>
            <w:vAlign w:val="bottom"/>
            <w:tcBorders>
              <w:top w:val="single" w:sz="8" w:color="auto"/>
              <w:bottom w:val="single" w:sz="8" w:color="auto"/>
            </w:tcBorders>
            <w:shd w:val="clear" w:color="auto" w:fill="EEEFEE"/>
          </w:tcPr>
          <w:p>
            <w:pPr>
              <w:jc w:val="right"/>
              <w:ind w:right="17"/>
              <w:spacing w:after="0"/>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-539115</wp:posOffset>
            </wp:positionV>
            <wp:extent cx="7142480" cy="1346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2480" cy="134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-269240</wp:posOffset>
            </wp:positionV>
            <wp:extent cx="7142480" cy="1346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2480" cy="134620"/>
                    </a:xfrm>
                    <a:prstGeom prst="rect">
                      <a:avLst/>
                    </a:prstGeom>
                    <a:noFill/>
                  </pic:spPr>
                </pic:pic>
              </a:graphicData>
            </a:graphic>
          </wp:anchor>
        </w:drawing>
      </w:r>
    </w:p>
    <w:p>
      <w:pPr>
        <w:spacing w:after="0" w:line="6" w:lineRule="exact"/>
        <w:rPr>
          <w:sz w:val="20"/>
          <w:szCs w:val="20"/>
          <w:color w:val="auto"/>
        </w:rPr>
      </w:pPr>
    </w:p>
    <w:p>
      <w:pPr>
        <w:ind w:left="240" w:hanging="240"/>
        <w:spacing w:after="0"/>
        <w:tabs>
          <w:tab w:leader="none" w:pos="240" w:val="left"/>
        </w:tabs>
        <w:numPr>
          <w:ilvl w:val="0"/>
          <w:numId w:val="84"/>
        </w:numPr>
        <w:rPr>
          <w:rFonts w:ascii="Arial" w:cs="Arial" w:eastAsia="Arial" w:hAnsi="Arial"/>
          <w:sz w:val="22"/>
          <w:szCs w:val="22"/>
          <w:color w:val="auto"/>
          <w:vertAlign w:val="superscript"/>
        </w:rPr>
      </w:pPr>
      <w:r>
        <w:rPr>
          <w:rFonts w:ascii="Arial" w:cs="Arial" w:eastAsia="Arial" w:hAnsi="Arial"/>
          <w:sz w:val="13"/>
          <w:szCs w:val="13"/>
          <w:color w:val="auto"/>
        </w:rPr>
        <w:t>Time-based RSU's vest in equal installments over the three years beginning in December in the year after the grant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Performance-Based RSUs—Performance Thresholds and Vesting</w:t>
      </w:r>
    </w:p>
    <w:p>
      <w:pPr>
        <w:spacing w:after="0" w:line="100" w:lineRule="exact"/>
        <w:rPr>
          <w:sz w:val="20"/>
          <w:szCs w:val="20"/>
          <w:color w:val="auto"/>
        </w:rPr>
      </w:pPr>
    </w:p>
    <w:p>
      <w:pPr>
        <w:ind w:right="280"/>
        <w:spacing w:after="0" w:line="261" w:lineRule="auto"/>
        <w:rPr>
          <w:sz w:val="20"/>
          <w:szCs w:val="20"/>
          <w:color w:val="auto"/>
        </w:rPr>
      </w:pPr>
      <w:r>
        <w:rPr>
          <w:rFonts w:ascii="Arial" w:cs="Arial" w:eastAsia="Arial" w:hAnsi="Arial"/>
          <w:sz w:val="15"/>
          <w:szCs w:val="15"/>
          <w:color w:val="auto"/>
        </w:rPr>
        <w:t>The performance thresholds established by the Compensation Committee for 2023 performance-based RSUs were based on the Company's operating margin for the three-year performance period compared with the average operating margin of a designated group of public company peers (Industry Average Margin) that was composed of:</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4240" w:type="dxa"/>
            <w:vAlign w:val="bottom"/>
            <w:tcBorders>
              <w:top w:val="single" w:sz="8" w:color="28C0DA"/>
              <w:right w:val="single" w:sz="8" w:color="28C0DA"/>
            </w:tcBorders>
          </w:tcPr>
          <w:p>
            <w:pPr>
              <w:ind w:left="80"/>
              <w:spacing w:after="0"/>
              <w:rPr>
                <w:sz w:val="20"/>
                <w:szCs w:val="20"/>
                <w:color w:val="auto"/>
              </w:rPr>
            </w:pPr>
            <w:r>
              <w:rPr>
                <w:rFonts w:ascii="Arial" w:cs="Arial" w:eastAsia="Arial" w:hAnsi="Arial"/>
                <w:sz w:val="15"/>
                <w:szCs w:val="15"/>
                <w:color w:val="auto"/>
              </w:rPr>
              <w:t>Affiliated Managers Group, Inc.</w:t>
            </w:r>
          </w:p>
        </w:tc>
        <w:tc>
          <w:tcPr>
            <w:tcW w:w="3480" w:type="dxa"/>
            <w:vAlign w:val="bottom"/>
            <w:tcBorders>
              <w:top w:val="single" w:sz="8" w:color="28C0DA"/>
              <w:right w:val="single" w:sz="8" w:color="28C0DA"/>
            </w:tcBorders>
          </w:tcPr>
          <w:p>
            <w:pPr>
              <w:ind w:left="100"/>
              <w:spacing w:after="0"/>
              <w:rPr>
                <w:sz w:val="20"/>
                <w:szCs w:val="20"/>
                <w:color w:val="auto"/>
              </w:rPr>
            </w:pPr>
            <w:r>
              <w:rPr>
                <w:rFonts w:ascii="Arial" w:cs="Arial" w:eastAsia="Arial" w:hAnsi="Arial"/>
                <w:sz w:val="15"/>
                <w:szCs w:val="15"/>
                <w:color w:val="auto"/>
              </w:rPr>
              <w:t>Federated Investors</w:t>
            </w:r>
          </w:p>
        </w:tc>
        <w:tc>
          <w:tcPr>
            <w:tcW w:w="3520" w:type="dxa"/>
            <w:vAlign w:val="bottom"/>
            <w:tcBorders>
              <w:top w:val="single" w:sz="8" w:color="28C0DA"/>
            </w:tcBorders>
          </w:tcPr>
          <w:p>
            <w:pPr>
              <w:ind w:left="80"/>
              <w:spacing w:after="0"/>
              <w:rPr>
                <w:sz w:val="20"/>
                <w:szCs w:val="20"/>
                <w:color w:val="auto"/>
              </w:rPr>
            </w:pPr>
            <w:r>
              <w:rPr>
                <w:rFonts w:ascii="Arial" w:cs="Arial" w:eastAsia="Arial" w:hAnsi="Arial"/>
                <w:sz w:val="15"/>
                <w:szCs w:val="15"/>
                <w:color w:val="auto"/>
              </w:rPr>
              <w:t>Janus Henderson Group</w:t>
            </w:r>
          </w:p>
        </w:tc>
      </w:tr>
      <w:tr>
        <w:trPr>
          <w:trHeight w:val="237"/>
        </w:trPr>
        <w:tc>
          <w:tcPr>
            <w:tcW w:w="4240" w:type="dxa"/>
            <w:vAlign w:val="bottom"/>
            <w:tcBorders>
              <w:right w:val="single" w:sz="8" w:color="28C0DA"/>
            </w:tcBorders>
          </w:tcPr>
          <w:p>
            <w:pPr>
              <w:ind w:left="80"/>
              <w:spacing w:after="0"/>
              <w:rPr>
                <w:sz w:val="20"/>
                <w:szCs w:val="20"/>
                <w:color w:val="auto"/>
              </w:rPr>
            </w:pPr>
            <w:r>
              <w:rPr>
                <w:rFonts w:ascii="Arial" w:cs="Arial" w:eastAsia="Arial" w:hAnsi="Arial"/>
                <w:sz w:val="15"/>
                <w:szCs w:val="15"/>
                <w:color w:val="auto"/>
              </w:rPr>
              <w:t>AllianceBernstein L.P.</w:t>
            </w:r>
          </w:p>
        </w:tc>
        <w:tc>
          <w:tcPr>
            <w:tcW w:w="3480" w:type="dxa"/>
            <w:vAlign w:val="bottom"/>
            <w:tcBorders>
              <w:right w:val="single" w:sz="8" w:color="28C0DA"/>
            </w:tcBorders>
          </w:tcPr>
          <w:p>
            <w:pPr>
              <w:ind w:left="100"/>
              <w:spacing w:after="0"/>
              <w:rPr>
                <w:sz w:val="20"/>
                <w:szCs w:val="20"/>
                <w:color w:val="auto"/>
              </w:rPr>
            </w:pPr>
            <w:r>
              <w:rPr>
                <w:rFonts w:ascii="Arial" w:cs="Arial" w:eastAsia="Arial" w:hAnsi="Arial"/>
                <w:sz w:val="15"/>
                <w:szCs w:val="15"/>
                <w:color w:val="auto"/>
              </w:rPr>
              <w:t>Franklin Resources, Inc.</w:t>
            </w:r>
          </w:p>
        </w:tc>
        <w:tc>
          <w:tcPr>
            <w:tcW w:w="3520" w:type="dxa"/>
            <w:vAlign w:val="bottom"/>
          </w:tcPr>
          <w:p>
            <w:pPr>
              <w:ind w:left="80"/>
              <w:spacing w:after="0"/>
              <w:rPr>
                <w:sz w:val="20"/>
                <w:szCs w:val="20"/>
                <w:color w:val="auto"/>
              </w:rPr>
            </w:pPr>
            <w:r>
              <w:rPr>
                <w:rFonts w:ascii="Arial" w:cs="Arial" w:eastAsia="Arial" w:hAnsi="Arial"/>
                <w:sz w:val="15"/>
                <w:szCs w:val="15"/>
                <w:color w:val="auto"/>
              </w:rPr>
              <w:t>Invesco Ltd.</w:t>
            </w:r>
          </w:p>
        </w:tc>
      </w:tr>
      <w:tr>
        <w:trPr>
          <w:trHeight w:val="237"/>
        </w:trPr>
        <w:tc>
          <w:tcPr>
            <w:tcW w:w="4240" w:type="dxa"/>
            <w:vAlign w:val="bottom"/>
            <w:tcBorders>
              <w:right w:val="single" w:sz="8" w:color="28C0DA"/>
            </w:tcBorders>
          </w:tcPr>
          <w:p>
            <w:pPr>
              <w:ind w:left="80"/>
              <w:spacing w:after="0"/>
              <w:rPr>
                <w:sz w:val="20"/>
                <w:szCs w:val="20"/>
                <w:color w:val="auto"/>
              </w:rPr>
            </w:pPr>
            <w:r>
              <w:rPr>
                <w:rFonts w:ascii="Arial" w:cs="Arial" w:eastAsia="Arial" w:hAnsi="Arial"/>
                <w:sz w:val="15"/>
                <w:szCs w:val="15"/>
                <w:color w:val="auto"/>
              </w:rPr>
              <w:t>BlackRock, Inc.</w:t>
            </w:r>
          </w:p>
        </w:tc>
        <w:tc>
          <w:tcPr>
            <w:tcW w:w="3480" w:type="dxa"/>
            <w:vAlign w:val="bottom"/>
            <w:tcBorders>
              <w:right w:val="single" w:sz="8" w:color="28C0DA"/>
            </w:tcBorders>
          </w:tcPr>
          <w:p>
            <w:pPr>
              <w:spacing w:after="0"/>
              <w:rPr>
                <w:sz w:val="20"/>
                <w:szCs w:val="20"/>
                <w:color w:val="auto"/>
              </w:rPr>
            </w:pPr>
          </w:p>
        </w:tc>
        <w:tc>
          <w:tcPr>
            <w:tcW w:w="3520" w:type="dxa"/>
            <w:vAlign w:val="bottom"/>
          </w:tcPr>
          <w:p>
            <w:pPr>
              <w:spacing w:after="0"/>
              <w:rPr>
                <w:sz w:val="20"/>
                <w:szCs w:val="20"/>
                <w:color w:val="auto"/>
              </w:rPr>
            </w:pPr>
          </w:p>
        </w:tc>
      </w:tr>
      <w:tr>
        <w:trPr>
          <w:trHeight w:val="64"/>
        </w:trPr>
        <w:tc>
          <w:tcPr>
            <w:tcW w:w="4240" w:type="dxa"/>
            <w:vAlign w:val="bottom"/>
            <w:tcBorders>
              <w:right w:val="single" w:sz="8" w:color="28C0DA"/>
            </w:tcBorders>
          </w:tcPr>
          <w:p>
            <w:pPr>
              <w:spacing w:after="0"/>
              <w:rPr>
                <w:sz w:val="5"/>
                <w:szCs w:val="5"/>
                <w:color w:val="auto"/>
              </w:rPr>
            </w:pPr>
          </w:p>
        </w:tc>
        <w:tc>
          <w:tcPr>
            <w:tcW w:w="3480" w:type="dxa"/>
            <w:vAlign w:val="bottom"/>
            <w:tcBorders>
              <w:right w:val="single" w:sz="8" w:color="28C0DA"/>
            </w:tcBorders>
          </w:tcPr>
          <w:p>
            <w:pPr>
              <w:spacing w:after="0"/>
              <w:rPr>
                <w:sz w:val="5"/>
                <w:szCs w:val="5"/>
                <w:color w:val="auto"/>
              </w:rPr>
            </w:pPr>
          </w:p>
        </w:tc>
        <w:tc>
          <w:tcPr>
            <w:tcW w:w="3520" w:type="dxa"/>
            <w:vAlign w:val="bottom"/>
          </w:tcPr>
          <w:p>
            <w:pPr>
              <w:spacing w:after="0"/>
              <w:rPr>
                <w:sz w:val="5"/>
                <w:szCs w:val="5"/>
                <w:color w:val="auto"/>
              </w:rPr>
            </w:pPr>
          </w:p>
        </w:tc>
      </w:tr>
    </w:tbl>
    <w:p>
      <w:pPr>
        <w:spacing w:after="0" w:line="188" w:lineRule="exact"/>
        <w:rPr>
          <w:sz w:val="20"/>
          <w:szCs w:val="20"/>
          <w:color w:val="auto"/>
        </w:rPr>
      </w:pPr>
    </w:p>
    <w:p>
      <w:pPr>
        <w:ind w:right="20"/>
        <w:spacing w:after="0" w:line="247" w:lineRule="auto"/>
        <w:rPr>
          <w:sz w:val="20"/>
          <w:szCs w:val="20"/>
          <w:color w:val="auto"/>
        </w:rPr>
      </w:pPr>
      <w:r>
        <w:rPr>
          <w:rFonts w:ascii="Arial" w:cs="Arial" w:eastAsia="Arial" w:hAnsi="Arial"/>
          <w:sz w:val="15"/>
          <w:szCs w:val="15"/>
          <w:color w:val="auto"/>
        </w:rPr>
        <w:t>The peer group listed above is similar to the peer group used in evaluating the competitive positioning of our compensation program, but consists of independent asset management firms that align with our business. The Compensation Committee selected operating margin as the sole performance metric because it is a key indicator of profitability and relative financial performance in the asset management industry. Operating margin is determined by dividing net operating income by total revenues for the performance period, as reported in the consolidated financial statements filed with the SEC or, if such financial statements are not available for a peer company at the time of determination, as otherwise disclosed in a press release by the peer company. In each case, net operating income is adjusted to exclude the effects of goodwill impairment, the cumulative effect of changes in accounting policies or principles, and gains or losses from discontinued operations, as each is reflected on the face of or in the notes to the relevant financial statements. For performance-based RSU awards made in 2023, the number of RSU's earned will be determined by comparing the Company's operating margin for the three-year performance period with the average operating margin of the peer group for the period, and thereafter vest over the following two years (years four and five after the grant date).</w:t>
      </w:r>
    </w:p>
    <w:p>
      <w:pPr>
        <w:spacing w:after="0" w:line="167"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3"/>
          <w:szCs w:val="13"/>
          <w:b w:val="1"/>
          <w:bCs w:val="1"/>
          <w:color w:val="00244F"/>
        </w:rPr>
        <w:t>58</w:t>
      </w:r>
      <w:r>
        <w:rPr>
          <w:sz w:val="20"/>
          <w:szCs w:val="20"/>
          <w:color w:val="auto"/>
        </w:rPr>
        <w:tab/>
      </w:r>
      <w:r>
        <w:rPr>
          <w:rFonts w:ascii="Times New Roman" w:cs="Times New Roman" w:eastAsia="Times New Roman" w:hAnsi="Times New Roman"/>
          <w:sz w:val="13"/>
          <w:szCs w:val="13"/>
          <w:b w:val="1"/>
          <w:bCs w:val="1"/>
          <w:color w:val="00244F"/>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42480" cy="76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63" w:name="page64"/>
    <w:bookmarkEnd w:id="63"/>
    <w:p>
      <w:pPr>
        <w:spacing w:after="0"/>
        <w:rPr>
          <w:sz w:val="20"/>
          <w:szCs w:val="20"/>
          <w:color w:val="auto"/>
        </w:rPr>
      </w:pPr>
      <w:r>
        <w:rPr>
          <w:rFonts w:ascii="Arial" w:cs="Arial" w:eastAsia="Arial" w:hAnsi="Arial"/>
          <w:sz w:val="17"/>
          <w:szCs w:val="17"/>
          <w:u w:val="single" w:color="auto"/>
          <w:color w:val="0000EE"/>
        </w:rPr>
        <w:t>Table of Contents</w:t>
      </w:r>
    </w:p>
    <w:p>
      <w:pPr>
        <w:spacing w:after="0" w:line="197" w:lineRule="exact"/>
        <w:rPr>
          <w:sz w:val="20"/>
          <w:szCs w:val="20"/>
          <w:color w:val="auto"/>
        </w:rPr>
      </w:pPr>
    </w:p>
    <w:p>
      <w:pPr>
        <w:ind w:right="180"/>
        <w:spacing w:after="0" w:line="278" w:lineRule="auto"/>
        <w:rPr>
          <w:sz w:val="20"/>
          <w:szCs w:val="20"/>
          <w:color w:val="auto"/>
        </w:rPr>
      </w:pPr>
      <w:r>
        <w:rPr>
          <w:rFonts w:ascii="Arial" w:cs="Arial" w:eastAsia="Arial" w:hAnsi="Arial"/>
          <w:sz w:val="15"/>
          <w:szCs w:val="15"/>
          <w:color w:val="auto"/>
        </w:rPr>
        <w:t>The following table shows the performance thresholds and related percentage of RSUs eligible to be earned that were established by the Compensation Committee for the 2023 awards.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80" w:type="dxa"/>
            <w:vAlign w:val="bottom"/>
            <w:tcBorders>
              <w:top w:val="single" w:sz="8" w:color="auto"/>
            </w:tcBorders>
            <w:gridSpan w:val="3"/>
          </w:tcPr>
          <w:p>
            <w:pPr>
              <w:ind w:left="40"/>
              <w:spacing w:after="0"/>
              <w:rPr>
                <w:sz w:val="20"/>
                <w:szCs w:val="20"/>
                <w:color w:val="auto"/>
              </w:rPr>
            </w:pPr>
            <w:r>
              <w:rPr>
                <w:rFonts w:ascii="Arial" w:cs="Arial" w:eastAsia="Arial" w:hAnsi="Arial"/>
                <w:sz w:val="15"/>
                <w:szCs w:val="15"/>
                <w:b w:val="1"/>
                <w:bCs w:val="1"/>
                <w:color w:val="auto"/>
              </w:rPr>
              <w:t>TROW Operating Margin as Percent of</w:t>
            </w:r>
          </w:p>
        </w:tc>
        <w:tc>
          <w:tcPr>
            <w:tcW w:w="100" w:type="dxa"/>
            <w:vAlign w:val="bottom"/>
          </w:tcPr>
          <w:p>
            <w:pPr>
              <w:spacing w:after="0"/>
              <w:rPr>
                <w:sz w:val="15"/>
                <w:szCs w:val="15"/>
                <w:color w:val="auto"/>
              </w:rPr>
            </w:pPr>
          </w:p>
        </w:tc>
        <w:tc>
          <w:tcPr>
            <w:tcW w:w="1020" w:type="dxa"/>
            <w:vAlign w:val="bottom"/>
            <w:tcBorders>
              <w:top w:val="single" w:sz="8" w:color="auto"/>
            </w:tcBorders>
            <w:gridSpan w:val="3"/>
            <w:vMerge w:val="restart"/>
          </w:tcPr>
          <w:p>
            <w:pPr>
              <w:jc w:val="right"/>
              <w:ind w:right="260"/>
              <w:spacing w:after="0"/>
              <w:rPr>
                <w:sz w:val="20"/>
                <w:szCs w:val="20"/>
                <w:color w:val="auto"/>
              </w:rPr>
            </w:pPr>
            <w:r>
              <w:rPr>
                <w:rFonts w:ascii="Arial" w:cs="Arial" w:eastAsia="Arial" w:hAnsi="Arial"/>
                <w:sz w:val="15"/>
                <w:szCs w:val="15"/>
                <w:color w:val="auto"/>
              </w:rPr>
              <w:t>&gt;100%</w:t>
            </w:r>
          </w:p>
        </w:tc>
        <w:tc>
          <w:tcPr>
            <w:tcW w:w="120" w:type="dxa"/>
            <w:vAlign w:val="bottom"/>
          </w:tcPr>
          <w:p>
            <w:pPr>
              <w:spacing w:after="0"/>
              <w:rPr>
                <w:sz w:val="15"/>
                <w:szCs w:val="15"/>
                <w:color w:val="auto"/>
              </w:rPr>
            </w:pPr>
          </w:p>
        </w:tc>
        <w:tc>
          <w:tcPr>
            <w:tcW w:w="1000" w:type="dxa"/>
            <w:vAlign w:val="bottom"/>
            <w:tcBorders>
              <w:top w:val="single" w:sz="8" w:color="auto"/>
            </w:tcBorders>
            <w:gridSpan w:val="3"/>
            <w:vMerge w:val="restart"/>
          </w:tcPr>
          <w:p>
            <w:pPr>
              <w:jc w:val="right"/>
              <w:ind w:right="160"/>
              <w:spacing w:after="0"/>
              <w:rPr>
                <w:sz w:val="20"/>
                <w:szCs w:val="20"/>
                <w:color w:val="auto"/>
              </w:rPr>
            </w:pPr>
            <w:r>
              <w:rPr>
                <w:rFonts w:ascii="Arial" w:cs="Arial" w:eastAsia="Arial" w:hAnsi="Arial"/>
                <w:sz w:val="15"/>
                <w:szCs w:val="15"/>
                <w:color w:val="auto"/>
              </w:rPr>
              <w:t>90%-99%</w:t>
            </w:r>
          </w:p>
        </w:tc>
        <w:tc>
          <w:tcPr>
            <w:tcW w:w="120" w:type="dxa"/>
            <w:vAlign w:val="bottom"/>
            <w:vMerge w:val="restart"/>
          </w:tcPr>
          <w:p>
            <w:pPr>
              <w:spacing w:after="0"/>
              <w:rPr>
                <w:sz w:val="15"/>
                <w:szCs w:val="15"/>
                <w:color w:val="auto"/>
              </w:rPr>
            </w:pPr>
          </w:p>
        </w:tc>
        <w:tc>
          <w:tcPr>
            <w:tcW w:w="1000" w:type="dxa"/>
            <w:vAlign w:val="bottom"/>
            <w:tcBorders>
              <w:top w:val="single" w:sz="8" w:color="auto"/>
            </w:tcBorders>
            <w:vMerge w:val="restart"/>
          </w:tcPr>
          <w:p>
            <w:pPr>
              <w:jc w:val="right"/>
              <w:ind w:right="93"/>
              <w:spacing w:after="0"/>
              <w:rPr>
                <w:sz w:val="20"/>
                <w:szCs w:val="20"/>
                <w:color w:val="auto"/>
              </w:rPr>
            </w:pPr>
            <w:r>
              <w:rPr>
                <w:rFonts w:ascii="Arial" w:cs="Arial" w:eastAsia="Arial" w:hAnsi="Arial"/>
                <w:sz w:val="15"/>
                <w:szCs w:val="15"/>
                <w:color w:val="auto"/>
              </w:rPr>
              <w:t>80%-89%</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2"/>
            <w:vMerge w:val="restart"/>
          </w:tcPr>
          <w:p>
            <w:pPr>
              <w:jc w:val="right"/>
              <w:ind w:right="5"/>
              <w:spacing w:after="0"/>
              <w:rPr>
                <w:sz w:val="20"/>
                <w:szCs w:val="20"/>
                <w:color w:val="auto"/>
              </w:rPr>
            </w:pPr>
            <w:r>
              <w:rPr>
                <w:rFonts w:ascii="Arial" w:cs="Arial" w:eastAsia="Arial" w:hAnsi="Arial"/>
                <w:sz w:val="15"/>
                <w:szCs w:val="15"/>
                <w:color w:val="auto"/>
              </w:rPr>
              <w:t>70%-79%</w:t>
            </w:r>
          </w:p>
        </w:tc>
        <w:tc>
          <w:tcPr>
            <w:tcW w:w="100" w:type="dxa"/>
            <w:vAlign w:val="bottom"/>
            <w:tcBorders>
              <w:top w:val="single" w:sz="8" w:color="auto"/>
            </w:tcBorders>
            <w:vMerge w:val="restart"/>
          </w:tcPr>
          <w:p>
            <w:pPr>
              <w:spacing w:after="0"/>
              <w:rPr>
                <w:sz w:val="15"/>
                <w:szCs w:val="15"/>
                <w:color w:val="auto"/>
              </w:rPr>
            </w:pPr>
          </w:p>
        </w:tc>
        <w:tc>
          <w:tcPr>
            <w:tcW w:w="100" w:type="dxa"/>
            <w:vAlign w:val="bottom"/>
            <w:vMerge w:val="restart"/>
          </w:tcPr>
          <w:p>
            <w:pPr>
              <w:spacing w:after="0"/>
              <w:rPr>
                <w:sz w:val="15"/>
                <w:szCs w:val="15"/>
                <w:color w:val="auto"/>
              </w:rPr>
            </w:pPr>
          </w:p>
        </w:tc>
        <w:tc>
          <w:tcPr>
            <w:tcW w:w="1020" w:type="dxa"/>
            <w:vAlign w:val="bottom"/>
            <w:tcBorders>
              <w:top w:val="single" w:sz="8" w:color="auto"/>
            </w:tcBorders>
            <w:vMerge w:val="restart"/>
          </w:tcPr>
          <w:p>
            <w:pPr>
              <w:jc w:val="right"/>
              <w:ind w:right="95"/>
              <w:spacing w:after="0"/>
              <w:rPr>
                <w:sz w:val="20"/>
                <w:szCs w:val="20"/>
                <w:color w:val="auto"/>
              </w:rPr>
            </w:pPr>
            <w:r>
              <w:rPr>
                <w:rFonts w:ascii="Arial" w:cs="Arial" w:eastAsia="Arial" w:hAnsi="Arial"/>
                <w:sz w:val="15"/>
                <w:szCs w:val="15"/>
                <w:color w:val="auto"/>
              </w:rPr>
              <w:t>60%-69%</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Borders>
              <w:top w:val="single" w:sz="8" w:color="auto"/>
            </w:tcBorders>
            <w:gridSpan w:val="2"/>
            <w:vMerge w:val="restart"/>
          </w:tcPr>
          <w:p>
            <w:pPr>
              <w:jc w:val="right"/>
              <w:ind w:right="160"/>
              <w:spacing w:after="0"/>
              <w:rPr>
                <w:sz w:val="20"/>
                <w:szCs w:val="20"/>
                <w:color w:val="auto"/>
              </w:rPr>
            </w:pPr>
            <w:r>
              <w:rPr>
                <w:rFonts w:ascii="Arial" w:cs="Arial" w:eastAsia="Arial" w:hAnsi="Arial"/>
                <w:sz w:val="15"/>
                <w:szCs w:val="15"/>
                <w:color w:val="auto"/>
              </w:rPr>
              <w:t>50%-59%</w:t>
            </w:r>
          </w:p>
        </w:tc>
        <w:tc>
          <w:tcPr>
            <w:tcW w:w="120" w:type="dxa"/>
            <w:vAlign w:val="bottom"/>
            <w:vMerge w:val="restart"/>
          </w:tcPr>
          <w:p>
            <w:pPr>
              <w:spacing w:after="0"/>
              <w:rPr>
                <w:sz w:val="15"/>
                <w:szCs w:val="15"/>
                <w:color w:val="auto"/>
              </w:rPr>
            </w:pPr>
          </w:p>
        </w:tc>
        <w:tc>
          <w:tcPr>
            <w:tcW w:w="1000" w:type="dxa"/>
            <w:vAlign w:val="bottom"/>
            <w:tcBorders>
              <w:top w:val="single" w:sz="8" w:color="auto"/>
            </w:tcBorders>
            <w:vMerge w:val="restart"/>
          </w:tcPr>
          <w:p>
            <w:pPr>
              <w:jc w:val="right"/>
              <w:ind w:right="213"/>
              <w:spacing w:after="0"/>
              <w:rPr>
                <w:sz w:val="20"/>
                <w:szCs w:val="20"/>
                <w:color w:val="auto"/>
              </w:rPr>
            </w:pPr>
            <w:r>
              <w:rPr>
                <w:rFonts w:ascii="Arial" w:cs="Arial" w:eastAsia="Arial" w:hAnsi="Arial"/>
                <w:sz w:val="15"/>
                <w:szCs w:val="15"/>
                <w:color w:val="auto"/>
              </w:rPr>
              <w:t>&lt;50%</w:t>
            </w:r>
          </w:p>
        </w:tc>
        <w:tc>
          <w:tcPr>
            <w:tcW w:w="0" w:type="dxa"/>
            <w:vAlign w:val="bottom"/>
          </w:tcPr>
          <w:p>
            <w:pPr>
              <w:spacing w:after="0"/>
              <w:rPr>
                <w:sz w:val="1"/>
                <w:szCs w:val="1"/>
                <w:color w:val="auto"/>
              </w:rPr>
            </w:pPr>
          </w:p>
        </w:tc>
      </w:tr>
      <w:tr>
        <w:trPr>
          <w:trHeight w:val="75"/>
        </w:trPr>
        <w:tc>
          <w:tcPr>
            <w:tcW w:w="3480" w:type="dxa"/>
            <w:vAlign w:val="bottom"/>
            <w:gridSpan w:val="4"/>
            <w:vMerge w:val="restart"/>
          </w:tcPr>
          <w:p>
            <w:pPr>
              <w:ind w:left="40"/>
              <w:spacing w:after="0"/>
              <w:rPr>
                <w:sz w:val="20"/>
                <w:szCs w:val="20"/>
                <w:color w:val="auto"/>
              </w:rPr>
            </w:pPr>
            <w:r>
              <w:rPr>
                <w:rFonts w:ascii="Arial" w:cs="Arial" w:eastAsia="Arial" w:hAnsi="Arial"/>
                <w:sz w:val="15"/>
                <w:szCs w:val="15"/>
                <w:b w:val="1"/>
                <w:bCs w:val="1"/>
                <w:color w:val="auto"/>
              </w:rPr>
              <w:t>Industry Average Margin</w:t>
            </w:r>
          </w:p>
        </w:tc>
        <w:tc>
          <w:tcPr>
            <w:tcW w:w="102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3"/>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3480" w:type="dxa"/>
            <w:vAlign w:val="bottom"/>
            <w:gridSpan w:val="4"/>
            <w:vMerge w:val="continue"/>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3380" w:type="dxa"/>
            <w:vAlign w:val="bottom"/>
            <w:tcBorders>
              <w:top w:val="single" w:sz="8" w:color="939598"/>
              <w:bottom w:val="single" w:sz="8" w:color="939598"/>
            </w:tcBorders>
            <w:gridSpan w:val="3"/>
            <w:shd w:val="clear" w:color="auto" w:fill="E7E7E8"/>
          </w:tcPr>
          <w:p>
            <w:pPr>
              <w:ind w:left="40"/>
              <w:spacing w:after="0" w:line="168" w:lineRule="exact"/>
              <w:rPr>
                <w:sz w:val="20"/>
                <w:szCs w:val="20"/>
                <w:color w:val="auto"/>
              </w:rPr>
            </w:pPr>
            <w:r>
              <w:rPr>
                <w:rFonts w:ascii="Arial" w:cs="Arial" w:eastAsia="Arial" w:hAnsi="Arial"/>
                <w:sz w:val="15"/>
                <w:szCs w:val="15"/>
                <w:b w:val="1"/>
                <w:bCs w:val="1"/>
                <w:color w:val="auto"/>
              </w:rPr>
              <w:t>Amount of RSUs Eligible to Be Earned</w:t>
            </w:r>
          </w:p>
        </w:tc>
        <w:tc>
          <w:tcPr>
            <w:tcW w:w="100" w:type="dxa"/>
            <w:vAlign w:val="bottom"/>
            <w:tcBorders>
              <w:top w:val="single" w:sz="8" w:color="E7E7E8"/>
            </w:tcBorders>
            <w:shd w:val="clear" w:color="auto" w:fill="E7E7E8"/>
          </w:tcPr>
          <w:p>
            <w:pPr>
              <w:spacing w:after="0"/>
              <w:rPr>
                <w:sz w:val="14"/>
                <w:szCs w:val="14"/>
                <w:color w:val="auto"/>
              </w:rPr>
            </w:pPr>
          </w:p>
        </w:tc>
        <w:tc>
          <w:tcPr>
            <w:tcW w:w="1020" w:type="dxa"/>
            <w:vAlign w:val="bottom"/>
            <w:tcBorders>
              <w:top w:val="single" w:sz="8" w:color="939598"/>
              <w:bottom w:val="single" w:sz="8" w:color="939598"/>
            </w:tcBorders>
            <w:gridSpan w:val="3"/>
            <w:shd w:val="clear" w:color="auto" w:fill="E7E7E8"/>
          </w:tcPr>
          <w:p>
            <w:pPr>
              <w:jc w:val="right"/>
              <w:ind w:right="300"/>
              <w:spacing w:after="0" w:line="168" w:lineRule="exact"/>
              <w:rPr>
                <w:sz w:val="20"/>
                <w:szCs w:val="20"/>
                <w:color w:val="auto"/>
              </w:rPr>
            </w:pPr>
            <w:r>
              <w:rPr>
                <w:rFonts w:ascii="Arial" w:cs="Arial" w:eastAsia="Arial" w:hAnsi="Arial"/>
                <w:sz w:val="15"/>
                <w:szCs w:val="15"/>
                <w:color w:val="auto"/>
              </w:rPr>
              <w:t>100%</w:t>
            </w:r>
          </w:p>
        </w:tc>
        <w:tc>
          <w:tcPr>
            <w:tcW w:w="120" w:type="dxa"/>
            <w:vAlign w:val="bottom"/>
            <w:tcBorders>
              <w:top w:val="single" w:sz="8" w:color="E7E7E8"/>
            </w:tcBorders>
            <w:shd w:val="clear" w:color="auto" w:fill="E7E7E8"/>
          </w:tcPr>
          <w:p>
            <w:pPr>
              <w:spacing w:after="0"/>
              <w:rPr>
                <w:sz w:val="14"/>
                <w:szCs w:val="14"/>
                <w:color w:val="auto"/>
              </w:rPr>
            </w:pPr>
          </w:p>
        </w:tc>
        <w:tc>
          <w:tcPr>
            <w:tcW w:w="1000" w:type="dxa"/>
            <w:vAlign w:val="bottom"/>
            <w:tcBorders>
              <w:top w:val="single" w:sz="8" w:color="939598"/>
              <w:bottom w:val="single" w:sz="8" w:color="939598"/>
            </w:tcBorders>
            <w:gridSpan w:val="3"/>
            <w:shd w:val="clear" w:color="auto" w:fill="E7E7E8"/>
          </w:tcPr>
          <w:p>
            <w:pPr>
              <w:jc w:val="right"/>
              <w:ind w:right="340"/>
              <w:spacing w:after="0" w:line="168" w:lineRule="exact"/>
              <w:rPr>
                <w:sz w:val="20"/>
                <w:szCs w:val="20"/>
                <w:color w:val="auto"/>
              </w:rPr>
            </w:pPr>
            <w:r>
              <w:rPr>
                <w:rFonts w:ascii="Arial" w:cs="Arial" w:eastAsia="Arial" w:hAnsi="Arial"/>
                <w:sz w:val="15"/>
                <w:szCs w:val="15"/>
                <w:color w:val="auto"/>
              </w:rPr>
              <w:t>90%</w:t>
            </w:r>
          </w:p>
        </w:tc>
        <w:tc>
          <w:tcPr>
            <w:tcW w:w="120" w:type="dxa"/>
            <w:vAlign w:val="bottom"/>
            <w:tcBorders>
              <w:top w:val="single" w:sz="8" w:color="E7E7E8"/>
            </w:tcBorders>
            <w:shd w:val="clear" w:color="auto" w:fill="E7E7E8"/>
          </w:tcPr>
          <w:p>
            <w:pPr>
              <w:spacing w:after="0"/>
              <w:rPr>
                <w:sz w:val="14"/>
                <w:szCs w:val="14"/>
                <w:color w:val="auto"/>
              </w:rPr>
            </w:pPr>
          </w:p>
        </w:tc>
        <w:tc>
          <w:tcPr>
            <w:tcW w:w="1000" w:type="dxa"/>
            <w:vAlign w:val="bottom"/>
            <w:tcBorders>
              <w:top w:val="single" w:sz="8" w:color="939598"/>
              <w:bottom w:val="single" w:sz="8" w:color="939598"/>
            </w:tcBorders>
            <w:shd w:val="clear" w:color="auto" w:fill="E7E7E8"/>
          </w:tcPr>
          <w:p>
            <w:pPr>
              <w:jc w:val="right"/>
              <w:ind w:right="273"/>
              <w:spacing w:after="0" w:line="168" w:lineRule="exact"/>
              <w:rPr>
                <w:sz w:val="20"/>
                <w:szCs w:val="20"/>
                <w:color w:val="auto"/>
              </w:rPr>
            </w:pPr>
            <w:r>
              <w:rPr>
                <w:rFonts w:ascii="Arial" w:cs="Arial" w:eastAsia="Arial" w:hAnsi="Arial"/>
                <w:sz w:val="15"/>
                <w:szCs w:val="15"/>
                <w:color w:val="auto"/>
              </w:rPr>
              <w:t>80%</w:t>
            </w:r>
          </w:p>
        </w:tc>
        <w:tc>
          <w:tcPr>
            <w:tcW w:w="120" w:type="dxa"/>
            <w:vAlign w:val="bottom"/>
            <w:tcBorders>
              <w:top w:val="single" w:sz="8" w:color="E7E7E8"/>
            </w:tcBorders>
            <w:shd w:val="clear" w:color="auto" w:fill="E7E7E8"/>
          </w:tcPr>
          <w:p>
            <w:pPr>
              <w:spacing w:after="0"/>
              <w:rPr>
                <w:sz w:val="14"/>
                <w:szCs w:val="14"/>
                <w:color w:val="auto"/>
              </w:rPr>
            </w:pPr>
          </w:p>
        </w:tc>
        <w:tc>
          <w:tcPr>
            <w:tcW w:w="100" w:type="dxa"/>
            <w:vAlign w:val="bottom"/>
            <w:tcBorders>
              <w:top w:val="single" w:sz="8" w:color="939598"/>
              <w:bottom w:val="single" w:sz="8" w:color="939598"/>
            </w:tcBorders>
            <w:shd w:val="clear" w:color="auto" w:fill="E7E7E8"/>
          </w:tcPr>
          <w:p>
            <w:pPr>
              <w:spacing w:after="0"/>
              <w:rPr>
                <w:sz w:val="14"/>
                <w:szCs w:val="14"/>
                <w:color w:val="auto"/>
              </w:rPr>
            </w:pPr>
          </w:p>
        </w:tc>
        <w:tc>
          <w:tcPr>
            <w:tcW w:w="820" w:type="dxa"/>
            <w:vAlign w:val="bottom"/>
            <w:tcBorders>
              <w:top w:val="single" w:sz="8" w:color="939598"/>
              <w:bottom w:val="single" w:sz="8" w:color="939598"/>
            </w:tcBorders>
            <w:gridSpan w:val="2"/>
            <w:shd w:val="clear" w:color="auto" w:fill="E7E7E8"/>
          </w:tcPr>
          <w:p>
            <w:pPr>
              <w:jc w:val="right"/>
              <w:ind w:right="165"/>
              <w:spacing w:after="0" w:line="168" w:lineRule="exact"/>
              <w:rPr>
                <w:sz w:val="20"/>
                <w:szCs w:val="20"/>
                <w:color w:val="auto"/>
              </w:rPr>
            </w:pPr>
            <w:r>
              <w:rPr>
                <w:rFonts w:ascii="Arial" w:cs="Arial" w:eastAsia="Arial" w:hAnsi="Arial"/>
                <w:sz w:val="15"/>
                <w:szCs w:val="15"/>
                <w:color w:val="auto"/>
              </w:rPr>
              <w:t>70%</w:t>
            </w:r>
          </w:p>
        </w:tc>
        <w:tc>
          <w:tcPr>
            <w:tcW w:w="100" w:type="dxa"/>
            <w:vAlign w:val="bottom"/>
            <w:tcBorders>
              <w:top w:val="single" w:sz="8" w:color="939598"/>
              <w:bottom w:val="single" w:sz="8" w:color="939598"/>
            </w:tcBorders>
            <w:shd w:val="clear" w:color="auto" w:fill="E7E7E8"/>
          </w:tcPr>
          <w:p>
            <w:pPr>
              <w:spacing w:after="0"/>
              <w:rPr>
                <w:sz w:val="14"/>
                <w:szCs w:val="14"/>
                <w:color w:val="auto"/>
              </w:rPr>
            </w:pPr>
          </w:p>
        </w:tc>
        <w:tc>
          <w:tcPr>
            <w:tcW w:w="100" w:type="dxa"/>
            <w:vAlign w:val="bottom"/>
            <w:tcBorders>
              <w:top w:val="single" w:sz="8" w:color="E7E7E8"/>
            </w:tcBorders>
            <w:shd w:val="clear" w:color="auto" w:fill="E7E7E8"/>
          </w:tcPr>
          <w:p>
            <w:pPr>
              <w:spacing w:after="0"/>
              <w:rPr>
                <w:sz w:val="14"/>
                <w:szCs w:val="14"/>
                <w:color w:val="auto"/>
              </w:rPr>
            </w:pPr>
          </w:p>
        </w:tc>
        <w:tc>
          <w:tcPr>
            <w:tcW w:w="1020" w:type="dxa"/>
            <w:vAlign w:val="bottom"/>
            <w:tcBorders>
              <w:top w:val="single" w:sz="8" w:color="939598"/>
              <w:bottom w:val="single" w:sz="8" w:color="939598"/>
            </w:tcBorders>
            <w:shd w:val="clear" w:color="auto" w:fill="E7E7E8"/>
          </w:tcPr>
          <w:p>
            <w:pPr>
              <w:jc w:val="right"/>
              <w:ind w:right="275"/>
              <w:spacing w:after="0" w:line="168" w:lineRule="exact"/>
              <w:rPr>
                <w:sz w:val="20"/>
                <w:szCs w:val="20"/>
                <w:color w:val="auto"/>
              </w:rPr>
            </w:pPr>
            <w:r>
              <w:rPr>
                <w:rFonts w:ascii="Arial" w:cs="Arial" w:eastAsia="Arial" w:hAnsi="Arial"/>
                <w:sz w:val="15"/>
                <w:szCs w:val="15"/>
                <w:color w:val="auto"/>
              </w:rPr>
              <w:t>60%</w:t>
            </w:r>
          </w:p>
        </w:tc>
        <w:tc>
          <w:tcPr>
            <w:tcW w:w="80" w:type="dxa"/>
            <w:vAlign w:val="bottom"/>
            <w:tcBorders>
              <w:top w:val="single" w:sz="8" w:color="E7E7E8"/>
            </w:tcBorders>
            <w:shd w:val="clear" w:color="auto" w:fill="E7E7E8"/>
          </w:tcPr>
          <w:p>
            <w:pPr>
              <w:spacing w:after="0"/>
              <w:rPr>
                <w:sz w:val="14"/>
                <w:szCs w:val="14"/>
                <w:color w:val="auto"/>
              </w:rPr>
            </w:pPr>
          </w:p>
        </w:tc>
        <w:tc>
          <w:tcPr>
            <w:tcW w:w="40" w:type="dxa"/>
            <w:vAlign w:val="bottom"/>
            <w:tcBorders>
              <w:top w:val="single" w:sz="8" w:color="E7E7E8"/>
            </w:tcBorders>
            <w:shd w:val="clear" w:color="auto" w:fill="E7E7E8"/>
          </w:tcPr>
          <w:p>
            <w:pPr>
              <w:spacing w:after="0"/>
              <w:rPr>
                <w:sz w:val="14"/>
                <w:szCs w:val="14"/>
                <w:color w:val="auto"/>
              </w:rPr>
            </w:pPr>
          </w:p>
        </w:tc>
        <w:tc>
          <w:tcPr>
            <w:tcW w:w="1000" w:type="dxa"/>
            <w:vAlign w:val="bottom"/>
            <w:tcBorders>
              <w:top w:val="single" w:sz="8" w:color="939598"/>
              <w:bottom w:val="single" w:sz="8" w:color="939598"/>
            </w:tcBorders>
            <w:gridSpan w:val="2"/>
            <w:shd w:val="clear" w:color="auto" w:fill="E7E7E8"/>
          </w:tcPr>
          <w:p>
            <w:pPr>
              <w:jc w:val="right"/>
              <w:ind w:right="340"/>
              <w:spacing w:after="0" w:line="168" w:lineRule="exact"/>
              <w:rPr>
                <w:sz w:val="20"/>
                <w:szCs w:val="20"/>
                <w:color w:val="auto"/>
              </w:rPr>
            </w:pPr>
            <w:r>
              <w:rPr>
                <w:rFonts w:ascii="Arial" w:cs="Arial" w:eastAsia="Arial" w:hAnsi="Arial"/>
                <w:sz w:val="15"/>
                <w:szCs w:val="15"/>
                <w:color w:val="auto"/>
              </w:rPr>
              <w:t>50%</w:t>
            </w:r>
          </w:p>
        </w:tc>
        <w:tc>
          <w:tcPr>
            <w:tcW w:w="120" w:type="dxa"/>
            <w:vAlign w:val="bottom"/>
            <w:tcBorders>
              <w:top w:val="single" w:sz="8" w:color="E7E7E8"/>
            </w:tcBorders>
            <w:shd w:val="clear" w:color="auto" w:fill="E7E7E8"/>
          </w:tcPr>
          <w:p>
            <w:pPr>
              <w:spacing w:after="0"/>
              <w:rPr>
                <w:sz w:val="14"/>
                <w:szCs w:val="14"/>
                <w:color w:val="auto"/>
              </w:rPr>
            </w:pPr>
          </w:p>
        </w:tc>
        <w:tc>
          <w:tcPr>
            <w:tcW w:w="1000" w:type="dxa"/>
            <w:vAlign w:val="bottom"/>
            <w:tcBorders>
              <w:top w:val="single" w:sz="8" w:color="939598"/>
              <w:bottom w:val="single" w:sz="8" w:color="939598"/>
            </w:tcBorders>
            <w:shd w:val="clear" w:color="auto" w:fill="E7E7E8"/>
          </w:tcPr>
          <w:p>
            <w:pPr>
              <w:jc w:val="right"/>
              <w:ind w:right="313"/>
              <w:spacing w:after="0" w:line="168" w:lineRule="exact"/>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255"/>
        </w:trPr>
        <w:tc>
          <w:tcPr>
            <w:tcW w:w="1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3"/>
            <w:vMerge w:val="restart"/>
          </w:tcPr>
          <w:p>
            <w:pPr>
              <w:jc w:val="right"/>
              <w:ind w:right="40"/>
              <w:spacing w:after="0"/>
              <w:rPr>
                <w:sz w:val="20"/>
                <w:szCs w:val="20"/>
                <w:color w:val="auto"/>
              </w:rPr>
            </w:pPr>
            <w:r>
              <w:rPr>
                <w:rFonts w:ascii="Arial" w:cs="Arial" w:eastAsia="Arial" w:hAnsi="Arial"/>
                <w:sz w:val="12"/>
                <w:szCs w:val="12"/>
                <w:b w:val="1"/>
                <w:bCs w:val="1"/>
                <w:color w:val="auto"/>
              </w:rPr>
              <w:t>TROW OPERATING</w:t>
            </w: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3"/>
            <w:vMerge w:val="restart"/>
          </w:tcPr>
          <w:p>
            <w:pPr>
              <w:jc w:val="right"/>
              <w:ind w:right="80"/>
              <w:spacing w:after="0"/>
              <w:rPr>
                <w:sz w:val="20"/>
                <w:szCs w:val="20"/>
                <w:color w:val="auto"/>
              </w:rPr>
            </w:pPr>
            <w:r>
              <w:rPr>
                <w:rFonts w:ascii="Arial" w:cs="Arial" w:eastAsia="Arial" w:hAnsi="Arial"/>
                <w:sz w:val="12"/>
                <w:szCs w:val="12"/>
                <w:b w:val="1"/>
                <w:bCs w:val="1"/>
                <w:color w:val="auto"/>
                <w:w w:val="97"/>
              </w:rPr>
              <w:t>AMOUNT EARNED</w:t>
            </w: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7"/>
        </w:trPr>
        <w:tc>
          <w:tcPr>
            <w:tcW w:w="154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1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3"/>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1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340" w:type="dxa"/>
            <w:vAlign w:val="bottom"/>
            <w:gridSpan w:val="4"/>
          </w:tcPr>
          <w:p>
            <w:pPr>
              <w:jc w:val="right"/>
              <w:ind w:right="40"/>
              <w:spacing w:after="0" w:line="125" w:lineRule="exact"/>
              <w:rPr>
                <w:sz w:val="20"/>
                <w:szCs w:val="20"/>
                <w:color w:val="auto"/>
              </w:rPr>
            </w:pPr>
            <w:r>
              <w:rPr>
                <w:rFonts w:ascii="Arial" w:cs="Arial" w:eastAsia="Arial" w:hAnsi="Arial"/>
                <w:sz w:val="12"/>
                <w:szCs w:val="12"/>
                <w:b w:val="1"/>
                <w:bCs w:val="1"/>
                <w:color w:val="auto"/>
                <w:w w:val="98"/>
              </w:rPr>
              <w:t>MARGIN AS PERCENT</w:t>
            </w:r>
          </w:p>
        </w:tc>
        <w:tc>
          <w:tcPr>
            <w:tcW w:w="240" w:type="dxa"/>
            <w:vAlign w:val="bottom"/>
            <w:tcBorders>
              <w:right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jc w:val="right"/>
              <w:ind w:right="80"/>
              <w:spacing w:after="0" w:line="125" w:lineRule="exact"/>
              <w:rPr>
                <w:sz w:val="20"/>
                <w:szCs w:val="20"/>
                <w:color w:val="auto"/>
              </w:rPr>
            </w:pPr>
            <w:r>
              <w:rPr>
                <w:rFonts w:ascii="Arial" w:cs="Arial" w:eastAsia="Arial" w:hAnsi="Arial"/>
                <w:sz w:val="12"/>
                <w:szCs w:val="12"/>
                <w:b w:val="1"/>
                <w:bCs w:val="1"/>
                <w:color w:val="auto"/>
              </w:rPr>
              <w:t>AND SUBJECT</w:t>
            </w:r>
          </w:p>
        </w:tc>
        <w:tc>
          <w:tcPr>
            <w:tcW w:w="140" w:type="dxa"/>
            <w:vAlign w:val="bottom"/>
            <w:tcBorders>
              <w:right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7"/>
              </w:rPr>
              <w:t>VESTING START</w:t>
            </w:r>
          </w:p>
        </w:tc>
        <w:tc>
          <w:tcPr>
            <w:tcW w:w="0" w:type="dxa"/>
            <w:vAlign w:val="bottom"/>
          </w:tcPr>
          <w:p>
            <w:pPr>
              <w:spacing w:after="0"/>
              <w:rPr>
                <w:sz w:val="1"/>
                <w:szCs w:val="1"/>
                <w:color w:val="auto"/>
              </w:rPr>
            </w:pPr>
          </w:p>
        </w:tc>
      </w:tr>
      <w:tr>
        <w:trPr>
          <w:trHeight w:val="125"/>
        </w:trPr>
        <w:tc>
          <w:tcPr>
            <w:tcW w:w="1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GRANT DATE</w:t>
            </w:r>
          </w:p>
        </w:tc>
        <w:tc>
          <w:tcPr>
            <w:tcW w:w="180" w:type="dxa"/>
            <w:vAlign w:val="bottom"/>
            <w:tcBorders>
              <w:right w:val="single" w:sz="8" w:color="auto"/>
            </w:tcBorders>
            <w:vMerge w:val="restart"/>
          </w:tcPr>
          <w:p>
            <w:pPr>
              <w:spacing w:after="0"/>
              <w:rPr>
                <w:sz w:val="10"/>
                <w:szCs w:val="10"/>
                <w:color w:val="auto"/>
              </w:rPr>
            </w:pPr>
          </w:p>
        </w:tc>
        <w:tc>
          <w:tcPr>
            <w:tcW w:w="17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PERFORMANCE PERIOD</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3"/>
          </w:tcPr>
          <w:p>
            <w:pPr>
              <w:jc w:val="right"/>
              <w:ind w:right="40"/>
              <w:spacing w:after="0" w:line="125" w:lineRule="exact"/>
              <w:rPr>
                <w:sz w:val="20"/>
                <w:szCs w:val="20"/>
                <w:color w:val="auto"/>
              </w:rPr>
            </w:pPr>
            <w:r>
              <w:rPr>
                <w:rFonts w:ascii="Arial" w:cs="Arial" w:eastAsia="Arial" w:hAnsi="Arial"/>
                <w:sz w:val="12"/>
                <w:szCs w:val="12"/>
                <w:b w:val="1"/>
                <w:bCs w:val="1"/>
                <w:color w:val="auto"/>
              </w:rPr>
              <w:t>OF INDUSTRY</w:t>
            </w:r>
          </w:p>
        </w:tc>
        <w:tc>
          <w:tcPr>
            <w:tcW w:w="240" w:type="dxa"/>
            <w:vAlign w:val="bottom"/>
            <w:tcBorders>
              <w:right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ind w:left="180"/>
              <w:spacing w:after="0" w:line="125" w:lineRule="exact"/>
              <w:rPr>
                <w:sz w:val="20"/>
                <w:szCs w:val="20"/>
                <w:color w:val="auto"/>
              </w:rPr>
            </w:pPr>
            <w:r>
              <w:rPr>
                <w:rFonts w:ascii="Arial" w:cs="Arial" w:eastAsia="Arial" w:hAnsi="Arial"/>
                <w:sz w:val="12"/>
                <w:szCs w:val="12"/>
                <w:b w:val="1"/>
                <w:bCs w:val="1"/>
                <w:color w:val="auto"/>
              </w:rPr>
              <w:t>TO STANDARD</w:t>
            </w:r>
          </w:p>
        </w:tc>
        <w:tc>
          <w:tcPr>
            <w:tcW w:w="140" w:type="dxa"/>
            <w:vAlign w:val="bottom"/>
            <w:tcBorders>
              <w:right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540" w:type="dxa"/>
            <w:vAlign w:val="bottom"/>
            <w:tcBorders>
              <w:bottom w:val="single" w:sz="8" w:color="auto"/>
            </w:tcBorders>
            <w:vMerge w:val="continue"/>
          </w:tcPr>
          <w:p>
            <w:pPr>
              <w:spacing w:after="0"/>
              <w:rPr>
                <w:sz w:val="12"/>
                <w:szCs w:val="12"/>
                <w:color w:val="auto"/>
              </w:rPr>
            </w:pPr>
          </w:p>
        </w:tc>
        <w:tc>
          <w:tcPr>
            <w:tcW w:w="180" w:type="dxa"/>
            <w:vAlign w:val="bottom"/>
            <w:tcBorders>
              <w:right w:val="single" w:sz="8" w:color="auto"/>
            </w:tcBorders>
            <w:vMerge w:val="continue"/>
          </w:tcPr>
          <w:p>
            <w:pPr>
              <w:spacing w:after="0"/>
              <w:rPr>
                <w:sz w:val="12"/>
                <w:szCs w:val="12"/>
                <w:color w:val="auto"/>
              </w:rPr>
            </w:pPr>
          </w:p>
        </w:tc>
        <w:tc>
          <w:tcPr>
            <w:tcW w:w="1760" w:type="dxa"/>
            <w:vAlign w:val="bottom"/>
            <w:tcBorders>
              <w:bottom w:val="single" w:sz="8" w:color="auto"/>
            </w:tcBorders>
            <w:gridSpan w:val="2"/>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2"/>
                <w:szCs w:val="12"/>
                <w:b w:val="1"/>
                <w:bCs w:val="1"/>
                <w:color w:val="auto"/>
              </w:rPr>
              <w:t>AVERAGE MARGIN</w:t>
            </w:r>
          </w:p>
        </w:tc>
        <w:tc>
          <w:tcPr>
            <w:tcW w:w="240" w:type="dxa"/>
            <w:vAlign w:val="bottom"/>
            <w:tcBorders>
              <w:right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2"/>
                <w:szCs w:val="12"/>
                <w:b w:val="1"/>
                <w:bCs w:val="1"/>
                <w:color w:val="auto"/>
              </w:rPr>
              <w:t>VESTING SCHEDULE</w:t>
            </w:r>
          </w:p>
        </w:tc>
        <w:tc>
          <w:tcPr>
            <w:tcW w:w="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MONTH/YEAR</w:t>
            </w:r>
          </w:p>
        </w:tc>
        <w:tc>
          <w:tcPr>
            <w:tcW w:w="0" w:type="dxa"/>
            <w:vAlign w:val="bottom"/>
          </w:tcPr>
          <w:p>
            <w:pPr>
              <w:spacing w:after="0"/>
              <w:rPr>
                <w:sz w:val="1"/>
                <w:szCs w:val="1"/>
                <w:color w:val="auto"/>
              </w:rPr>
            </w:pPr>
          </w:p>
        </w:tc>
      </w:tr>
      <w:tr>
        <w:trPr>
          <w:trHeight w:val="167"/>
        </w:trPr>
        <w:tc>
          <w:tcPr>
            <w:tcW w:w="1540" w:type="dxa"/>
            <w:vAlign w:val="bottom"/>
            <w:tcBorders>
              <w:bottom w:val="single" w:sz="8" w:color="939598"/>
            </w:tcBorders>
          </w:tcPr>
          <w:p>
            <w:pPr>
              <w:ind w:left="60"/>
              <w:spacing w:after="0" w:line="168" w:lineRule="exact"/>
              <w:rPr>
                <w:sz w:val="20"/>
                <w:szCs w:val="20"/>
                <w:color w:val="auto"/>
              </w:rPr>
            </w:pPr>
            <w:r>
              <w:rPr>
                <w:rFonts w:ascii="Arial" w:cs="Arial" w:eastAsia="Arial" w:hAnsi="Arial"/>
                <w:sz w:val="15"/>
                <w:szCs w:val="15"/>
                <w:color w:val="auto"/>
              </w:rPr>
              <w:t>December 2023</w:t>
            </w:r>
          </w:p>
        </w:tc>
        <w:tc>
          <w:tcPr>
            <w:tcW w:w="180" w:type="dxa"/>
            <w:vAlign w:val="bottom"/>
          </w:tcPr>
          <w:p>
            <w:pPr>
              <w:spacing w:after="0"/>
              <w:rPr>
                <w:sz w:val="14"/>
                <w:szCs w:val="14"/>
                <w:color w:val="auto"/>
              </w:rPr>
            </w:pPr>
          </w:p>
        </w:tc>
        <w:tc>
          <w:tcPr>
            <w:tcW w:w="2900" w:type="dxa"/>
            <w:vAlign w:val="bottom"/>
            <w:tcBorders>
              <w:bottom w:val="single" w:sz="8" w:color="939598"/>
            </w:tcBorders>
            <w:gridSpan w:val="6"/>
          </w:tcPr>
          <w:p>
            <w:pPr>
              <w:ind w:left="20"/>
              <w:spacing w:after="0" w:line="168" w:lineRule="exact"/>
              <w:rPr>
                <w:sz w:val="20"/>
                <w:szCs w:val="20"/>
                <w:color w:val="auto"/>
              </w:rPr>
            </w:pPr>
            <w:r>
              <w:rPr>
                <w:rFonts w:ascii="Arial" w:cs="Arial" w:eastAsia="Arial" w:hAnsi="Arial"/>
                <w:sz w:val="15"/>
                <w:szCs w:val="15"/>
                <w:color w:val="auto"/>
              </w:rPr>
              <w:t>January 1, 2024 to December 31, 2026</w:t>
            </w:r>
          </w:p>
        </w:tc>
        <w:tc>
          <w:tcPr>
            <w:tcW w:w="300" w:type="dxa"/>
            <w:vAlign w:val="bottom"/>
            <w:tcBorders>
              <w:bottom w:val="single" w:sz="8" w:color="939598"/>
            </w:tcBorders>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Borders>
              <w:bottom w:val="single" w:sz="8" w:color="939598"/>
            </w:tcBorders>
          </w:tcPr>
          <w:p>
            <w:pPr>
              <w:spacing w:after="0"/>
              <w:rPr>
                <w:sz w:val="14"/>
                <w:szCs w:val="14"/>
                <w:color w:val="auto"/>
              </w:rPr>
            </w:pPr>
          </w:p>
        </w:tc>
        <w:tc>
          <w:tcPr>
            <w:tcW w:w="120" w:type="dxa"/>
            <w:vAlign w:val="bottom"/>
            <w:tcBorders>
              <w:bottom w:val="single" w:sz="8" w:color="939598"/>
            </w:tcBorders>
          </w:tcPr>
          <w:p>
            <w:pPr>
              <w:spacing w:after="0"/>
              <w:rPr>
                <w:sz w:val="14"/>
                <w:szCs w:val="14"/>
                <w:color w:val="auto"/>
              </w:rPr>
            </w:pPr>
          </w:p>
        </w:tc>
        <w:tc>
          <w:tcPr>
            <w:tcW w:w="1460" w:type="dxa"/>
            <w:vAlign w:val="bottom"/>
            <w:tcBorders>
              <w:bottom w:val="single" w:sz="8" w:color="939598"/>
            </w:tcBorders>
            <w:gridSpan w:val="4"/>
          </w:tcPr>
          <w:p>
            <w:pPr>
              <w:ind w:left="380"/>
              <w:spacing w:after="0" w:line="168" w:lineRule="exact"/>
              <w:rPr>
                <w:sz w:val="20"/>
                <w:szCs w:val="20"/>
                <w:color w:val="auto"/>
              </w:rPr>
            </w:pPr>
            <w:r>
              <w:rPr>
                <w:rFonts w:ascii="Arial" w:cs="Arial" w:eastAsia="Arial" w:hAnsi="Arial"/>
                <w:sz w:val="15"/>
                <w:szCs w:val="15"/>
                <w:color w:val="auto"/>
                <w:w w:val="91"/>
              </w:rPr>
              <w:t>Not determinable</w:t>
            </w:r>
          </w:p>
        </w:tc>
        <w:tc>
          <w:tcPr>
            <w:tcW w:w="1880" w:type="dxa"/>
            <w:vAlign w:val="bottom"/>
            <w:tcBorders>
              <w:bottom w:val="single" w:sz="8" w:color="939598"/>
            </w:tcBorders>
            <w:gridSpan w:val="5"/>
          </w:tcPr>
          <w:p>
            <w:pPr>
              <w:jc w:val="right"/>
              <w:ind w:right="1060"/>
              <w:spacing w:after="0" w:line="168" w:lineRule="exact"/>
              <w:rPr>
                <w:sz w:val="20"/>
                <w:szCs w:val="20"/>
                <w:color w:val="auto"/>
              </w:rPr>
            </w:pPr>
            <w:r>
              <w:rPr>
                <w:rFonts w:ascii="Arial" w:cs="Arial" w:eastAsia="Arial" w:hAnsi="Arial"/>
                <w:sz w:val="15"/>
                <w:szCs w:val="15"/>
                <w:color w:val="auto"/>
              </w:rPr>
              <w:t>at this time</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Borders>
              <w:bottom w:val="single" w:sz="8" w:color="939598"/>
            </w:tcBorders>
          </w:tcPr>
          <w:p>
            <w:pPr>
              <w:spacing w:after="0"/>
              <w:rPr>
                <w:sz w:val="14"/>
                <w:szCs w:val="14"/>
                <w:color w:val="auto"/>
              </w:rPr>
            </w:pPr>
          </w:p>
        </w:tc>
        <w:tc>
          <w:tcPr>
            <w:tcW w:w="1120" w:type="dxa"/>
            <w:vAlign w:val="bottom"/>
            <w:tcBorders>
              <w:bottom w:val="single" w:sz="8" w:color="939598"/>
            </w:tcBorders>
            <w:gridSpan w:val="2"/>
          </w:tcPr>
          <w:p>
            <w:pPr>
              <w:jc w:val="right"/>
              <w:spacing w:after="0" w:line="168" w:lineRule="exact"/>
              <w:rPr>
                <w:sz w:val="20"/>
                <w:szCs w:val="20"/>
                <w:color w:val="auto"/>
              </w:rPr>
            </w:pPr>
            <w:r>
              <w:rPr>
                <w:rFonts w:ascii="Arial" w:cs="Arial" w:eastAsia="Arial" w:hAnsi="Arial"/>
                <w:sz w:val="15"/>
                <w:szCs w:val="15"/>
                <w:color w:val="auto"/>
                <w:w w:val="99"/>
              </w:rPr>
              <w:t>December 2027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2142490</wp:posOffset>
            </wp:positionH>
            <wp:positionV relativeFrom="paragraph">
              <wp:posOffset>-737235</wp:posOffset>
            </wp:positionV>
            <wp:extent cx="71120" cy="1187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120" cy="118745"/>
                    </a:xfrm>
                    <a:prstGeom prst="rect">
                      <a:avLst/>
                    </a:prstGeom>
                    <a:noFill/>
                  </pic:spPr>
                </pic:pic>
              </a:graphicData>
            </a:graphic>
          </wp:anchor>
        </w:drawing>
        <w:drawing>
          <wp:anchor simplePos="0" relativeHeight="251657728" behindDoc="1" locked="0" layoutInCell="0" allowOverlap="1">
            <wp:simplePos x="0" y="0"/>
            <wp:positionH relativeFrom="column">
              <wp:posOffset>2856865</wp:posOffset>
            </wp:positionH>
            <wp:positionV relativeFrom="paragraph">
              <wp:posOffset>-737235</wp:posOffset>
            </wp:positionV>
            <wp:extent cx="71120" cy="1187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120" cy="11874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-737235</wp:posOffset>
            </wp:positionV>
            <wp:extent cx="71120" cy="1187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120" cy="118745"/>
                    </a:xfrm>
                    <a:prstGeom prst="rect">
                      <a:avLst/>
                    </a:prstGeom>
                    <a:noFill/>
                  </pic:spPr>
                </pic:pic>
              </a:graphicData>
            </a:graphic>
          </wp:anchor>
        </w:drawing>
        <w:drawing>
          <wp:anchor simplePos="0" relativeHeight="251657728" behindDoc="1" locked="0" layoutInCell="0" allowOverlap="1">
            <wp:simplePos x="0" y="0"/>
            <wp:positionH relativeFrom="column">
              <wp:posOffset>4285615</wp:posOffset>
            </wp:positionH>
            <wp:positionV relativeFrom="paragraph">
              <wp:posOffset>-737235</wp:posOffset>
            </wp:positionV>
            <wp:extent cx="71120" cy="1187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120" cy="118745"/>
                    </a:xfrm>
                    <a:prstGeom prst="rect">
                      <a:avLst/>
                    </a:prstGeom>
                    <a:noFill/>
                  </pic:spPr>
                </pic:pic>
              </a:graphicData>
            </a:graphic>
          </wp:anchor>
        </w:drawing>
        <w:drawing>
          <wp:anchor simplePos="0" relativeHeight="251657728" behindDoc="1" locked="0" layoutInCell="0" allowOverlap="1">
            <wp:simplePos x="0" y="0"/>
            <wp:positionH relativeFrom="column">
              <wp:posOffset>4999990</wp:posOffset>
            </wp:positionH>
            <wp:positionV relativeFrom="paragraph">
              <wp:posOffset>-737235</wp:posOffset>
            </wp:positionV>
            <wp:extent cx="71120" cy="1187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120" cy="118745"/>
                    </a:xfrm>
                    <a:prstGeom prst="rect">
                      <a:avLst/>
                    </a:prstGeom>
                    <a:noFill/>
                  </pic:spPr>
                </pic:pic>
              </a:graphicData>
            </a:graphic>
          </wp:anchor>
        </w:drawing>
        <w:drawing>
          <wp:anchor simplePos="0" relativeHeight="251657728" behindDoc="1" locked="0" layoutInCell="0" allowOverlap="1">
            <wp:simplePos x="0" y="0"/>
            <wp:positionH relativeFrom="column">
              <wp:posOffset>5713730</wp:posOffset>
            </wp:positionH>
            <wp:positionV relativeFrom="paragraph">
              <wp:posOffset>-737235</wp:posOffset>
            </wp:positionV>
            <wp:extent cx="71120" cy="1187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120" cy="118745"/>
                    </a:xfrm>
                    <a:prstGeom prst="rect">
                      <a:avLst/>
                    </a:prstGeom>
                    <a:noFill/>
                  </pic:spPr>
                </pic:pic>
              </a:graphicData>
            </a:graphic>
          </wp:anchor>
        </w:drawing>
        <w:drawing>
          <wp:anchor simplePos="0" relativeHeight="251657728" behindDoc="1" locked="0" layoutInCell="0" allowOverlap="1">
            <wp:simplePos x="0" y="0"/>
            <wp:positionH relativeFrom="column">
              <wp:posOffset>6428105</wp:posOffset>
            </wp:positionH>
            <wp:positionV relativeFrom="paragraph">
              <wp:posOffset>-737235</wp:posOffset>
            </wp:positionV>
            <wp:extent cx="71120" cy="1187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120" cy="118745"/>
                    </a:xfrm>
                    <a:prstGeom prst="rect">
                      <a:avLst/>
                    </a:prstGeom>
                    <a:noFill/>
                  </pic:spPr>
                </pic:pic>
              </a:graphicData>
            </a:graphic>
          </wp:anchor>
        </w:drawing>
      </w:r>
    </w:p>
    <w:p>
      <w:pPr>
        <w:spacing w:after="0" w:line="168" w:lineRule="exact"/>
        <w:rPr>
          <w:sz w:val="20"/>
          <w:szCs w:val="20"/>
          <w:color w:val="auto"/>
        </w:rPr>
      </w:pPr>
    </w:p>
    <w:p>
      <w:pPr>
        <w:ind w:right="180"/>
        <w:spacing w:after="0" w:line="278" w:lineRule="auto"/>
        <w:rPr>
          <w:sz w:val="20"/>
          <w:szCs w:val="20"/>
          <w:color w:val="auto"/>
        </w:rPr>
      </w:pPr>
      <w:r>
        <w:rPr>
          <w:rFonts w:ascii="Arial" w:cs="Arial" w:eastAsia="Arial" w:hAnsi="Arial"/>
          <w:sz w:val="15"/>
          <w:szCs w:val="15"/>
          <w:color w:val="auto"/>
        </w:rPr>
        <w:t>Performance-based RSUs earned by each NEO following the completion of the relevant performance period vest at a rate of 50% per year, beginning in the month and year in the chart above, once the Compensation Committee certifies the number of RSUs earned.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Payout of Performance-Based RSUs Granted in 2020</w:t>
      </w:r>
    </w:p>
    <w:p>
      <w:pPr>
        <w:spacing w:after="0" w:line="75" w:lineRule="exact"/>
        <w:rPr>
          <w:sz w:val="20"/>
          <w:szCs w:val="20"/>
          <w:color w:val="auto"/>
        </w:rPr>
      </w:pPr>
    </w:p>
    <w:p>
      <w:pPr>
        <w:ind w:right="60"/>
        <w:spacing w:after="0" w:line="252" w:lineRule="auto"/>
        <w:rPr>
          <w:sz w:val="20"/>
          <w:szCs w:val="20"/>
          <w:color w:val="auto"/>
        </w:rPr>
      </w:pPr>
      <w:r>
        <w:rPr>
          <w:rFonts w:ascii="Arial" w:cs="Arial" w:eastAsia="Arial" w:hAnsi="Arial"/>
          <w:sz w:val="15"/>
          <w:szCs w:val="15"/>
          <w:color w:val="auto"/>
        </w:rPr>
        <w:t>While the Compensation Committee does not consider these amounts to be compensation for fiscal year 2023, in February 2024 the Compensation Committee certified performance for performance-based RSUs granted in 2020 to Messrs. Sharps and Veiel. The number of RSU's earned was based on the 2021-2023 performance period and upon the achievement of operating margin for the three-year performance period compared with the average operating margin of a designated group of public company peers. The Company achieved 100% of the performance goal for that award, and Messrs. Sharps and Veiel will have 18,118 and 11,426 shares, respectively, vest in equal installments in December 2024 and December 2025.</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Mutual Fund Unit Plan</w:t>
      </w:r>
    </w:p>
    <w:p>
      <w:pPr>
        <w:spacing w:after="0" w:line="75" w:lineRule="exact"/>
        <w:rPr>
          <w:sz w:val="20"/>
          <w:szCs w:val="20"/>
          <w:color w:val="auto"/>
        </w:rPr>
      </w:pPr>
    </w:p>
    <w:p>
      <w:pPr>
        <w:ind w:right="260"/>
        <w:spacing w:after="0" w:line="278" w:lineRule="auto"/>
        <w:rPr>
          <w:sz w:val="20"/>
          <w:szCs w:val="20"/>
          <w:color w:val="auto"/>
        </w:rPr>
      </w:pPr>
      <w:r>
        <w:rPr>
          <w:rFonts w:ascii="Arial" w:cs="Arial" w:eastAsia="Arial" w:hAnsi="Arial"/>
          <w:sz w:val="15"/>
          <w:szCs w:val="15"/>
          <w:color w:val="auto"/>
        </w:rPr>
        <w:t>As a component of Mr. Thomson's compensation, the Compensation Committee awarded 50% of his long-term variable incentive compensation, or $1.6 million, in the form of MFUs, which will vest ratably over a three-year period and will be settled in cash. The MFUs total value (in millions) in 2023 is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0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b w:val="1"/>
                <w:bCs w:val="1"/>
                <w:color w:val="auto"/>
              </w:rPr>
              <w:t>2023</w:t>
            </w:r>
          </w:p>
        </w:tc>
        <w:tc>
          <w:tcPr>
            <w:tcW w:w="0" w:type="dxa"/>
            <w:vAlign w:val="bottom"/>
          </w:tcPr>
          <w:p>
            <w:pPr>
              <w:spacing w:after="0"/>
              <w:rPr>
                <w:sz w:val="1"/>
                <w:szCs w:val="1"/>
                <w:color w:val="auto"/>
              </w:rPr>
            </w:pPr>
          </w:p>
        </w:tc>
      </w:tr>
      <w:tr>
        <w:trPr>
          <w:trHeight w:val="125"/>
        </w:trPr>
        <w:tc>
          <w:tcPr>
            <w:tcW w:w="100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10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MUTUAL</w:t>
            </w:r>
          </w:p>
        </w:tc>
        <w:tc>
          <w:tcPr>
            <w:tcW w:w="0" w:type="dxa"/>
            <w:vAlign w:val="bottom"/>
          </w:tcPr>
          <w:p>
            <w:pPr>
              <w:spacing w:after="0"/>
              <w:rPr>
                <w:sz w:val="1"/>
                <w:szCs w:val="1"/>
                <w:color w:val="auto"/>
              </w:rPr>
            </w:pPr>
          </w:p>
        </w:tc>
      </w:tr>
      <w:tr>
        <w:trPr>
          <w:trHeight w:val="125"/>
        </w:trPr>
        <w:tc>
          <w:tcPr>
            <w:tcW w:w="101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2"/>
                <w:szCs w:val="12"/>
                <w:b w:val="1"/>
                <w:bCs w:val="1"/>
                <w:color w:val="auto"/>
              </w:rPr>
              <w:t>NAME</w:t>
            </w:r>
          </w:p>
        </w:tc>
        <w:tc>
          <w:tcPr>
            <w:tcW w:w="110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FUND UNITS</w:t>
            </w:r>
          </w:p>
        </w:tc>
        <w:tc>
          <w:tcPr>
            <w:tcW w:w="0" w:type="dxa"/>
            <w:vAlign w:val="bottom"/>
          </w:tcPr>
          <w:p>
            <w:pPr>
              <w:spacing w:after="0"/>
              <w:rPr>
                <w:sz w:val="1"/>
                <w:szCs w:val="1"/>
                <w:color w:val="auto"/>
              </w:rPr>
            </w:pPr>
          </w:p>
        </w:tc>
      </w:tr>
      <w:tr>
        <w:trPr>
          <w:trHeight w:val="155"/>
        </w:trPr>
        <w:tc>
          <w:tcPr>
            <w:tcW w:w="10140" w:type="dxa"/>
            <w:vAlign w:val="bottom"/>
            <w:tcBorders>
              <w:right w:val="single" w:sz="8" w:color="auto"/>
            </w:tcBorders>
            <w:gridSpan w:val="2"/>
            <w:vMerge w:val="continue"/>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b w:val="1"/>
                <w:bCs w:val="1"/>
                <w:color w:val="auto"/>
              </w:rPr>
              <w:t>VALUE</w:t>
            </w:r>
          </w:p>
        </w:tc>
        <w:tc>
          <w:tcPr>
            <w:tcW w:w="0" w:type="dxa"/>
            <w:vAlign w:val="bottom"/>
          </w:tcPr>
          <w:p>
            <w:pPr>
              <w:spacing w:after="0"/>
              <w:rPr>
                <w:sz w:val="1"/>
                <w:szCs w:val="1"/>
                <w:color w:val="auto"/>
              </w:rPr>
            </w:pPr>
          </w:p>
        </w:tc>
      </w:tr>
      <w:tr>
        <w:trPr>
          <w:trHeight w:val="167"/>
        </w:trPr>
        <w:tc>
          <w:tcPr>
            <w:tcW w:w="10000" w:type="dxa"/>
            <w:vAlign w:val="bottom"/>
            <w:tcBorders>
              <w:top w:val="single" w:sz="8" w:color="auto"/>
              <w:bottom w:val="single" w:sz="8" w:color="808080"/>
            </w:tcBorders>
          </w:tcPr>
          <w:p>
            <w:pPr>
              <w:ind w:left="60"/>
              <w:spacing w:after="0" w:line="168" w:lineRule="exact"/>
              <w:rPr>
                <w:sz w:val="20"/>
                <w:szCs w:val="20"/>
                <w:color w:val="auto"/>
              </w:rPr>
            </w:pPr>
            <w:r>
              <w:rPr>
                <w:rFonts w:ascii="Arial" w:cs="Arial" w:eastAsia="Arial" w:hAnsi="Arial"/>
                <w:sz w:val="15"/>
                <w:szCs w:val="15"/>
                <w:b w:val="1"/>
                <w:bCs w:val="1"/>
                <w:color w:val="00254F"/>
              </w:rPr>
              <w:t>Justin Thomson</w:t>
            </w:r>
          </w:p>
        </w:tc>
        <w:tc>
          <w:tcPr>
            <w:tcW w:w="140" w:type="dxa"/>
            <w:vAlign w:val="bottom"/>
          </w:tcPr>
          <w:p>
            <w:pPr>
              <w:spacing w:after="0"/>
              <w:rPr>
                <w:sz w:val="14"/>
                <w:szCs w:val="14"/>
                <w:color w:val="auto"/>
              </w:rPr>
            </w:pPr>
          </w:p>
        </w:tc>
        <w:tc>
          <w:tcPr>
            <w:tcW w:w="1100" w:type="dxa"/>
            <w:vAlign w:val="bottom"/>
            <w:tcBorders>
              <w:top w:val="single" w:sz="8" w:color="auto"/>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Carried Interest</w:t>
      </w:r>
    </w:p>
    <w:p>
      <w:pPr>
        <w:spacing w:after="0" w:line="75" w:lineRule="exact"/>
        <w:rPr>
          <w:sz w:val="20"/>
          <w:szCs w:val="20"/>
          <w:color w:val="auto"/>
        </w:rPr>
      </w:pPr>
    </w:p>
    <w:p>
      <w:pPr>
        <w:jc w:val="both"/>
        <w:ind w:right="20"/>
        <w:spacing w:after="0" w:line="278" w:lineRule="auto"/>
        <w:rPr>
          <w:sz w:val="20"/>
          <w:szCs w:val="20"/>
          <w:color w:val="auto"/>
        </w:rPr>
      </w:pPr>
      <w:r>
        <w:rPr>
          <w:rFonts w:ascii="Arial" w:cs="Arial" w:eastAsia="Arial" w:hAnsi="Arial"/>
          <w:sz w:val="15"/>
          <w:szCs w:val="15"/>
          <w:color w:val="auto"/>
        </w:rPr>
        <w:t>During 2023, Mr. August received or was allocated distributions of realized carried interest as a result of his interest in the general partner of certain OHA funds. The table below reflects the carried interest allocated in 2023 (in millions).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0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b w:val="1"/>
                <w:bCs w:val="1"/>
                <w:color w:val="auto"/>
              </w:rPr>
              <w:t>2023</w:t>
            </w:r>
          </w:p>
        </w:tc>
        <w:tc>
          <w:tcPr>
            <w:tcW w:w="0" w:type="dxa"/>
            <w:vAlign w:val="bottom"/>
          </w:tcPr>
          <w:p>
            <w:pPr>
              <w:spacing w:after="0"/>
              <w:rPr>
                <w:sz w:val="1"/>
                <w:szCs w:val="1"/>
                <w:color w:val="auto"/>
              </w:rPr>
            </w:pPr>
          </w:p>
        </w:tc>
      </w:tr>
      <w:tr>
        <w:trPr>
          <w:trHeight w:val="125"/>
        </w:trPr>
        <w:tc>
          <w:tcPr>
            <w:tcW w:w="100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10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CARRIED</w:t>
            </w:r>
          </w:p>
        </w:tc>
        <w:tc>
          <w:tcPr>
            <w:tcW w:w="0" w:type="dxa"/>
            <w:vAlign w:val="bottom"/>
          </w:tcPr>
          <w:p>
            <w:pPr>
              <w:spacing w:after="0"/>
              <w:rPr>
                <w:sz w:val="1"/>
                <w:szCs w:val="1"/>
                <w:color w:val="auto"/>
              </w:rPr>
            </w:pPr>
          </w:p>
        </w:tc>
      </w:tr>
      <w:tr>
        <w:trPr>
          <w:trHeight w:val="125"/>
        </w:trPr>
        <w:tc>
          <w:tcPr>
            <w:tcW w:w="101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2"/>
                <w:szCs w:val="12"/>
                <w:b w:val="1"/>
                <w:bCs w:val="1"/>
                <w:color w:val="auto"/>
              </w:rPr>
              <w:t>NAME</w:t>
            </w:r>
          </w:p>
        </w:tc>
        <w:tc>
          <w:tcPr>
            <w:tcW w:w="110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INTEREST</w:t>
            </w:r>
          </w:p>
        </w:tc>
        <w:tc>
          <w:tcPr>
            <w:tcW w:w="0" w:type="dxa"/>
            <w:vAlign w:val="bottom"/>
          </w:tcPr>
          <w:p>
            <w:pPr>
              <w:spacing w:after="0"/>
              <w:rPr>
                <w:sz w:val="1"/>
                <w:szCs w:val="1"/>
                <w:color w:val="auto"/>
              </w:rPr>
            </w:pPr>
          </w:p>
        </w:tc>
      </w:tr>
      <w:tr>
        <w:trPr>
          <w:trHeight w:val="155"/>
        </w:trPr>
        <w:tc>
          <w:tcPr>
            <w:tcW w:w="10140" w:type="dxa"/>
            <w:vAlign w:val="bottom"/>
            <w:tcBorders>
              <w:right w:val="single" w:sz="8" w:color="auto"/>
            </w:tcBorders>
            <w:gridSpan w:val="2"/>
            <w:vMerge w:val="continue"/>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b w:val="1"/>
                <w:bCs w:val="1"/>
                <w:color w:val="auto"/>
              </w:rPr>
              <w:t>VALUE</w:t>
            </w:r>
          </w:p>
        </w:tc>
        <w:tc>
          <w:tcPr>
            <w:tcW w:w="0" w:type="dxa"/>
            <w:vAlign w:val="bottom"/>
          </w:tcPr>
          <w:p>
            <w:pPr>
              <w:spacing w:after="0"/>
              <w:rPr>
                <w:sz w:val="1"/>
                <w:szCs w:val="1"/>
                <w:color w:val="auto"/>
              </w:rPr>
            </w:pPr>
          </w:p>
        </w:tc>
      </w:tr>
      <w:tr>
        <w:trPr>
          <w:trHeight w:val="167"/>
        </w:trPr>
        <w:tc>
          <w:tcPr>
            <w:tcW w:w="10000" w:type="dxa"/>
            <w:vAlign w:val="bottom"/>
            <w:tcBorders>
              <w:top w:val="single" w:sz="8" w:color="auto"/>
              <w:bottom w:val="single" w:sz="8" w:color="808080"/>
            </w:tcBorders>
          </w:tcPr>
          <w:p>
            <w:pPr>
              <w:ind w:left="60"/>
              <w:spacing w:after="0" w:line="168" w:lineRule="exact"/>
              <w:rPr>
                <w:sz w:val="20"/>
                <w:szCs w:val="20"/>
                <w:color w:val="auto"/>
              </w:rPr>
            </w:pPr>
            <w:r>
              <w:rPr>
                <w:rFonts w:ascii="Arial" w:cs="Arial" w:eastAsia="Arial" w:hAnsi="Arial"/>
                <w:sz w:val="15"/>
                <w:szCs w:val="15"/>
                <w:b w:val="1"/>
                <w:bCs w:val="1"/>
                <w:color w:val="00254F"/>
              </w:rPr>
              <w:t>Glenn R. August</w:t>
            </w:r>
          </w:p>
        </w:tc>
        <w:tc>
          <w:tcPr>
            <w:tcW w:w="140" w:type="dxa"/>
            <w:vAlign w:val="bottom"/>
          </w:tcPr>
          <w:p>
            <w:pPr>
              <w:spacing w:after="0"/>
              <w:rPr>
                <w:sz w:val="14"/>
                <w:szCs w:val="14"/>
                <w:color w:val="auto"/>
              </w:rPr>
            </w:pPr>
          </w:p>
        </w:tc>
        <w:tc>
          <w:tcPr>
            <w:tcW w:w="1100" w:type="dxa"/>
            <w:vAlign w:val="bottom"/>
            <w:tcBorders>
              <w:top w:val="single" w:sz="8" w:color="auto"/>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$12.0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Process for Determining Executive Compensation</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The Compensation Committee has established a comprehensive process for:</w:t>
      </w:r>
    </w:p>
    <w:p>
      <w:pPr>
        <w:spacing w:after="0" w:line="198" w:lineRule="exact"/>
        <w:rPr>
          <w:sz w:val="20"/>
          <w:szCs w:val="20"/>
          <w:color w:val="auto"/>
        </w:rPr>
      </w:pPr>
    </w:p>
    <w:p>
      <w:pPr>
        <w:ind w:left="180" w:hanging="168"/>
        <w:spacing w:after="0"/>
        <w:tabs>
          <w:tab w:leader="none" w:pos="180" w:val="left"/>
        </w:tabs>
        <w:numPr>
          <w:ilvl w:val="0"/>
          <w:numId w:val="85"/>
        </w:numPr>
        <w:rPr>
          <w:rFonts w:ascii="Arial" w:cs="Arial" w:eastAsia="Arial" w:hAnsi="Arial"/>
          <w:sz w:val="15"/>
          <w:szCs w:val="15"/>
          <w:color w:val="52BBC1"/>
        </w:rPr>
      </w:pPr>
      <w:r>
        <w:rPr>
          <w:rFonts w:ascii="Arial" w:cs="Arial" w:eastAsia="Arial" w:hAnsi="Arial"/>
          <w:sz w:val="17"/>
          <w:szCs w:val="17"/>
          <w:color w:val="auto"/>
        </w:rPr>
        <w:t>reviewing our executive compensation program designs to ensure that they are aligned to our philosophy and objectives,</w:t>
      </w:r>
    </w:p>
    <w:p>
      <w:pPr>
        <w:spacing w:after="0" w:line="191" w:lineRule="exact"/>
        <w:rPr>
          <w:rFonts w:ascii="Arial" w:cs="Arial" w:eastAsia="Arial" w:hAnsi="Arial"/>
          <w:sz w:val="15"/>
          <w:szCs w:val="15"/>
          <w:color w:val="52BBC1"/>
        </w:rPr>
      </w:pPr>
    </w:p>
    <w:p>
      <w:pPr>
        <w:ind w:left="180" w:hanging="168"/>
        <w:spacing w:after="0"/>
        <w:tabs>
          <w:tab w:leader="none" w:pos="180" w:val="left"/>
        </w:tabs>
        <w:numPr>
          <w:ilvl w:val="0"/>
          <w:numId w:val="85"/>
        </w:numPr>
        <w:rPr>
          <w:rFonts w:ascii="Arial" w:cs="Arial" w:eastAsia="Arial" w:hAnsi="Arial"/>
          <w:sz w:val="15"/>
          <w:szCs w:val="15"/>
          <w:color w:val="52BBC1"/>
        </w:rPr>
      </w:pPr>
      <w:r>
        <w:rPr>
          <w:rFonts w:ascii="Arial" w:cs="Arial" w:eastAsia="Arial" w:hAnsi="Arial"/>
          <w:sz w:val="17"/>
          <w:szCs w:val="17"/>
          <w:color w:val="auto"/>
        </w:rPr>
        <w:t>evaluating performance by our NEOs against goals and objectives established or reviewed by the Compensation Committee, and</w:t>
      </w:r>
    </w:p>
    <w:p>
      <w:pPr>
        <w:spacing w:after="0" w:line="191" w:lineRule="exact"/>
        <w:rPr>
          <w:rFonts w:ascii="Arial" w:cs="Arial" w:eastAsia="Arial" w:hAnsi="Arial"/>
          <w:sz w:val="15"/>
          <w:szCs w:val="15"/>
          <w:color w:val="52BBC1"/>
        </w:rPr>
      </w:pPr>
    </w:p>
    <w:p>
      <w:pPr>
        <w:ind w:left="180" w:hanging="168"/>
        <w:spacing w:after="0"/>
        <w:tabs>
          <w:tab w:leader="none" w:pos="180" w:val="left"/>
        </w:tabs>
        <w:numPr>
          <w:ilvl w:val="0"/>
          <w:numId w:val="85"/>
        </w:numPr>
        <w:rPr>
          <w:rFonts w:ascii="Arial" w:cs="Arial" w:eastAsia="Arial" w:hAnsi="Arial"/>
          <w:sz w:val="15"/>
          <w:szCs w:val="15"/>
          <w:color w:val="52BBC1"/>
        </w:rPr>
      </w:pPr>
      <w:r>
        <w:rPr>
          <w:rFonts w:ascii="Arial" w:cs="Arial" w:eastAsia="Arial" w:hAnsi="Arial"/>
          <w:sz w:val="17"/>
          <w:szCs w:val="17"/>
          <w:color w:val="auto"/>
        </w:rPr>
        <w:t>setting compensation for the NEOs and other senior executives.</w:t>
      </w:r>
    </w:p>
    <w:p>
      <w:pPr>
        <w:spacing w:after="0" w:line="187" w:lineRule="exact"/>
        <w:rPr>
          <w:sz w:val="20"/>
          <w:szCs w:val="20"/>
          <w:color w:val="auto"/>
        </w:rPr>
      </w:pPr>
    </w:p>
    <w:p>
      <w:pPr>
        <w:spacing w:after="0"/>
        <w:tabs>
          <w:tab w:leader="none" w:pos="540" w:val="left"/>
          <w:tab w:leader="none" w:pos="9480" w:val="left"/>
          <w:tab w:leader="none" w:pos="11100" w:val="left"/>
        </w:tabs>
        <w:rPr>
          <w:sz w:val="20"/>
          <w:szCs w:val="20"/>
          <w:color w:val="auto"/>
        </w:rPr>
      </w:pPr>
      <w:r>
        <w:rPr>
          <w:rFonts w:ascii="Times New Roman" w:cs="Times New Roman" w:eastAsia="Times New Roman" w:hAnsi="Times New Roman"/>
          <w:sz w:val="13"/>
          <w:szCs w:val="13"/>
          <w:b w:val="1"/>
          <w:bCs w:val="1"/>
          <w:color w:val="00254F"/>
        </w:rPr>
        <w:t> </w:t>
      </w:r>
      <w:r>
        <w:rPr>
          <w:sz w:val="20"/>
          <w:szCs w:val="20"/>
          <w:color w:val="auto"/>
        </w:rPr>
        <w:tab/>
      </w:r>
      <w:r>
        <w:rPr>
          <w:rFonts w:ascii="Times New Roman" w:cs="Times New Roman" w:eastAsia="Times New Roman" w:hAnsi="Times New Roman"/>
          <w:sz w:val="13"/>
          <w:szCs w:val="13"/>
          <w:b w:val="1"/>
          <w:bCs w:val="1"/>
          <w:color w:val="00254F"/>
        </w:rPr>
        <w:t> </w:t>
      </w:r>
      <w:r>
        <w:rPr>
          <w:sz w:val="20"/>
          <w:szCs w:val="20"/>
          <w:color w:val="auto"/>
        </w:rPr>
        <w:tab/>
      </w:r>
      <w:r>
        <w:rPr>
          <w:rFonts w:ascii="Times New Roman" w:cs="Times New Roman" w:eastAsia="Times New Roman" w:hAnsi="Times New Roman"/>
          <w:sz w:val="13"/>
          <w:szCs w:val="13"/>
          <w:b w:val="1"/>
          <w:bCs w:val="1"/>
          <w:color w:val="00254F"/>
        </w:rPr>
        <w:t xml:space="preserve">2024 </w:t>
      </w:r>
      <w:r>
        <w:rPr>
          <w:rFonts w:ascii="Times New Roman" w:cs="Times New Roman" w:eastAsia="Times New Roman" w:hAnsi="Times New Roman"/>
          <w:sz w:val="13"/>
          <w:szCs w:val="13"/>
          <w:color w:val="00254F"/>
        </w:rPr>
        <w:t>Proxy Statement</w:t>
      </w:r>
      <w:r>
        <w:rPr>
          <w:sz w:val="20"/>
          <w:szCs w:val="20"/>
          <w:color w:val="auto"/>
        </w:rPr>
        <w:tab/>
      </w:r>
      <w:r>
        <w:rPr>
          <w:rFonts w:ascii="Times New Roman" w:cs="Times New Roman" w:eastAsia="Times New Roman" w:hAnsi="Times New Roman"/>
          <w:sz w:val="12"/>
          <w:szCs w:val="12"/>
          <w:b w:val="1"/>
          <w:bCs w:val="1"/>
          <w:color w:val="00244F"/>
        </w:rPr>
        <w:t>59</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64" w:name="page65"/>
    <w:bookmarkEnd w:id="64"/>
    <w:p>
      <w:pPr>
        <w:spacing w:after="0"/>
        <w:rPr>
          <w:sz w:val="20"/>
          <w:szCs w:val="20"/>
          <w:color w:val="auto"/>
        </w:rPr>
      </w:pPr>
      <w:r>
        <w:rPr>
          <w:rFonts w:ascii="Arial" w:cs="Arial" w:eastAsia="Arial" w:hAnsi="Arial"/>
          <w:sz w:val="17"/>
          <w:szCs w:val="17"/>
          <w:u w:val="single" w:color="auto"/>
          <w:color w:val="0000EE"/>
        </w:rPr>
        <w:t>Table of Contents</w:t>
      </w:r>
    </w:p>
    <w:p>
      <w:pPr>
        <w:spacing w:after="0" w:line="396" w:lineRule="exact"/>
        <w:rPr>
          <w:sz w:val="20"/>
          <w:szCs w:val="20"/>
          <w:color w:val="auto"/>
        </w:rPr>
      </w:pPr>
    </w:p>
    <w:p>
      <w:pPr>
        <w:spacing w:after="0"/>
        <w:rPr>
          <w:sz w:val="20"/>
          <w:szCs w:val="20"/>
          <w:color w:val="auto"/>
        </w:rPr>
      </w:pPr>
      <w:r>
        <w:rPr>
          <w:rFonts w:ascii="Arial" w:cs="Arial" w:eastAsia="Arial" w:hAnsi="Arial"/>
          <w:sz w:val="15"/>
          <w:szCs w:val="15"/>
          <w:color w:val="auto"/>
        </w:rPr>
        <w:t>The table below summarizes the actions taken by the Compensation Committee throughout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136525</wp:posOffset>
            </wp:positionV>
            <wp:extent cx="6745605" cy="625348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745605" cy="625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44F"/>
        </w:rPr>
        <w:t>Changes to Compensation Program in 2024</w:t>
      </w:r>
    </w:p>
    <w:p>
      <w:pPr>
        <w:spacing w:after="0" w:line="212" w:lineRule="exact"/>
        <w:rPr>
          <w:sz w:val="20"/>
          <w:szCs w:val="20"/>
          <w:color w:val="auto"/>
        </w:rPr>
      </w:pPr>
    </w:p>
    <w:p>
      <w:pPr>
        <w:spacing w:after="0" w:line="249" w:lineRule="auto"/>
        <w:rPr>
          <w:sz w:val="20"/>
          <w:szCs w:val="20"/>
          <w:color w:val="auto"/>
        </w:rPr>
      </w:pPr>
      <w:r>
        <w:rPr>
          <w:rFonts w:ascii="Arial" w:cs="Arial" w:eastAsia="Arial" w:hAnsi="Arial"/>
          <w:sz w:val="15"/>
          <w:szCs w:val="15"/>
          <w:color w:val="auto"/>
        </w:rPr>
        <w:t>The Compensation Committee actively tracks compensation and governance trends, and as a result feels it is constructive to provide stockholders with additional insight and transparency on CEO compensation determinations. Stockholders have been supportive of our pay-for-performance approach demonstrated by an 85% favorable management say-on-pay approval in 2023. We continue to believe a rigid formulaic program based strictly on quantitative metrics could have unintended consequences, such as encouraging executives to place undue focus on shorter-term results at the expense of the longer-term success of the Company. However, for 2024 our CEO compensation will reflect a more structured approach. The new approach will formalize the thoughtful process used by the Compensation Committee by clarifying and utilizing compensation and performance targets to demonstrate the link between performance and CEO compensation. Importantly, the Compensation Committee will continue to balance important financial and client metrics as well as longer-term Company health and strategic objectives.</w:t>
      </w:r>
    </w:p>
    <w:p>
      <w:pPr>
        <w:spacing w:after="0" w:line="16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3"/>
          <w:szCs w:val="13"/>
          <w:b w:val="1"/>
          <w:bCs w:val="1"/>
          <w:color w:val="00244F"/>
        </w:rPr>
        <w:t>60</w:t>
      </w:r>
      <w:r>
        <w:rPr>
          <w:sz w:val="20"/>
          <w:szCs w:val="20"/>
          <w:color w:val="auto"/>
        </w:rPr>
        <w:tab/>
      </w:r>
      <w:r>
        <w:rPr>
          <w:rFonts w:ascii="Times New Roman" w:cs="Times New Roman" w:eastAsia="Times New Roman" w:hAnsi="Times New Roman"/>
          <w:sz w:val="13"/>
          <w:szCs w:val="13"/>
          <w:b w:val="1"/>
          <w:bCs w:val="1"/>
          <w:color w:val="00244F"/>
        </w:rPr>
        <w:t>T. Rowe Price Group</w:t>
      </w:r>
    </w:p>
    <w:p>
      <w:pPr>
        <w:sectPr>
          <w:pgSz w:w="11900" w:h="16838" w:orient="portrait"/>
          <w:cols w:equalWidth="0" w:num="1">
            <w:col w:w="11160"/>
          </w:cols>
          <w:pgMar w:left="320" w:top="223" w:right="419" w:bottom="1440" w:gutter="0" w:footer="0" w:header="0"/>
        </w:sectPr>
      </w:pP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160"/>
          </w:cols>
          <w:pgMar w:left="320" w:top="223" w:right="41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7"/>
          <w:szCs w:val="17"/>
          <w:u w:val="single" w:color="auto"/>
          <w:color w:val="0000EE"/>
        </w:rPr>
        <w:t>Table of Contents</w:t>
      </w:r>
    </w:p>
    <w:p>
      <w:pPr>
        <w:spacing w:after="0" w:line="396" w:lineRule="exact"/>
        <w:rPr>
          <w:sz w:val="20"/>
          <w:szCs w:val="20"/>
          <w:color w:val="auto"/>
        </w:rPr>
      </w:pPr>
    </w:p>
    <w:p>
      <w:pPr>
        <w:spacing w:after="0"/>
        <w:rPr>
          <w:sz w:val="20"/>
          <w:szCs w:val="20"/>
          <w:color w:val="auto"/>
        </w:rPr>
      </w:pPr>
      <w:r>
        <w:rPr>
          <w:rFonts w:ascii="Arial" w:cs="Arial" w:eastAsia="Arial" w:hAnsi="Arial"/>
          <w:sz w:val="15"/>
          <w:szCs w:val="15"/>
          <w:color w:val="auto"/>
        </w:rPr>
        <w:t>Key highlights of new CEO compensation program direction:</w:t>
      </w:r>
    </w:p>
    <w:p>
      <w:pPr>
        <w:spacing w:after="0" w:line="198" w:lineRule="exact"/>
        <w:rPr>
          <w:sz w:val="20"/>
          <w:szCs w:val="20"/>
          <w:color w:val="auto"/>
        </w:rPr>
      </w:pPr>
    </w:p>
    <w:p>
      <w:pPr>
        <w:ind w:left="180" w:hanging="168"/>
        <w:spacing w:after="0"/>
        <w:tabs>
          <w:tab w:leader="none" w:pos="180" w:val="left"/>
        </w:tabs>
        <w:numPr>
          <w:ilvl w:val="0"/>
          <w:numId w:val="86"/>
        </w:numPr>
        <w:rPr>
          <w:rFonts w:ascii="Arial" w:cs="Arial" w:eastAsia="Arial" w:hAnsi="Arial"/>
          <w:sz w:val="15"/>
          <w:szCs w:val="15"/>
          <w:color w:val="52BBC1"/>
        </w:rPr>
      </w:pPr>
      <w:r>
        <w:rPr>
          <w:rFonts w:ascii="Arial" w:cs="Arial" w:eastAsia="Arial" w:hAnsi="Arial"/>
          <w:sz w:val="17"/>
          <w:szCs w:val="17"/>
          <w:color w:val="auto"/>
        </w:rPr>
        <w:t>Competitive total compensation target</w:t>
      </w:r>
    </w:p>
    <w:p>
      <w:pPr>
        <w:spacing w:after="0" w:line="79" w:lineRule="exact"/>
        <w:rPr>
          <w:rFonts w:ascii="Arial" w:cs="Arial" w:eastAsia="Arial" w:hAnsi="Arial"/>
          <w:sz w:val="15"/>
          <w:szCs w:val="15"/>
          <w:color w:val="52BBC1"/>
        </w:rPr>
      </w:pPr>
    </w:p>
    <w:p>
      <w:pPr>
        <w:ind w:left="180" w:hanging="168"/>
        <w:spacing w:after="0"/>
        <w:tabs>
          <w:tab w:leader="none" w:pos="180" w:val="left"/>
        </w:tabs>
        <w:numPr>
          <w:ilvl w:val="0"/>
          <w:numId w:val="86"/>
        </w:numPr>
        <w:rPr>
          <w:rFonts w:ascii="Arial" w:cs="Arial" w:eastAsia="Arial" w:hAnsi="Arial"/>
          <w:sz w:val="15"/>
          <w:szCs w:val="15"/>
          <w:color w:val="52BBC1"/>
        </w:rPr>
      </w:pPr>
      <w:r>
        <w:rPr>
          <w:rFonts w:ascii="Arial" w:cs="Arial" w:eastAsia="Arial" w:hAnsi="Arial"/>
          <w:sz w:val="17"/>
          <w:szCs w:val="17"/>
          <w:color w:val="auto"/>
        </w:rPr>
        <w:t>Performance metrics incorporating and balancing financial, client, strategic and organizational objectives</w:t>
      </w:r>
    </w:p>
    <w:p>
      <w:pPr>
        <w:spacing w:after="0" w:line="79" w:lineRule="exact"/>
        <w:rPr>
          <w:rFonts w:ascii="Arial" w:cs="Arial" w:eastAsia="Arial" w:hAnsi="Arial"/>
          <w:sz w:val="15"/>
          <w:szCs w:val="15"/>
          <w:color w:val="52BBC1"/>
        </w:rPr>
      </w:pPr>
    </w:p>
    <w:p>
      <w:pPr>
        <w:ind w:left="180" w:hanging="168"/>
        <w:spacing w:after="0"/>
        <w:tabs>
          <w:tab w:leader="none" w:pos="180" w:val="left"/>
        </w:tabs>
        <w:numPr>
          <w:ilvl w:val="0"/>
          <w:numId w:val="86"/>
        </w:numPr>
        <w:rPr>
          <w:rFonts w:ascii="Arial" w:cs="Arial" w:eastAsia="Arial" w:hAnsi="Arial"/>
          <w:sz w:val="15"/>
          <w:szCs w:val="15"/>
          <w:color w:val="52BBC1"/>
        </w:rPr>
      </w:pPr>
      <w:r>
        <w:rPr>
          <w:rFonts w:ascii="Arial" w:cs="Arial" w:eastAsia="Arial" w:hAnsi="Arial"/>
          <w:sz w:val="17"/>
          <w:szCs w:val="17"/>
          <w:color w:val="auto"/>
        </w:rPr>
        <w:t>Weightings for each performance metric</w:t>
      </w:r>
    </w:p>
    <w:p>
      <w:pPr>
        <w:spacing w:after="0" w:line="79" w:lineRule="exact"/>
        <w:rPr>
          <w:rFonts w:ascii="Arial" w:cs="Arial" w:eastAsia="Arial" w:hAnsi="Arial"/>
          <w:sz w:val="15"/>
          <w:szCs w:val="15"/>
          <w:color w:val="52BBC1"/>
        </w:rPr>
      </w:pPr>
    </w:p>
    <w:p>
      <w:pPr>
        <w:ind w:left="180" w:hanging="168"/>
        <w:spacing w:after="0"/>
        <w:tabs>
          <w:tab w:leader="none" w:pos="180" w:val="left"/>
        </w:tabs>
        <w:numPr>
          <w:ilvl w:val="0"/>
          <w:numId w:val="86"/>
        </w:numPr>
        <w:rPr>
          <w:rFonts w:ascii="Arial" w:cs="Arial" w:eastAsia="Arial" w:hAnsi="Arial"/>
          <w:sz w:val="15"/>
          <w:szCs w:val="15"/>
          <w:color w:val="52BBC1"/>
        </w:rPr>
      </w:pPr>
      <w:r>
        <w:rPr>
          <w:rFonts w:ascii="Arial" w:cs="Arial" w:eastAsia="Arial" w:hAnsi="Arial"/>
          <w:sz w:val="17"/>
          <w:szCs w:val="17"/>
          <w:color w:val="auto"/>
        </w:rPr>
        <w:t>Identification of Compensation Committee discretion or adjustments, with rationale</w:t>
      </w:r>
    </w:p>
    <w:p>
      <w:pPr>
        <w:spacing w:after="0" w:line="79" w:lineRule="exact"/>
        <w:rPr>
          <w:rFonts w:ascii="Arial" w:cs="Arial" w:eastAsia="Arial" w:hAnsi="Arial"/>
          <w:sz w:val="15"/>
          <w:szCs w:val="15"/>
          <w:color w:val="52BBC1"/>
        </w:rPr>
      </w:pPr>
    </w:p>
    <w:p>
      <w:pPr>
        <w:ind w:left="180" w:hanging="168"/>
        <w:spacing w:after="0"/>
        <w:tabs>
          <w:tab w:leader="none" w:pos="180" w:val="left"/>
        </w:tabs>
        <w:numPr>
          <w:ilvl w:val="0"/>
          <w:numId w:val="86"/>
        </w:numPr>
        <w:rPr>
          <w:rFonts w:ascii="Arial" w:cs="Arial" w:eastAsia="Arial" w:hAnsi="Arial"/>
          <w:sz w:val="15"/>
          <w:szCs w:val="15"/>
          <w:color w:val="52BBC1"/>
        </w:rPr>
      </w:pPr>
      <w:r>
        <w:rPr>
          <w:rFonts w:ascii="Arial" w:cs="Arial" w:eastAsia="Arial" w:hAnsi="Arial"/>
          <w:sz w:val="17"/>
          <w:szCs w:val="17"/>
          <w:color w:val="auto"/>
        </w:rPr>
        <w:t>Continued performance alignment through emphasis on long-term equity compensation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44F"/>
        </w:rPr>
        <w:t>Delegation Authority</w:t>
      </w:r>
    </w:p>
    <w:p>
      <w:pPr>
        <w:spacing w:after="0" w:line="212"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The Compensation Committee has delegated compensation decisions regarding non-executive officers, including the establishment of specific salary and incentive compensation levels and certain matters relating to stock-based compensation, to the Management Compensation and Development Committee, a committee comprised of members of the Management Committee.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44F"/>
        </w:rPr>
        <w:t>Committee Procedures</w:t>
      </w:r>
    </w:p>
    <w:p>
      <w:pPr>
        <w:spacing w:after="0" w:line="212"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Early each year, the Compensation Committee meets with the CEO and President and members of senior management in order to discuss goals and objectives for the year, including goals and objectives for the NEOs. In addition, the Compensation Committee determines eligibility for the AICP bonus pool and sets forth the maximum percentage that may be paid to each participant. At its meeting in December, the Compensation Committee evaluates the Company's and executive's performance as part of its determination of appropriate cash and long-term incentive awards. The set of metrics includes those that reflect the actions of our management team and employees on the Company's performance, such as net revenue and operating margin, together with metrics that are heavily influenced by factors outside the management team's control but are heavily correlated to the returns experienced by our stockholders, such as one-year total stockholder return. The Compensation Committee believes that evaluating performance against a combination of metrics and strategic goals most effectively drives the behavior for the long-term results that we want our executive team to strive for and produce, as well as tightly links pay outcomes to performance.</w:t>
      </w:r>
    </w:p>
    <w:p>
      <w:pPr>
        <w:spacing w:after="0" w:line="174" w:lineRule="exact"/>
        <w:rPr>
          <w:sz w:val="20"/>
          <w:szCs w:val="20"/>
          <w:color w:val="auto"/>
        </w:rPr>
      </w:pPr>
    </w:p>
    <w:p>
      <w:pPr>
        <w:ind w:right="480"/>
        <w:spacing w:after="0" w:line="278" w:lineRule="auto"/>
        <w:rPr>
          <w:sz w:val="20"/>
          <w:szCs w:val="20"/>
          <w:color w:val="auto"/>
        </w:rPr>
      </w:pPr>
      <w:r>
        <w:rPr>
          <w:rFonts w:ascii="Arial" w:cs="Arial" w:eastAsia="Arial" w:hAnsi="Arial"/>
          <w:sz w:val="15"/>
          <w:szCs w:val="15"/>
          <w:color w:val="auto"/>
        </w:rPr>
        <w:t>The Compensation Committee awards annual equity incentive grants to employees from stockholder-approved long-term incentive plans as part of the Company's annual compensation program.</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44F"/>
        </w:rPr>
        <w:t>Role of Executive Officers</w:t>
      </w:r>
    </w:p>
    <w:p>
      <w:pPr>
        <w:spacing w:after="0" w:line="212" w:lineRule="exact"/>
        <w:rPr>
          <w:sz w:val="20"/>
          <w:szCs w:val="20"/>
          <w:color w:val="auto"/>
        </w:rPr>
      </w:pPr>
    </w:p>
    <w:p>
      <w:pPr>
        <w:ind w:right="40"/>
        <w:spacing w:after="0" w:line="255" w:lineRule="auto"/>
        <w:rPr>
          <w:sz w:val="20"/>
          <w:szCs w:val="20"/>
          <w:color w:val="auto"/>
        </w:rPr>
      </w:pPr>
      <w:r>
        <w:rPr>
          <w:rFonts w:ascii="Arial" w:cs="Arial" w:eastAsia="Arial" w:hAnsi="Arial"/>
          <w:sz w:val="15"/>
          <w:szCs w:val="15"/>
          <w:color w:val="auto"/>
        </w:rPr>
        <w:t>The Compensation Committee solicits input from the CEO and President and the Management Compensation and Development Committee regarding general compensation policies, including the appropriate level and mix of compensation. The Compensation Committee also consults with the CEO and President regarding the appropriate incentive awards and salary levels for other executive officers. Compensation for Mr. August, while determined under separate programs, is also overseen by the Compensation Committee.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44F"/>
        </w:rPr>
        <w:t>Role of Independent Compensation Consultant</w:t>
      </w:r>
    </w:p>
    <w:p>
      <w:pPr>
        <w:spacing w:after="0" w:line="212" w:lineRule="exact"/>
        <w:rPr>
          <w:sz w:val="20"/>
          <w:szCs w:val="20"/>
          <w:color w:val="auto"/>
        </w:rPr>
      </w:pPr>
    </w:p>
    <w:p>
      <w:pPr>
        <w:ind w:right="60"/>
        <w:spacing w:after="0" w:line="255" w:lineRule="auto"/>
        <w:rPr>
          <w:sz w:val="20"/>
          <w:szCs w:val="20"/>
          <w:color w:val="auto"/>
        </w:rPr>
      </w:pPr>
      <w:r>
        <w:rPr>
          <w:rFonts w:ascii="Arial" w:cs="Arial" w:eastAsia="Arial" w:hAnsi="Arial"/>
          <w:sz w:val="15"/>
          <w:szCs w:val="15"/>
          <w:color w:val="auto"/>
        </w:rPr>
        <w:t>Johnson Associates serves as the Compensation Committee's independent compensation consultant and attended all Compensation Committee meetings during 2023, and regularly meets with the Compensation Committee in executive session. The Compensation Committee benefited from the consultant's broad experience in advising other compensation committees, in-depth understanding of investor perspectives on compensation, and familiarity with our compensation programs and policies and those of peer companies in the asset management and financial services industry.</w:t>
      </w:r>
    </w:p>
    <w:p>
      <w:pPr>
        <w:spacing w:after="0" w:line="167" w:lineRule="exact"/>
        <w:rPr>
          <w:sz w:val="20"/>
          <w:szCs w:val="20"/>
          <w:color w:val="auto"/>
        </w:rPr>
      </w:pPr>
    </w:p>
    <w:p>
      <w:pPr>
        <w:ind w:right="80"/>
        <w:spacing w:after="0" w:line="255" w:lineRule="auto"/>
        <w:rPr>
          <w:sz w:val="20"/>
          <w:szCs w:val="20"/>
          <w:color w:val="auto"/>
        </w:rPr>
      </w:pPr>
      <w:r>
        <w:rPr>
          <w:rFonts w:ascii="Arial" w:cs="Arial" w:eastAsia="Arial" w:hAnsi="Arial"/>
          <w:sz w:val="15"/>
          <w:szCs w:val="15"/>
          <w:color w:val="auto"/>
        </w:rPr>
        <w:t>Johnson Associates provides the Compensation Committee with information about the competitive market for senior management in the investment management and financial services industries and compensation trends across industries. Specifically in 2023, Johnson Associates advised the Compensation Committee on the structure for CEO compensation for 2024. In addition, the consultant periodically updated the Compensation Committee on trends and projected implications for industry compensation practices and potential changes to competitive rates of pay during the period.</w:t>
      </w:r>
    </w:p>
    <w:p>
      <w:pPr>
        <w:spacing w:after="0" w:line="157" w:lineRule="exact"/>
        <w:rPr>
          <w:sz w:val="20"/>
          <w:szCs w:val="20"/>
          <w:color w:val="auto"/>
        </w:rPr>
      </w:pPr>
    </w:p>
    <w:p>
      <w:pPr>
        <w:spacing w:after="0"/>
        <w:tabs>
          <w:tab w:leader="none" w:pos="540" w:val="left"/>
          <w:tab w:leader="none" w:pos="9480" w:val="left"/>
          <w:tab w:leader="none" w:pos="11100" w:val="left"/>
        </w:tabs>
        <w:rPr>
          <w:sz w:val="20"/>
          <w:szCs w:val="20"/>
          <w:color w:val="auto"/>
        </w:rPr>
      </w:pPr>
      <w:r>
        <w:rPr>
          <w:rFonts w:ascii="Times New Roman" w:cs="Times New Roman" w:eastAsia="Times New Roman" w:hAnsi="Times New Roman"/>
          <w:sz w:val="13"/>
          <w:szCs w:val="13"/>
          <w:b w:val="1"/>
          <w:bCs w:val="1"/>
          <w:color w:val="auto"/>
        </w:rPr>
        <w:t> </w:t>
      </w:r>
      <w:r>
        <w:rPr>
          <w:sz w:val="20"/>
          <w:szCs w:val="20"/>
          <w:color w:val="auto"/>
        </w:rPr>
        <w:tab/>
      </w:r>
      <w:r>
        <w:rPr>
          <w:rFonts w:ascii="Times New Roman" w:cs="Times New Roman" w:eastAsia="Times New Roman" w:hAnsi="Times New Roman"/>
          <w:sz w:val="13"/>
          <w:szCs w:val="13"/>
          <w:b w:val="1"/>
          <w:bCs w:val="1"/>
          <w:color w:val="auto"/>
        </w:rPr>
        <w:t> </w:t>
      </w:r>
      <w:r>
        <w:rPr>
          <w:sz w:val="20"/>
          <w:szCs w:val="20"/>
          <w:color w:val="auto"/>
        </w:rPr>
        <w:tab/>
      </w:r>
      <w:r>
        <w:rPr>
          <w:rFonts w:ascii="Times New Roman" w:cs="Times New Roman" w:eastAsia="Times New Roman" w:hAnsi="Times New Roman"/>
          <w:sz w:val="13"/>
          <w:szCs w:val="13"/>
          <w:b w:val="1"/>
          <w:bCs w:val="1"/>
          <w:color w:val="auto"/>
        </w:rPr>
        <w:t xml:space="preserve">2024 </w:t>
      </w:r>
      <w:r>
        <w:rPr>
          <w:rFonts w:ascii="Times New Roman" w:cs="Times New Roman" w:eastAsia="Times New Roman" w:hAnsi="Times New Roman"/>
          <w:sz w:val="13"/>
          <w:szCs w:val="13"/>
          <w:color w:val="auto"/>
        </w:rPr>
        <w:t>Proxy Statement</w:t>
      </w:r>
      <w:r>
        <w:rPr>
          <w:sz w:val="20"/>
          <w:szCs w:val="20"/>
          <w:color w:val="auto"/>
        </w:rPr>
        <w:tab/>
      </w:r>
      <w:r>
        <w:rPr>
          <w:rFonts w:ascii="Times New Roman" w:cs="Times New Roman" w:eastAsia="Times New Roman" w:hAnsi="Times New Roman"/>
          <w:sz w:val="12"/>
          <w:szCs w:val="12"/>
          <w:b w:val="1"/>
          <w:bCs w:val="1"/>
          <w:color w:val="00244F"/>
        </w:rPr>
        <w:t>61</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66" w:name="page67"/>
    <w:bookmarkEnd w:id="66"/>
    <w:p>
      <w:pPr>
        <w:spacing w:after="0"/>
        <w:rPr>
          <w:sz w:val="20"/>
          <w:szCs w:val="20"/>
          <w:color w:val="auto"/>
        </w:rPr>
      </w:pPr>
      <w:r>
        <w:rPr>
          <w:rFonts w:ascii="Arial" w:cs="Arial" w:eastAsia="Arial" w:hAnsi="Arial"/>
          <w:sz w:val="17"/>
          <w:szCs w:val="17"/>
          <w:u w:val="single" w:color="auto"/>
          <w:color w:val="0000EE"/>
        </w:rPr>
        <w:t>Table of Contents</w:t>
      </w:r>
    </w:p>
    <w:p>
      <w:pPr>
        <w:spacing w:after="0" w:line="371" w:lineRule="exact"/>
        <w:rPr>
          <w:sz w:val="20"/>
          <w:szCs w:val="20"/>
          <w:color w:val="auto"/>
        </w:rPr>
      </w:pPr>
    </w:p>
    <w:p>
      <w:pPr>
        <w:ind w:right="120"/>
        <w:spacing w:after="0" w:line="252" w:lineRule="auto"/>
        <w:rPr>
          <w:sz w:val="20"/>
          <w:szCs w:val="20"/>
          <w:color w:val="auto"/>
        </w:rPr>
      </w:pPr>
      <w:r>
        <w:rPr>
          <w:rFonts w:ascii="Arial" w:cs="Arial" w:eastAsia="Arial" w:hAnsi="Arial"/>
          <w:sz w:val="15"/>
          <w:szCs w:val="15"/>
          <w:color w:val="auto"/>
        </w:rPr>
        <w:t>Johnson Associates has no relationship with Price Group other than as the Compensation Committee's compensation consultant. Johnson Associates has not provided any services to the Company other than those provided to the Compensation Committee in its role as independent consultant. The Compensation Committee has assessed the independence of Johnson Associates pursuant to SEC rules and concluded that the work performed by the advisor does not raise any conflicts of interest. The Compensation Committee will continue to periodically review its relationship with Johnson Associates and its continued appointment as the Compensation Committee's independent consultant.</w:t>
      </w:r>
    </w:p>
    <w:p>
      <w:pPr>
        <w:spacing w:after="0" w:line="144" w:lineRule="exact"/>
        <w:rPr>
          <w:sz w:val="20"/>
          <w:szCs w:val="20"/>
          <w:color w:val="auto"/>
        </w:rPr>
      </w:pPr>
    </w:p>
    <w:p>
      <w:pPr>
        <w:ind w:right="100"/>
        <w:spacing w:after="0" w:line="255" w:lineRule="auto"/>
        <w:rPr>
          <w:sz w:val="20"/>
          <w:szCs w:val="20"/>
          <w:color w:val="auto"/>
        </w:rPr>
      </w:pPr>
      <w:r>
        <w:rPr>
          <w:rFonts w:ascii="Arial" w:cs="Arial" w:eastAsia="Arial" w:hAnsi="Arial"/>
          <w:sz w:val="15"/>
          <w:szCs w:val="15"/>
          <w:color w:val="auto"/>
        </w:rPr>
        <w:t>Many of our key competitors are not publicly traded or are subsidiaries of larger companies. These competitors generally do not publicly disclose the compensation data of their top executive officers. During the year, Johnson Associates presented a report of expected competitive pay for each NEO based on current industry trends and their market evaluation of each NEO's role. This data, along with competitive market data provided to management by McLagan Data Analytics and input from the CEO and President and other senior executives of the Company, provided context to the Compensation Committee in their compensation decisions for each NEO for 2023.</w:t>
      </w:r>
    </w:p>
    <w:p>
      <w:pPr>
        <w:spacing w:after="0" w:line="142" w:lineRule="exact"/>
        <w:rPr>
          <w:sz w:val="20"/>
          <w:szCs w:val="20"/>
          <w:color w:val="auto"/>
        </w:rPr>
      </w:pPr>
    </w:p>
    <w:p>
      <w:pPr>
        <w:ind w:right="80"/>
        <w:spacing w:after="0" w:line="252" w:lineRule="auto"/>
        <w:rPr>
          <w:sz w:val="20"/>
          <w:szCs w:val="20"/>
          <w:color w:val="auto"/>
        </w:rPr>
      </w:pPr>
      <w:r>
        <w:rPr>
          <w:rFonts w:ascii="Arial" w:cs="Arial" w:eastAsia="Arial" w:hAnsi="Arial"/>
          <w:sz w:val="15"/>
          <w:szCs w:val="15"/>
          <w:color w:val="auto"/>
        </w:rPr>
        <w:t>McLagan has an extensive database on compensation for most investment management companies, including private companies for which information is not otherwise generally available. McLagan summarizes data by role across multiple companies without specifically identifying information for a particular company. Management uses the summary information from McLagan for a reasonable estimation of compensation levels in the industry for persons with specific roles relevant to our business (e.g., portfolio manager, analyst, client service manager, etc.). Relevant portions of this information are shared by executive management with the Compensation Committee. McLagan works with management and does not act as a compensation consultant to the Compensation Committee.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54F"/>
        </w:rPr>
        <w:t>Competitive Positioning</w:t>
      </w:r>
    </w:p>
    <w:p>
      <w:pPr>
        <w:spacing w:after="0" w:line="212" w:lineRule="exact"/>
        <w:rPr>
          <w:sz w:val="20"/>
          <w:szCs w:val="20"/>
          <w:color w:val="auto"/>
        </w:rPr>
      </w:pPr>
    </w:p>
    <w:p>
      <w:pPr>
        <w:ind w:right="140"/>
        <w:spacing w:after="0" w:line="252" w:lineRule="auto"/>
        <w:rPr>
          <w:sz w:val="20"/>
          <w:szCs w:val="20"/>
          <w:color w:val="auto"/>
        </w:rPr>
      </w:pPr>
      <w:r>
        <w:rPr>
          <w:rFonts w:ascii="Arial" w:cs="Arial" w:eastAsia="Arial" w:hAnsi="Arial"/>
          <w:sz w:val="15"/>
          <w:szCs w:val="15"/>
          <w:color w:val="auto"/>
        </w:rPr>
        <w:t>The Compensation Committee annually reviews competitive data regarding compensation at peer companies in the investment management industry with their independent compensation consultant and management. We do not set compensation levels to fall within specific ranges compared with benchmark data. Instead, we use the information provided by Johnson Associates, proxy data for peer group companies listed below, and survey data provided by McLagan and others about the competitive market for senior management to gain a general understanding of current practices and to assist in the development of compensation programs and setting compensation levels.</w:t>
      </w:r>
    </w:p>
    <w:p>
      <w:pPr>
        <w:spacing w:after="0" w:line="169" w:lineRule="exact"/>
        <w:rPr>
          <w:sz w:val="20"/>
          <w:szCs w:val="20"/>
          <w:color w:val="auto"/>
        </w:rPr>
      </w:pPr>
    </w:p>
    <w:p>
      <w:pPr>
        <w:jc w:val="both"/>
        <w:ind w:right="180"/>
        <w:spacing w:after="0" w:line="315" w:lineRule="auto"/>
        <w:rPr>
          <w:sz w:val="20"/>
          <w:szCs w:val="20"/>
          <w:color w:val="auto"/>
        </w:rPr>
      </w:pPr>
      <w:r>
        <w:rPr>
          <w:rFonts w:ascii="Arial" w:cs="Arial" w:eastAsia="Arial" w:hAnsi="Arial"/>
          <w:sz w:val="14"/>
          <w:szCs w:val="14"/>
          <w:color w:val="auto"/>
        </w:rPr>
        <w:t>Below is the list of the 2023 companies used by the Compensation Committee peer group for all executives, and we note that J.P. Morgan Asset Management, Morgan Stanley Asset Management, and Goldman Sachs Asset Management are included with the other firms only when considering a peer group for the CEO and President: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98"/>
        </w:trPr>
        <w:tc>
          <w:tcPr>
            <w:tcW w:w="2840" w:type="dxa"/>
            <w:vAlign w:val="bottom"/>
            <w:tcBorders>
              <w:top w:val="single" w:sz="8" w:color="52BBC1"/>
              <w:right w:val="single" w:sz="8" w:color="52BBC1"/>
            </w:tcBorders>
            <w:gridSpan w:val="2"/>
          </w:tcPr>
          <w:p>
            <w:pPr>
              <w:ind w:left="120"/>
              <w:spacing w:after="0"/>
              <w:rPr>
                <w:sz w:val="20"/>
                <w:szCs w:val="20"/>
                <w:color w:val="auto"/>
              </w:rPr>
            </w:pPr>
            <w:r>
              <w:rPr>
                <w:rFonts w:ascii="Arial" w:cs="Arial" w:eastAsia="Arial" w:hAnsi="Arial"/>
                <w:sz w:val="15"/>
                <w:szCs w:val="15"/>
                <w:color w:val="52BBC1"/>
              </w:rPr>
              <w:t xml:space="preserve">•  </w:t>
            </w:r>
            <w:r>
              <w:rPr>
                <w:rFonts w:ascii="Arial" w:cs="Arial" w:eastAsia="Arial" w:hAnsi="Arial"/>
                <w:sz w:val="15"/>
                <w:szCs w:val="15"/>
                <w:color w:val="000000"/>
              </w:rPr>
              <w:t>Affiliated Managers Group, Inc.</w:t>
            </w:r>
          </w:p>
        </w:tc>
        <w:tc>
          <w:tcPr>
            <w:tcW w:w="220" w:type="dxa"/>
            <w:vAlign w:val="bottom"/>
            <w:tcBorders>
              <w:top w:val="single" w:sz="8" w:color="52BBC1"/>
            </w:tcBorders>
          </w:tcPr>
          <w:p>
            <w:pPr>
              <w:ind w:left="100"/>
              <w:spacing w:after="0"/>
              <w:rPr>
                <w:sz w:val="20"/>
                <w:szCs w:val="20"/>
                <w:color w:val="auto"/>
              </w:rPr>
            </w:pPr>
            <w:r>
              <w:rPr>
                <w:rFonts w:ascii="Arial" w:cs="Arial" w:eastAsia="Arial" w:hAnsi="Arial"/>
                <w:sz w:val="15"/>
                <w:szCs w:val="15"/>
                <w:color w:val="52BBC1"/>
              </w:rPr>
              <w:t>•</w:t>
            </w:r>
          </w:p>
        </w:tc>
        <w:tc>
          <w:tcPr>
            <w:tcW w:w="2580" w:type="dxa"/>
            <w:vAlign w:val="bottom"/>
            <w:tcBorders>
              <w:top w:val="single" w:sz="8" w:color="52BBC1"/>
              <w:right w:val="single" w:sz="8" w:color="52BBC1"/>
            </w:tcBorders>
          </w:tcPr>
          <w:p>
            <w:pPr>
              <w:ind w:left="60"/>
              <w:spacing w:after="0"/>
              <w:rPr>
                <w:sz w:val="20"/>
                <w:szCs w:val="20"/>
                <w:color w:val="auto"/>
              </w:rPr>
            </w:pPr>
            <w:r>
              <w:rPr>
                <w:rFonts w:ascii="Arial" w:cs="Arial" w:eastAsia="Arial" w:hAnsi="Arial"/>
                <w:sz w:val="15"/>
                <w:szCs w:val="15"/>
                <w:color w:val="auto"/>
              </w:rPr>
              <w:t>BlackRock Inc.</w:t>
            </w:r>
          </w:p>
        </w:tc>
        <w:tc>
          <w:tcPr>
            <w:tcW w:w="260" w:type="dxa"/>
            <w:vAlign w:val="bottom"/>
            <w:tcBorders>
              <w:top w:val="single" w:sz="8" w:color="52BBC1"/>
            </w:tcBorders>
          </w:tcPr>
          <w:p>
            <w:pPr>
              <w:ind w:left="120"/>
              <w:spacing w:after="0"/>
              <w:rPr>
                <w:sz w:val="20"/>
                <w:szCs w:val="20"/>
                <w:color w:val="auto"/>
              </w:rPr>
            </w:pPr>
            <w:r>
              <w:rPr>
                <w:rFonts w:ascii="Arial" w:cs="Arial" w:eastAsia="Arial" w:hAnsi="Arial"/>
                <w:sz w:val="15"/>
                <w:szCs w:val="15"/>
                <w:color w:val="52BBC1"/>
              </w:rPr>
              <w:t>•</w:t>
            </w:r>
          </w:p>
        </w:tc>
        <w:tc>
          <w:tcPr>
            <w:tcW w:w="2440" w:type="dxa"/>
            <w:vAlign w:val="bottom"/>
            <w:tcBorders>
              <w:top w:val="single" w:sz="8" w:color="52BBC1"/>
              <w:right w:val="single" w:sz="8" w:color="52BBC1"/>
            </w:tcBorders>
          </w:tcPr>
          <w:p>
            <w:pPr>
              <w:ind w:left="80"/>
              <w:spacing w:after="0"/>
              <w:rPr>
                <w:sz w:val="20"/>
                <w:szCs w:val="20"/>
                <w:color w:val="auto"/>
              </w:rPr>
            </w:pPr>
            <w:r>
              <w:rPr>
                <w:rFonts w:ascii="Arial" w:cs="Arial" w:eastAsia="Arial" w:hAnsi="Arial"/>
                <w:sz w:val="15"/>
                <w:szCs w:val="15"/>
                <w:color w:val="auto"/>
              </w:rPr>
              <w:t>Invesco Ltd.</w:t>
            </w:r>
          </w:p>
        </w:tc>
        <w:tc>
          <w:tcPr>
            <w:tcW w:w="2900" w:type="dxa"/>
            <w:vAlign w:val="bottom"/>
            <w:tcBorders>
              <w:top w:val="single" w:sz="8" w:color="52BBC1"/>
            </w:tcBorders>
            <w:gridSpan w:val="2"/>
          </w:tcPr>
          <w:p>
            <w:pPr>
              <w:ind w:left="120"/>
              <w:spacing w:after="0"/>
              <w:rPr>
                <w:sz w:val="20"/>
                <w:szCs w:val="20"/>
                <w:color w:val="auto"/>
              </w:rPr>
            </w:pPr>
            <w:r>
              <w:rPr>
                <w:rFonts w:ascii="Arial" w:cs="Arial" w:eastAsia="Arial" w:hAnsi="Arial"/>
                <w:sz w:val="15"/>
                <w:szCs w:val="15"/>
                <w:color w:val="52BBC1"/>
              </w:rPr>
              <w:t xml:space="preserve">• </w:t>
            </w:r>
            <w:r>
              <w:rPr>
                <w:rFonts w:ascii="Arial" w:cs="Arial" w:eastAsia="Arial" w:hAnsi="Arial"/>
                <w:sz w:val="15"/>
                <w:szCs w:val="15"/>
                <w:color w:val="000000"/>
              </w:rPr>
              <w:t>CEO Only:</w:t>
            </w:r>
          </w:p>
        </w:tc>
      </w:tr>
      <w:tr>
        <w:trPr>
          <w:trHeight w:val="237"/>
        </w:trPr>
        <w:tc>
          <w:tcPr>
            <w:tcW w:w="260" w:type="dxa"/>
            <w:vAlign w:val="bottom"/>
          </w:tcPr>
          <w:p>
            <w:pPr>
              <w:ind w:left="120"/>
              <w:spacing w:after="0"/>
              <w:rPr>
                <w:sz w:val="20"/>
                <w:szCs w:val="20"/>
                <w:color w:val="auto"/>
              </w:rPr>
            </w:pPr>
            <w:r>
              <w:rPr>
                <w:rFonts w:ascii="Arial" w:cs="Arial" w:eastAsia="Arial" w:hAnsi="Arial"/>
                <w:sz w:val="15"/>
                <w:szCs w:val="15"/>
                <w:color w:val="52BBC1"/>
              </w:rPr>
              <w:t>•</w:t>
            </w:r>
          </w:p>
        </w:tc>
        <w:tc>
          <w:tcPr>
            <w:tcW w:w="2580" w:type="dxa"/>
            <w:vAlign w:val="bottom"/>
            <w:tcBorders>
              <w:right w:val="single" w:sz="8" w:color="52BBC1"/>
            </w:tcBorders>
          </w:tcPr>
          <w:p>
            <w:pPr>
              <w:ind w:left="80"/>
              <w:spacing w:after="0"/>
              <w:rPr>
                <w:sz w:val="20"/>
                <w:szCs w:val="20"/>
                <w:color w:val="auto"/>
              </w:rPr>
            </w:pPr>
            <w:r>
              <w:rPr>
                <w:rFonts w:ascii="Arial" w:cs="Arial" w:eastAsia="Arial" w:hAnsi="Arial"/>
                <w:sz w:val="15"/>
                <w:szCs w:val="15"/>
                <w:color w:val="auto"/>
              </w:rPr>
              <w:t>AllianceBernstein L.P.</w:t>
            </w:r>
          </w:p>
        </w:tc>
        <w:tc>
          <w:tcPr>
            <w:tcW w:w="220" w:type="dxa"/>
            <w:vAlign w:val="bottom"/>
          </w:tcPr>
          <w:p>
            <w:pPr>
              <w:ind w:left="100"/>
              <w:spacing w:after="0"/>
              <w:rPr>
                <w:sz w:val="20"/>
                <w:szCs w:val="20"/>
                <w:color w:val="auto"/>
              </w:rPr>
            </w:pPr>
            <w:r>
              <w:rPr>
                <w:rFonts w:ascii="Arial" w:cs="Arial" w:eastAsia="Arial" w:hAnsi="Arial"/>
                <w:sz w:val="15"/>
                <w:szCs w:val="15"/>
                <w:color w:val="52BBC1"/>
              </w:rPr>
              <w:t>•</w:t>
            </w:r>
          </w:p>
        </w:tc>
        <w:tc>
          <w:tcPr>
            <w:tcW w:w="2580" w:type="dxa"/>
            <w:vAlign w:val="bottom"/>
            <w:tcBorders>
              <w:right w:val="single" w:sz="8" w:color="52BBC1"/>
            </w:tcBorders>
          </w:tcPr>
          <w:p>
            <w:pPr>
              <w:ind w:left="60"/>
              <w:spacing w:after="0"/>
              <w:rPr>
                <w:sz w:val="20"/>
                <w:szCs w:val="20"/>
                <w:color w:val="auto"/>
              </w:rPr>
            </w:pPr>
            <w:r>
              <w:rPr>
                <w:rFonts w:ascii="Arial" w:cs="Arial" w:eastAsia="Arial" w:hAnsi="Arial"/>
                <w:sz w:val="15"/>
                <w:szCs w:val="15"/>
                <w:color w:val="auto"/>
              </w:rPr>
              <w:t>Charles Schwab Corporation</w:t>
            </w:r>
          </w:p>
        </w:tc>
        <w:tc>
          <w:tcPr>
            <w:tcW w:w="260" w:type="dxa"/>
            <w:vAlign w:val="bottom"/>
          </w:tcPr>
          <w:p>
            <w:pPr>
              <w:ind w:left="120"/>
              <w:spacing w:after="0"/>
              <w:rPr>
                <w:sz w:val="20"/>
                <w:szCs w:val="20"/>
                <w:color w:val="auto"/>
              </w:rPr>
            </w:pPr>
            <w:r>
              <w:rPr>
                <w:rFonts w:ascii="Arial" w:cs="Arial" w:eastAsia="Arial" w:hAnsi="Arial"/>
                <w:sz w:val="15"/>
                <w:szCs w:val="15"/>
                <w:color w:val="52BBC1"/>
              </w:rPr>
              <w:t>•</w:t>
            </w:r>
          </w:p>
        </w:tc>
        <w:tc>
          <w:tcPr>
            <w:tcW w:w="2440" w:type="dxa"/>
            <w:vAlign w:val="bottom"/>
            <w:tcBorders>
              <w:right w:val="single" w:sz="8" w:color="52BBC1"/>
            </w:tcBorders>
          </w:tcPr>
          <w:p>
            <w:pPr>
              <w:ind w:left="80"/>
              <w:spacing w:after="0"/>
              <w:rPr>
                <w:sz w:val="20"/>
                <w:szCs w:val="20"/>
                <w:color w:val="auto"/>
              </w:rPr>
            </w:pPr>
            <w:r>
              <w:rPr>
                <w:rFonts w:ascii="Arial" w:cs="Arial" w:eastAsia="Arial" w:hAnsi="Arial"/>
                <w:sz w:val="15"/>
                <w:szCs w:val="15"/>
                <w:color w:val="auto"/>
              </w:rPr>
              <w:t>Northern Trust</w:t>
            </w:r>
          </w:p>
        </w:tc>
        <w:tc>
          <w:tcPr>
            <w:tcW w:w="2900" w:type="dxa"/>
            <w:vAlign w:val="bottom"/>
            <w:gridSpan w:val="2"/>
          </w:tcPr>
          <w:p>
            <w:pPr>
              <w:ind w:left="300"/>
              <w:spacing w:after="0"/>
              <w:rPr>
                <w:sz w:val="20"/>
                <w:szCs w:val="20"/>
                <w:color w:val="auto"/>
              </w:rPr>
            </w:pPr>
            <w:r>
              <w:rPr>
                <w:rFonts w:ascii="Arial" w:cs="Arial" w:eastAsia="Arial" w:hAnsi="Arial"/>
                <w:sz w:val="15"/>
                <w:szCs w:val="15"/>
                <w:color w:val="52BBC1"/>
              </w:rPr>
              <w:t xml:space="preserve">—  </w:t>
            </w:r>
            <w:r>
              <w:rPr>
                <w:rFonts w:ascii="Arial" w:cs="Arial" w:eastAsia="Arial" w:hAnsi="Arial"/>
                <w:sz w:val="15"/>
                <w:szCs w:val="15"/>
                <w:color w:val="000000"/>
              </w:rPr>
              <w:t>J.P. Morgan Asset Management</w:t>
            </w:r>
          </w:p>
        </w:tc>
      </w:tr>
      <w:tr>
        <w:trPr>
          <w:trHeight w:val="227"/>
        </w:trPr>
        <w:tc>
          <w:tcPr>
            <w:tcW w:w="260" w:type="dxa"/>
            <w:vAlign w:val="bottom"/>
          </w:tcPr>
          <w:p>
            <w:pPr>
              <w:ind w:left="120"/>
              <w:spacing w:after="0"/>
              <w:rPr>
                <w:sz w:val="20"/>
                <w:szCs w:val="20"/>
                <w:color w:val="auto"/>
              </w:rPr>
            </w:pPr>
            <w:r>
              <w:rPr>
                <w:rFonts w:ascii="Arial" w:cs="Arial" w:eastAsia="Arial" w:hAnsi="Arial"/>
                <w:sz w:val="15"/>
                <w:szCs w:val="15"/>
                <w:color w:val="52BBC1"/>
              </w:rPr>
              <w:t>•</w:t>
            </w:r>
          </w:p>
        </w:tc>
        <w:tc>
          <w:tcPr>
            <w:tcW w:w="2580" w:type="dxa"/>
            <w:vAlign w:val="bottom"/>
            <w:tcBorders>
              <w:right w:val="single" w:sz="8" w:color="52BBC1"/>
            </w:tcBorders>
          </w:tcPr>
          <w:p>
            <w:pPr>
              <w:ind w:left="80"/>
              <w:spacing w:after="0"/>
              <w:rPr>
                <w:sz w:val="20"/>
                <w:szCs w:val="20"/>
                <w:color w:val="auto"/>
              </w:rPr>
            </w:pPr>
            <w:r>
              <w:rPr>
                <w:rFonts w:ascii="Arial" w:cs="Arial" w:eastAsia="Arial" w:hAnsi="Arial"/>
                <w:sz w:val="15"/>
                <w:szCs w:val="15"/>
                <w:color w:val="auto"/>
              </w:rPr>
              <w:t>Ameriprise Financial, Inc.</w:t>
            </w:r>
          </w:p>
        </w:tc>
        <w:tc>
          <w:tcPr>
            <w:tcW w:w="220" w:type="dxa"/>
            <w:vAlign w:val="bottom"/>
          </w:tcPr>
          <w:p>
            <w:pPr>
              <w:ind w:left="100"/>
              <w:spacing w:after="0"/>
              <w:rPr>
                <w:sz w:val="20"/>
                <w:szCs w:val="20"/>
                <w:color w:val="auto"/>
              </w:rPr>
            </w:pPr>
            <w:r>
              <w:rPr>
                <w:rFonts w:ascii="Arial" w:cs="Arial" w:eastAsia="Arial" w:hAnsi="Arial"/>
                <w:sz w:val="15"/>
                <w:szCs w:val="15"/>
                <w:color w:val="52BBC1"/>
              </w:rPr>
              <w:t>•</w:t>
            </w:r>
          </w:p>
        </w:tc>
        <w:tc>
          <w:tcPr>
            <w:tcW w:w="2580" w:type="dxa"/>
            <w:vAlign w:val="bottom"/>
            <w:tcBorders>
              <w:right w:val="single" w:sz="8" w:color="52BBC1"/>
            </w:tcBorders>
          </w:tcPr>
          <w:p>
            <w:pPr>
              <w:ind w:left="60"/>
              <w:spacing w:after="0"/>
              <w:rPr>
                <w:sz w:val="20"/>
                <w:szCs w:val="20"/>
                <w:color w:val="auto"/>
              </w:rPr>
            </w:pPr>
            <w:r>
              <w:rPr>
                <w:rFonts w:ascii="Arial" w:cs="Arial" w:eastAsia="Arial" w:hAnsi="Arial"/>
                <w:sz w:val="15"/>
                <w:szCs w:val="15"/>
                <w:color w:val="auto"/>
              </w:rPr>
              <w:t>Franklin Resources, Inc.</w:t>
            </w:r>
          </w:p>
        </w:tc>
        <w:tc>
          <w:tcPr>
            <w:tcW w:w="260" w:type="dxa"/>
            <w:vAlign w:val="bottom"/>
          </w:tcPr>
          <w:p>
            <w:pPr>
              <w:ind w:left="120"/>
              <w:spacing w:after="0"/>
              <w:rPr>
                <w:sz w:val="20"/>
                <w:szCs w:val="20"/>
                <w:color w:val="auto"/>
              </w:rPr>
            </w:pPr>
            <w:r>
              <w:rPr>
                <w:rFonts w:ascii="Arial" w:cs="Arial" w:eastAsia="Arial" w:hAnsi="Arial"/>
                <w:sz w:val="15"/>
                <w:szCs w:val="15"/>
                <w:color w:val="52BBC1"/>
              </w:rPr>
              <w:t>•</w:t>
            </w:r>
          </w:p>
        </w:tc>
        <w:tc>
          <w:tcPr>
            <w:tcW w:w="2440" w:type="dxa"/>
            <w:vAlign w:val="bottom"/>
            <w:tcBorders>
              <w:right w:val="single" w:sz="8" w:color="52BBC1"/>
            </w:tcBorders>
          </w:tcPr>
          <w:p>
            <w:pPr>
              <w:ind w:left="80"/>
              <w:spacing w:after="0"/>
              <w:rPr>
                <w:sz w:val="20"/>
                <w:szCs w:val="20"/>
                <w:color w:val="auto"/>
              </w:rPr>
            </w:pPr>
            <w:r>
              <w:rPr>
                <w:rFonts w:ascii="Arial" w:cs="Arial" w:eastAsia="Arial" w:hAnsi="Arial"/>
                <w:sz w:val="15"/>
                <w:szCs w:val="15"/>
                <w:color w:val="auto"/>
              </w:rPr>
              <w:t>TIAA</w:t>
            </w:r>
          </w:p>
        </w:tc>
        <w:tc>
          <w:tcPr>
            <w:tcW w:w="520" w:type="dxa"/>
            <w:vAlign w:val="bottom"/>
          </w:tcPr>
          <w:p>
            <w:pPr>
              <w:ind w:left="300"/>
              <w:spacing w:after="0"/>
              <w:rPr>
                <w:sz w:val="20"/>
                <w:szCs w:val="20"/>
                <w:color w:val="auto"/>
              </w:rPr>
            </w:pPr>
            <w:r>
              <w:rPr>
                <w:rFonts w:ascii="Arial" w:cs="Arial" w:eastAsia="Arial" w:hAnsi="Arial"/>
                <w:sz w:val="15"/>
                <w:szCs w:val="15"/>
                <w:color w:val="52BBC1"/>
              </w:rPr>
              <w:t>—</w:t>
            </w:r>
          </w:p>
        </w:tc>
        <w:tc>
          <w:tcPr>
            <w:tcW w:w="2380" w:type="dxa"/>
            <w:vAlign w:val="bottom"/>
          </w:tcPr>
          <w:p>
            <w:pPr>
              <w:ind w:left="100"/>
              <w:spacing w:after="0"/>
              <w:rPr>
                <w:sz w:val="20"/>
                <w:szCs w:val="20"/>
                <w:color w:val="auto"/>
              </w:rPr>
            </w:pPr>
            <w:r>
              <w:rPr>
                <w:rFonts w:ascii="Arial" w:cs="Arial" w:eastAsia="Arial" w:hAnsi="Arial"/>
                <w:sz w:val="15"/>
                <w:szCs w:val="15"/>
                <w:color w:val="auto"/>
              </w:rPr>
              <w:t>Morgan Stanley Asset</w:t>
            </w:r>
          </w:p>
        </w:tc>
      </w:tr>
      <w:tr>
        <w:trPr>
          <w:trHeight w:val="198"/>
        </w:trPr>
        <w:tc>
          <w:tcPr>
            <w:tcW w:w="260" w:type="dxa"/>
            <w:vAlign w:val="bottom"/>
          </w:tcPr>
          <w:p>
            <w:pPr>
              <w:spacing w:after="0"/>
              <w:rPr>
                <w:sz w:val="17"/>
                <w:szCs w:val="17"/>
                <w:color w:val="auto"/>
              </w:rPr>
            </w:pPr>
          </w:p>
        </w:tc>
        <w:tc>
          <w:tcPr>
            <w:tcW w:w="2580" w:type="dxa"/>
            <w:vAlign w:val="bottom"/>
            <w:tcBorders>
              <w:right w:val="single" w:sz="8" w:color="52BBC1"/>
            </w:tcBorders>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tcBorders>
              <w:right w:val="single" w:sz="8" w:color="52BBC1"/>
            </w:tcBorders>
          </w:tcPr>
          <w:p>
            <w:pPr>
              <w:spacing w:after="0"/>
              <w:rPr>
                <w:sz w:val="17"/>
                <w:szCs w:val="17"/>
                <w:color w:val="auto"/>
              </w:rPr>
            </w:pPr>
          </w:p>
        </w:tc>
        <w:tc>
          <w:tcPr>
            <w:tcW w:w="260" w:type="dxa"/>
            <w:vAlign w:val="bottom"/>
          </w:tcPr>
          <w:p>
            <w:pPr>
              <w:spacing w:after="0"/>
              <w:rPr>
                <w:sz w:val="17"/>
                <w:szCs w:val="17"/>
                <w:color w:val="auto"/>
              </w:rPr>
            </w:pPr>
          </w:p>
        </w:tc>
        <w:tc>
          <w:tcPr>
            <w:tcW w:w="2440" w:type="dxa"/>
            <w:vAlign w:val="bottom"/>
            <w:tcBorders>
              <w:right w:val="single" w:sz="8" w:color="52BBC1"/>
            </w:tcBorders>
          </w:tcPr>
          <w:p>
            <w:pPr>
              <w:spacing w:after="0"/>
              <w:rPr>
                <w:sz w:val="17"/>
                <w:szCs w:val="17"/>
                <w:color w:val="auto"/>
              </w:rPr>
            </w:pPr>
          </w:p>
        </w:tc>
        <w:tc>
          <w:tcPr>
            <w:tcW w:w="520" w:type="dxa"/>
            <w:vAlign w:val="bottom"/>
          </w:tcPr>
          <w:p>
            <w:pPr>
              <w:spacing w:after="0"/>
              <w:rPr>
                <w:sz w:val="17"/>
                <w:szCs w:val="17"/>
                <w:color w:val="auto"/>
              </w:rPr>
            </w:pPr>
          </w:p>
        </w:tc>
        <w:tc>
          <w:tcPr>
            <w:tcW w:w="2380" w:type="dxa"/>
            <w:vAlign w:val="bottom"/>
          </w:tcPr>
          <w:p>
            <w:pPr>
              <w:ind w:left="80"/>
              <w:spacing w:after="0"/>
              <w:rPr>
                <w:sz w:val="20"/>
                <w:szCs w:val="20"/>
                <w:color w:val="auto"/>
              </w:rPr>
            </w:pPr>
            <w:r>
              <w:rPr>
                <w:rFonts w:ascii="Arial" w:cs="Arial" w:eastAsia="Arial" w:hAnsi="Arial"/>
                <w:sz w:val="15"/>
                <w:szCs w:val="15"/>
                <w:color w:val="auto"/>
              </w:rPr>
              <w:t>Management</w:t>
            </w:r>
          </w:p>
        </w:tc>
      </w:tr>
      <w:tr>
        <w:trPr>
          <w:trHeight w:val="215"/>
        </w:trPr>
        <w:tc>
          <w:tcPr>
            <w:tcW w:w="260" w:type="dxa"/>
            <w:vAlign w:val="bottom"/>
          </w:tcPr>
          <w:p>
            <w:pPr>
              <w:spacing w:after="0"/>
              <w:rPr>
                <w:sz w:val="18"/>
                <w:szCs w:val="18"/>
                <w:color w:val="auto"/>
              </w:rPr>
            </w:pPr>
          </w:p>
        </w:tc>
        <w:tc>
          <w:tcPr>
            <w:tcW w:w="2580" w:type="dxa"/>
            <w:vAlign w:val="bottom"/>
            <w:tcBorders>
              <w:right w:val="single" w:sz="8" w:color="52BBC1"/>
            </w:tcBorders>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Borders>
              <w:right w:val="single" w:sz="8" w:color="52BBC1"/>
            </w:tcBorders>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tcBorders>
              <w:right w:val="single" w:sz="8" w:color="52BBC1"/>
            </w:tcBorders>
          </w:tcPr>
          <w:p>
            <w:pPr>
              <w:spacing w:after="0"/>
              <w:rPr>
                <w:sz w:val="18"/>
                <w:szCs w:val="18"/>
                <w:color w:val="auto"/>
              </w:rPr>
            </w:pPr>
          </w:p>
        </w:tc>
        <w:tc>
          <w:tcPr>
            <w:tcW w:w="520" w:type="dxa"/>
            <w:vAlign w:val="bottom"/>
          </w:tcPr>
          <w:p>
            <w:pPr>
              <w:ind w:left="300"/>
              <w:spacing w:after="0"/>
              <w:rPr>
                <w:sz w:val="20"/>
                <w:szCs w:val="20"/>
                <w:color w:val="auto"/>
              </w:rPr>
            </w:pPr>
            <w:r>
              <w:rPr>
                <w:rFonts w:ascii="Arial" w:cs="Arial" w:eastAsia="Arial" w:hAnsi="Arial"/>
                <w:sz w:val="15"/>
                <w:szCs w:val="15"/>
                <w:color w:val="52BBC1"/>
              </w:rPr>
              <w:t>—</w:t>
            </w:r>
          </w:p>
        </w:tc>
        <w:tc>
          <w:tcPr>
            <w:tcW w:w="2380" w:type="dxa"/>
            <w:vAlign w:val="bottom"/>
          </w:tcPr>
          <w:p>
            <w:pPr>
              <w:ind w:left="100"/>
              <w:spacing w:after="0"/>
              <w:rPr>
                <w:sz w:val="20"/>
                <w:szCs w:val="20"/>
                <w:color w:val="auto"/>
              </w:rPr>
            </w:pPr>
            <w:r>
              <w:rPr>
                <w:rFonts w:ascii="Arial" w:cs="Arial" w:eastAsia="Arial" w:hAnsi="Arial"/>
                <w:sz w:val="15"/>
                <w:szCs w:val="15"/>
                <w:color w:val="auto"/>
              </w:rPr>
              <w:t>Goldman Sachs Asset</w:t>
            </w:r>
          </w:p>
        </w:tc>
      </w:tr>
      <w:tr>
        <w:trPr>
          <w:trHeight w:val="198"/>
        </w:trPr>
        <w:tc>
          <w:tcPr>
            <w:tcW w:w="260" w:type="dxa"/>
            <w:vAlign w:val="bottom"/>
          </w:tcPr>
          <w:p>
            <w:pPr>
              <w:spacing w:after="0"/>
              <w:rPr>
                <w:sz w:val="17"/>
                <w:szCs w:val="17"/>
                <w:color w:val="auto"/>
              </w:rPr>
            </w:pPr>
          </w:p>
        </w:tc>
        <w:tc>
          <w:tcPr>
            <w:tcW w:w="2580" w:type="dxa"/>
            <w:vAlign w:val="bottom"/>
            <w:tcBorders>
              <w:right w:val="single" w:sz="8" w:color="52BBC1"/>
            </w:tcBorders>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tcBorders>
              <w:right w:val="single" w:sz="8" w:color="52BBC1"/>
            </w:tcBorders>
          </w:tcPr>
          <w:p>
            <w:pPr>
              <w:spacing w:after="0"/>
              <w:rPr>
                <w:sz w:val="17"/>
                <w:szCs w:val="17"/>
                <w:color w:val="auto"/>
              </w:rPr>
            </w:pPr>
          </w:p>
        </w:tc>
        <w:tc>
          <w:tcPr>
            <w:tcW w:w="260" w:type="dxa"/>
            <w:vAlign w:val="bottom"/>
          </w:tcPr>
          <w:p>
            <w:pPr>
              <w:spacing w:after="0"/>
              <w:rPr>
                <w:sz w:val="17"/>
                <w:szCs w:val="17"/>
                <w:color w:val="auto"/>
              </w:rPr>
            </w:pPr>
          </w:p>
        </w:tc>
        <w:tc>
          <w:tcPr>
            <w:tcW w:w="2440" w:type="dxa"/>
            <w:vAlign w:val="bottom"/>
            <w:tcBorders>
              <w:right w:val="single" w:sz="8" w:color="52BBC1"/>
            </w:tcBorders>
          </w:tcPr>
          <w:p>
            <w:pPr>
              <w:spacing w:after="0"/>
              <w:rPr>
                <w:sz w:val="17"/>
                <w:szCs w:val="17"/>
                <w:color w:val="auto"/>
              </w:rPr>
            </w:pPr>
          </w:p>
        </w:tc>
        <w:tc>
          <w:tcPr>
            <w:tcW w:w="520" w:type="dxa"/>
            <w:vAlign w:val="bottom"/>
          </w:tcPr>
          <w:p>
            <w:pPr>
              <w:spacing w:after="0"/>
              <w:rPr>
                <w:sz w:val="17"/>
                <w:szCs w:val="17"/>
                <w:color w:val="auto"/>
              </w:rPr>
            </w:pPr>
          </w:p>
        </w:tc>
        <w:tc>
          <w:tcPr>
            <w:tcW w:w="2380" w:type="dxa"/>
            <w:vAlign w:val="bottom"/>
          </w:tcPr>
          <w:p>
            <w:pPr>
              <w:ind w:left="80"/>
              <w:spacing w:after="0"/>
              <w:rPr>
                <w:sz w:val="20"/>
                <w:szCs w:val="20"/>
                <w:color w:val="auto"/>
              </w:rPr>
            </w:pPr>
            <w:r>
              <w:rPr>
                <w:rFonts w:ascii="Arial" w:cs="Arial" w:eastAsia="Arial" w:hAnsi="Arial"/>
                <w:sz w:val="15"/>
                <w:szCs w:val="15"/>
                <w:color w:val="auto"/>
              </w:rPr>
              <w:t>Management</w:t>
            </w:r>
          </w:p>
        </w:tc>
      </w:tr>
      <w:tr>
        <w:trPr>
          <w:trHeight w:val="52"/>
        </w:trPr>
        <w:tc>
          <w:tcPr>
            <w:tcW w:w="260" w:type="dxa"/>
            <w:vAlign w:val="bottom"/>
          </w:tcPr>
          <w:p>
            <w:pPr>
              <w:spacing w:after="0"/>
              <w:rPr>
                <w:sz w:val="4"/>
                <w:szCs w:val="4"/>
                <w:color w:val="auto"/>
              </w:rPr>
            </w:pPr>
          </w:p>
        </w:tc>
        <w:tc>
          <w:tcPr>
            <w:tcW w:w="2580" w:type="dxa"/>
            <w:vAlign w:val="bottom"/>
            <w:tcBorders>
              <w:right w:val="single" w:sz="8" w:color="52BBC1"/>
            </w:tcBorders>
          </w:tcPr>
          <w:p>
            <w:pPr>
              <w:spacing w:after="0"/>
              <w:rPr>
                <w:sz w:val="4"/>
                <w:szCs w:val="4"/>
                <w:color w:val="auto"/>
              </w:rPr>
            </w:pPr>
          </w:p>
        </w:tc>
        <w:tc>
          <w:tcPr>
            <w:tcW w:w="220" w:type="dxa"/>
            <w:vAlign w:val="bottom"/>
          </w:tcPr>
          <w:p>
            <w:pPr>
              <w:spacing w:after="0"/>
              <w:rPr>
                <w:sz w:val="4"/>
                <w:szCs w:val="4"/>
                <w:color w:val="auto"/>
              </w:rPr>
            </w:pPr>
          </w:p>
        </w:tc>
        <w:tc>
          <w:tcPr>
            <w:tcW w:w="2580" w:type="dxa"/>
            <w:vAlign w:val="bottom"/>
            <w:tcBorders>
              <w:right w:val="single" w:sz="8" w:color="52BBC1"/>
            </w:tcBorders>
          </w:tcPr>
          <w:p>
            <w:pPr>
              <w:spacing w:after="0"/>
              <w:rPr>
                <w:sz w:val="4"/>
                <w:szCs w:val="4"/>
                <w:color w:val="auto"/>
              </w:rPr>
            </w:pPr>
          </w:p>
        </w:tc>
        <w:tc>
          <w:tcPr>
            <w:tcW w:w="260" w:type="dxa"/>
            <w:vAlign w:val="bottom"/>
          </w:tcPr>
          <w:p>
            <w:pPr>
              <w:spacing w:after="0"/>
              <w:rPr>
                <w:sz w:val="4"/>
                <w:szCs w:val="4"/>
                <w:color w:val="auto"/>
              </w:rPr>
            </w:pPr>
          </w:p>
        </w:tc>
        <w:tc>
          <w:tcPr>
            <w:tcW w:w="2440" w:type="dxa"/>
            <w:vAlign w:val="bottom"/>
            <w:tcBorders>
              <w:right w:val="single" w:sz="8" w:color="52BBC1"/>
            </w:tcBorders>
          </w:tcPr>
          <w:p>
            <w:pPr>
              <w:spacing w:after="0"/>
              <w:rPr>
                <w:sz w:val="4"/>
                <w:szCs w:val="4"/>
                <w:color w:val="auto"/>
              </w:rPr>
            </w:pPr>
          </w:p>
        </w:tc>
        <w:tc>
          <w:tcPr>
            <w:tcW w:w="520" w:type="dxa"/>
            <w:vAlign w:val="bottom"/>
          </w:tcPr>
          <w:p>
            <w:pPr>
              <w:spacing w:after="0"/>
              <w:rPr>
                <w:sz w:val="4"/>
                <w:szCs w:val="4"/>
                <w:color w:val="auto"/>
              </w:rPr>
            </w:pPr>
          </w:p>
        </w:tc>
        <w:tc>
          <w:tcPr>
            <w:tcW w:w="2380" w:type="dxa"/>
            <w:vAlign w:val="bottom"/>
          </w:tcPr>
          <w:p>
            <w:pPr>
              <w:spacing w:after="0"/>
              <w:rPr>
                <w:sz w:val="4"/>
                <w:szCs w:val="4"/>
                <w:color w:val="auto"/>
              </w:rPr>
            </w:pPr>
          </w:p>
        </w:tc>
      </w:tr>
    </w:tbl>
    <w:p>
      <w:pPr>
        <w:spacing w:after="0" w:line="188" w:lineRule="exact"/>
        <w:rPr>
          <w:sz w:val="20"/>
          <w:szCs w:val="20"/>
          <w:color w:val="auto"/>
        </w:rPr>
      </w:pPr>
    </w:p>
    <w:p>
      <w:pPr>
        <w:ind w:right="20"/>
        <w:spacing w:after="0" w:line="248" w:lineRule="auto"/>
        <w:rPr>
          <w:sz w:val="20"/>
          <w:szCs w:val="20"/>
          <w:color w:val="auto"/>
        </w:rPr>
      </w:pPr>
      <w:r>
        <w:rPr>
          <w:rFonts w:ascii="Arial" w:cs="Arial" w:eastAsia="Arial" w:hAnsi="Arial"/>
          <w:sz w:val="15"/>
          <w:szCs w:val="15"/>
          <w:color w:val="auto"/>
        </w:rPr>
        <w:t>The companies making up the peer group listed above were selected because they are asset managers, as well as comparable financial services and brokerage companies, whose executive compensation information is publicly available. The CEO Only firms listed above were selected because they are large asset management subsidiaries of publicly traded firms with significant AUM. The Compensation Committee will continue to review the composition of this peer group to analyze our executive compensation program and determine whether any changes should be made in the future. In addition to specific information on these companies, the Compensation Committee reviewed aggregated summary compensation data based on information from surveys that include some of the peer companies listed above as well as other public and nonpublic companies with which we compete for executive talent, including the Capital Group Companies Inc., Fidelity Investments, Goldman Sachs Asset Management, Janus Henderson Investors, J.P. Morgan Asset Management, MFS Investment Management, Pacific Investment Management Company LLC, The Vanguard Group Inc., Wellington Management Company LLP, and Western Asset Management Co.</w:t>
      </w:r>
    </w:p>
    <w:p>
      <w:pPr>
        <w:spacing w:after="0" w:line="16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3"/>
          <w:szCs w:val="13"/>
          <w:b w:val="1"/>
          <w:bCs w:val="1"/>
          <w:color w:val="00244F"/>
        </w:rPr>
        <w:t>62</w:t>
      </w:r>
      <w:r>
        <w:rPr>
          <w:sz w:val="20"/>
          <w:szCs w:val="20"/>
          <w:color w:val="auto"/>
        </w:rPr>
        <w:tab/>
      </w:r>
      <w:r>
        <w:rPr>
          <w:rFonts w:ascii="Times New Roman" w:cs="Times New Roman" w:eastAsia="Times New Roman" w:hAnsi="Times New Roman"/>
          <w:sz w:val="13"/>
          <w:szCs w:val="13"/>
          <w:b w:val="1"/>
          <w:bCs w:val="1"/>
          <w:color w:val="00244F"/>
        </w:rPr>
        <w:t>T. Rowe Price Group</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u w:val="single" w:color="auto"/>
          <w:color w:val="0000EE"/>
        </w:rPr>
        <w:t>Table of Contents</w:t>
      </w:r>
    </w:p>
    <w:p>
      <w:pPr>
        <w:spacing w:after="0" w:line="396"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In light of our overall performance in 2023, the Compensation Committee believes that the compensation paid to our CEO and President and other NEOs is reasonable in relation to the compensation paid by our peer companies both on an absolute basis and in comparison to relevant financial performance metrics.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44F"/>
        </w:rPr>
        <w:t>Risk Management and the Alignment of Management with our Stockholders</w:t>
      </w:r>
    </w:p>
    <w:p>
      <w:pPr>
        <w:spacing w:after="0" w:line="212" w:lineRule="exact"/>
        <w:rPr>
          <w:sz w:val="20"/>
          <w:szCs w:val="20"/>
          <w:color w:val="auto"/>
        </w:rPr>
      </w:pPr>
    </w:p>
    <w:p>
      <w:pPr>
        <w:ind w:right="80"/>
        <w:spacing w:after="0" w:line="252" w:lineRule="auto"/>
        <w:rPr>
          <w:sz w:val="20"/>
          <w:szCs w:val="20"/>
          <w:color w:val="auto"/>
        </w:rPr>
      </w:pPr>
      <w:r>
        <w:rPr>
          <w:rFonts w:ascii="Arial" w:cs="Arial" w:eastAsia="Arial" w:hAnsi="Arial"/>
          <w:sz w:val="15"/>
          <w:szCs w:val="15"/>
          <w:color w:val="auto"/>
        </w:rPr>
        <w:t>The Compensation Committee considers whether the executive compensation program rewards reasonable risk-taking and if incentive opportunities achieve the proper balance between rewarding employees and managing risk and protecting stockholder returns. While the design of our executive compensation program is primarily performance-based, we believe that it does not encourage inappropriate risk-taking. Ongoing and active discussions with management regarding progress on short-term and long-term goals enables informed decisions while avoiding the risks that can be associated with managing short-term results to achieve predetermined formulaic outcomes.</w:t>
      </w:r>
    </w:p>
    <w:p>
      <w:pPr>
        <w:spacing w:after="0" w:line="169" w:lineRule="exact"/>
        <w:rPr>
          <w:sz w:val="20"/>
          <w:szCs w:val="20"/>
          <w:color w:val="auto"/>
        </w:rPr>
      </w:pPr>
    </w:p>
    <w:p>
      <w:pPr>
        <w:jc w:val="both"/>
        <w:ind w:right="60"/>
        <w:spacing w:after="0" w:line="249" w:lineRule="auto"/>
        <w:rPr>
          <w:sz w:val="20"/>
          <w:szCs w:val="20"/>
          <w:color w:val="auto"/>
        </w:rPr>
      </w:pPr>
      <w:r>
        <w:rPr>
          <w:rFonts w:ascii="Arial" w:cs="Arial" w:eastAsia="Arial" w:hAnsi="Arial"/>
          <w:sz w:val="15"/>
          <w:szCs w:val="15"/>
          <w:color w:val="auto"/>
        </w:rPr>
        <w:t>Our compensation programs are designed to provide executive officers with appropriate incentives to create long-term value for stockholders while taking thoughtful and prudent risks to grow value over time. Our NEOs' salaries are fixed in amount, and the U.S. maximum base salary has not increased since 2005. In addition, the majority of our NEO compensation is variable and performance-based. Annual incentive compensation is linked to overall corporate performance along with individual goals.</w:t>
      </w:r>
    </w:p>
    <w:p>
      <w:pPr>
        <w:spacing w:after="0" w:line="2" w:lineRule="exact"/>
        <w:rPr>
          <w:sz w:val="20"/>
          <w:szCs w:val="20"/>
          <w:color w:val="auto"/>
        </w:rPr>
      </w:pPr>
    </w:p>
    <w:p>
      <w:pPr>
        <w:ind w:right="120"/>
        <w:spacing w:after="0" w:line="246" w:lineRule="auto"/>
        <w:rPr>
          <w:sz w:val="20"/>
          <w:szCs w:val="20"/>
          <w:color w:val="auto"/>
        </w:rPr>
      </w:pPr>
      <w:r>
        <w:rPr>
          <w:rFonts w:ascii="Arial" w:cs="Arial" w:eastAsia="Arial" w:hAnsi="Arial"/>
          <w:sz w:val="15"/>
          <w:szCs w:val="15"/>
          <w:color w:val="auto"/>
        </w:rPr>
        <w:t>Further, a substantial portion of our NEOs' compensation is in the form of long-term equity awards that further align the NEOs' interests with those of our stockholders. Since the long-term equity awards are not earned in one year and vest only upon the achievement of certain performance goals and continued employment at the Company, we believe NEOs are discouraged from excessive or inappropriate risk-taking. We believe that our equity program, our stock ownership guidelines, and the significant stock ownership of our most tenured NEOs create important links between the financial interests of our executives and long-term performance and mitigate any incentive to disregard risks in return for potential short-term gains. To further ensure the alignment of compensation with long-term performance, we have adopted a policy for the clawback of incentive compensation from NEOs in the event an NEO's acts or omissions contribute to a need for a restatement of our financial results.</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5"/>
          <w:szCs w:val="15"/>
          <w:color w:val="auto"/>
        </w:rPr>
        <w:t>In addition, we have a robust risk management program designed to identify, evaluate, and control risks. Through this program, we take a Company-wide view of risks and have a network of systems and oversight to ensure that risks are not viewed in isolation and are appropriately controlled and reported, including a system of reporting to the CEO, the Audit Committee, and the full Board. We believe that our compensation and stock ownership programs work effectively within this risk management program.</w:t>
      </w:r>
    </w:p>
    <w:p>
      <w:pPr>
        <w:spacing w:after="0" w:line="167" w:lineRule="exact"/>
        <w:rPr>
          <w:sz w:val="20"/>
          <w:szCs w:val="20"/>
          <w:color w:val="auto"/>
        </w:rPr>
      </w:pPr>
    </w:p>
    <w:p>
      <w:pPr>
        <w:ind w:right="640"/>
        <w:spacing w:after="0" w:line="278" w:lineRule="auto"/>
        <w:rPr>
          <w:sz w:val="20"/>
          <w:szCs w:val="20"/>
          <w:color w:val="auto"/>
        </w:rPr>
      </w:pPr>
      <w:r>
        <w:rPr>
          <w:rFonts w:ascii="Arial" w:cs="Arial" w:eastAsia="Arial" w:hAnsi="Arial"/>
          <w:sz w:val="15"/>
          <w:szCs w:val="15"/>
          <w:color w:val="auto"/>
        </w:rPr>
        <w:t>We have considered the risks created by our compensation policies and practices, including mitigating factors, and, based on this review, do not believe that our compensation policies and practices create risks that are reasonably likely to have a material adverse effect on the Company.</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244F"/>
        </w:rPr>
        <w:t>Report of the Executive Compensation and Management Development Committee</w:t>
      </w:r>
    </w:p>
    <w:p>
      <w:pPr>
        <w:spacing w:after="0" w:line="225"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As part of our responsibilities, we have reviewed and discussed with management the Compensation Discussion and Analysis required by Item 402(b) of Regulation S-K, which begins on page 41 of this proxy statement. Based on such review and discussions, we have recommended to the Board the inclusion of the Compensation Discussion and Analysis in this proxy statement and in the Company's Annual Report on Form 10-K for the year ended December 31, 2023.</w:t>
      </w:r>
    </w:p>
    <w:p>
      <w:pPr>
        <w:spacing w:after="0" w:line="162" w:lineRule="exact"/>
        <w:rPr>
          <w:sz w:val="20"/>
          <w:szCs w:val="20"/>
          <w:color w:val="auto"/>
        </w:rPr>
      </w:pPr>
    </w:p>
    <w:p>
      <w:pPr>
        <w:ind w:left="8440"/>
        <w:spacing w:after="0"/>
        <w:rPr>
          <w:sz w:val="20"/>
          <w:szCs w:val="20"/>
          <w:color w:val="auto"/>
        </w:rPr>
      </w:pPr>
      <w:r>
        <w:rPr>
          <w:rFonts w:ascii="Arial" w:cs="Arial" w:eastAsia="Arial" w:hAnsi="Arial"/>
          <w:sz w:val="15"/>
          <w:szCs w:val="15"/>
          <w:color w:val="auto"/>
        </w:rPr>
        <w:t>Robert F. MacLellan, Chair</w:t>
      </w:r>
    </w:p>
    <w:p>
      <w:pPr>
        <w:spacing w:after="0" w:line="16" w:lineRule="exact"/>
        <w:rPr>
          <w:sz w:val="20"/>
          <w:szCs w:val="20"/>
          <w:color w:val="auto"/>
        </w:rPr>
      </w:pPr>
    </w:p>
    <w:p>
      <w:pPr>
        <w:ind w:left="8440"/>
        <w:spacing w:after="0"/>
        <w:rPr>
          <w:sz w:val="20"/>
          <w:szCs w:val="20"/>
          <w:color w:val="auto"/>
        </w:rPr>
      </w:pPr>
      <w:r>
        <w:rPr>
          <w:rFonts w:ascii="Arial" w:cs="Arial" w:eastAsia="Arial" w:hAnsi="Arial"/>
          <w:sz w:val="15"/>
          <w:szCs w:val="15"/>
          <w:color w:val="auto"/>
        </w:rPr>
        <w:t>Mark S. Bartlett</w:t>
      </w:r>
    </w:p>
    <w:p>
      <w:pPr>
        <w:spacing w:after="0" w:line="2" w:lineRule="exact"/>
        <w:rPr>
          <w:sz w:val="20"/>
          <w:szCs w:val="20"/>
          <w:color w:val="auto"/>
        </w:rPr>
      </w:pPr>
    </w:p>
    <w:p>
      <w:pPr>
        <w:ind w:left="8440"/>
        <w:spacing w:after="0"/>
        <w:rPr>
          <w:sz w:val="20"/>
          <w:szCs w:val="20"/>
          <w:color w:val="auto"/>
        </w:rPr>
      </w:pPr>
      <w:r>
        <w:rPr>
          <w:rFonts w:ascii="Arial" w:cs="Arial" w:eastAsia="Arial" w:hAnsi="Arial"/>
          <w:sz w:val="15"/>
          <w:szCs w:val="15"/>
          <w:color w:val="auto"/>
        </w:rPr>
        <w:t>William P. Donnelly</w:t>
      </w:r>
    </w:p>
    <w:p>
      <w:pPr>
        <w:spacing w:after="0" w:line="2" w:lineRule="exact"/>
        <w:rPr>
          <w:sz w:val="20"/>
          <w:szCs w:val="20"/>
          <w:color w:val="auto"/>
        </w:rPr>
      </w:pPr>
    </w:p>
    <w:p>
      <w:pPr>
        <w:ind w:left="8440"/>
        <w:spacing w:after="0"/>
        <w:rPr>
          <w:sz w:val="20"/>
          <w:szCs w:val="20"/>
          <w:color w:val="auto"/>
        </w:rPr>
      </w:pPr>
      <w:r>
        <w:rPr>
          <w:rFonts w:ascii="Arial" w:cs="Arial" w:eastAsia="Arial" w:hAnsi="Arial"/>
          <w:sz w:val="15"/>
          <w:szCs w:val="15"/>
          <w:color w:val="auto"/>
        </w:rPr>
        <w:t>Dina Dublon</w:t>
      </w:r>
    </w:p>
    <w:p>
      <w:pPr>
        <w:spacing w:after="0" w:line="2" w:lineRule="exact"/>
        <w:rPr>
          <w:sz w:val="20"/>
          <w:szCs w:val="20"/>
          <w:color w:val="auto"/>
        </w:rPr>
      </w:pPr>
    </w:p>
    <w:p>
      <w:pPr>
        <w:ind w:left="8440"/>
        <w:spacing w:after="0"/>
        <w:rPr>
          <w:sz w:val="20"/>
          <w:szCs w:val="20"/>
          <w:color w:val="auto"/>
        </w:rPr>
      </w:pPr>
      <w:r>
        <w:rPr>
          <w:rFonts w:ascii="Arial" w:cs="Arial" w:eastAsia="Arial" w:hAnsi="Arial"/>
          <w:sz w:val="15"/>
          <w:szCs w:val="15"/>
          <w:color w:val="auto"/>
        </w:rPr>
        <w:t>Dr. Freeman A. Hrabowski, III</w:t>
      </w:r>
    </w:p>
    <w:p>
      <w:pPr>
        <w:spacing w:after="0" w:line="2" w:lineRule="exact"/>
        <w:rPr>
          <w:sz w:val="20"/>
          <w:szCs w:val="20"/>
          <w:color w:val="auto"/>
        </w:rPr>
      </w:pPr>
    </w:p>
    <w:p>
      <w:pPr>
        <w:ind w:left="8440"/>
        <w:spacing w:after="0"/>
        <w:rPr>
          <w:sz w:val="20"/>
          <w:szCs w:val="20"/>
          <w:color w:val="auto"/>
        </w:rPr>
      </w:pPr>
      <w:r>
        <w:rPr>
          <w:rFonts w:ascii="Arial" w:cs="Arial" w:eastAsia="Arial" w:hAnsi="Arial"/>
          <w:sz w:val="15"/>
          <w:szCs w:val="15"/>
          <w:color w:val="auto"/>
        </w:rPr>
        <w:t>Eileen P. Rominger</w:t>
      </w:r>
    </w:p>
    <w:p>
      <w:pPr>
        <w:spacing w:after="0" w:line="2" w:lineRule="exact"/>
        <w:rPr>
          <w:sz w:val="20"/>
          <w:szCs w:val="20"/>
          <w:color w:val="auto"/>
        </w:rPr>
      </w:pPr>
    </w:p>
    <w:p>
      <w:pPr>
        <w:ind w:left="8440"/>
        <w:spacing w:after="0"/>
        <w:rPr>
          <w:sz w:val="20"/>
          <w:szCs w:val="20"/>
          <w:color w:val="auto"/>
        </w:rPr>
      </w:pPr>
      <w:r>
        <w:rPr>
          <w:rFonts w:ascii="Arial" w:cs="Arial" w:eastAsia="Arial" w:hAnsi="Arial"/>
          <w:sz w:val="15"/>
          <w:szCs w:val="15"/>
          <w:color w:val="auto"/>
        </w:rPr>
        <w:t>Cynthia F. Smith</w:t>
      </w:r>
    </w:p>
    <w:p>
      <w:pPr>
        <w:spacing w:after="0" w:line="2" w:lineRule="exact"/>
        <w:rPr>
          <w:sz w:val="20"/>
          <w:szCs w:val="20"/>
          <w:color w:val="auto"/>
        </w:rPr>
      </w:pPr>
    </w:p>
    <w:p>
      <w:pPr>
        <w:ind w:left="8440"/>
        <w:spacing w:after="0"/>
        <w:rPr>
          <w:sz w:val="20"/>
          <w:szCs w:val="20"/>
          <w:color w:val="auto"/>
        </w:rPr>
      </w:pPr>
      <w:r>
        <w:rPr>
          <w:rFonts w:ascii="Arial" w:cs="Arial" w:eastAsia="Arial" w:hAnsi="Arial"/>
          <w:sz w:val="15"/>
          <w:szCs w:val="15"/>
          <w:color w:val="auto"/>
        </w:rPr>
        <w:t>Robert J. Stevens</w:t>
      </w:r>
    </w:p>
    <w:p>
      <w:pPr>
        <w:spacing w:after="0" w:line="2" w:lineRule="exact"/>
        <w:rPr>
          <w:sz w:val="20"/>
          <w:szCs w:val="20"/>
          <w:color w:val="auto"/>
        </w:rPr>
      </w:pPr>
    </w:p>
    <w:p>
      <w:pPr>
        <w:ind w:left="8440"/>
        <w:spacing w:after="0"/>
        <w:rPr>
          <w:sz w:val="20"/>
          <w:szCs w:val="20"/>
          <w:color w:val="auto"/>
        </w:rPr>
      </w:pPr>
      <w:r>
        <w:rPr>
          <w:rFonts w:ascii="Arial" w:cs="Arial" w:eastAsia="Arial" w:hAnsi="Arial"/>
          <w:sz w:val="15"/>
          <w:szCs w:val="15"/>
          <w:color w:val="auto"/>
        </w:rPr>
        <w:t>Sandra S. Wijnberg</w:t>
      </w:r>
    </w:p>
    <w:p>
      <w:pPr>
        <w:spacing w:after="0" w:line="2" w:lineRule="exact"/>
        <w:rPr>
          <w:sz w:val="20"/>
          <w:szCs w:val="20"/>
          <w:color w:val="auto"/>
        </w:rPr>
      </w:pPr>
    </w:p>
    <w:p>
      <w:pPr>
        <w:ind w:left="8440"/>
        <w:spacing w:after="0"/>
        <w:rPr>
          <w:sz w:val="20"/>
          <w:szCs w:val="20"/>
          <w:color w:val="auto"/>
        </w:rPr>
      </w:pPr>
      <w:r>
        <w:rPr>
          <w:rFonts w:ascii="Arial" w:cs="Arial" w:eastAsia="Arial" w:hAnsi="Arial"/>
          <w:sz w:val="15"/>
          <w:szCs w:val="15"/>
          <w:color w:val="auto"/>
        </w:rPr>
        <w:t>Alan D. Wilson</w:t>
      </w:r>
    </w:p>
    <w:p>
      <w:pPr>
        <w:spacing w:after="0" w:line="178" w:lineRule="exact"/>
        <w:rPr>
          <w:sz w:val="20"/>
          <w:szCs w:val="20"/>
          <w:color w:val="auto"/>
        </w:rPr>
      </w:pPr>
    </w:p>
    <w:p>
      <w:pPr>
        <w:spacing w:after="0"/>
        <w:tabs>
          <w:tab w:leader="none" w:pos="540" w:val="left"/>
          <w:tab w:leader="none" w:pos="9480" w:val="left"/>
          <w:tab w:leader="none" w:pos="11100" w:val="left"/>
        </w:tabs>
        <w:rPr>
          <w:sz w:val="20"/>
          <w:szCs w:val="20"/>
          <w:color w:val="auto"/>
        </w:rPr>
      </w:pPr>
      <w:r>
        <w:rPr>
          <w:rFonts w:ascii="Times New Roman" w:cs="Times New Roman" w:eastAsia="Times New Roman" w:hAnsi="Times New Roman"/>
          <w:sz w:val="13"/>
          <w:szCs w:val="13"/>
          <w:b w:val="1"/>
          <w:bCs w:val="1"/>
          <w:color w:val="auto"/>
        </w:rPr>
        <w:t> </w:t>
      </w:r>
      <w:r>
        <w:rPr>
          <w:sz w:val="20"/>
          <w:szCs w:val="20"/>
          <w:color w:val="auto"/>
        </w:rPr>
        <w:tab/>
      </w:r>
      <w:r>
        <w:rPr>
          <w:rFonts w:ascii="Times New Roman" w:cs="Times New Roman" w:eastAsia="Times New Roman" w:hAnsi="Times New Roman"/>
          <w:sz w:val="13"/>
          <w:szCs w:val="13"/>
          <w:b w:val="1"/>
          <w:bCs w:val="1"/>
          <w:color w:val="auto"/>
        </w:rPr>
        <w:t> </w:t>
      </w:r>
      <w:r>
        <w:rPr>
          <w:sz w:val="20"/>
          <w:szCs w:val="20"/>
          <w:color w:val="auto"/>
        </w:rPr>
        <w:tab/>
      </w:r>
      <w:r>
        <w:rPr>
          <w:rFonts w:ascii="Times New Roman" w:cs="Times New Roman" w:eastAsia="Times New Roman" w:hAnsi="Times New Roman"/>
          <w:sz w:val="13"/>
          <w:szCs w:val="13"/>
          <w:b w:val="1"/>
          <w:bCs w:val="1"/>
          <w:color w:val="auto"/>
        </w:rPr>
        <w:t xml:space="preserve">2024 </w:t>
      </w:r>
      <w:r>
        <w:rPr>
          <w:rFonts w:ascii="Times New Roman" w:cs="Times New Roman" w:eastAsia="Times New Roman" w:hAnsi="Times New Roman"/>
          <w:sz w:val="13"/>
          <w:szCs w:val="13"/>
          <w:color w:val="auto"/>
        </w:rPr>
        <w:t>Proxy Statement</w:t>
      </w:r>
      <w:r>
        <w:rPr>
          <w:sz w:val="20"/>
          <w:szCs w:val="20"/>
          <w:color w:val="auto"/>
        </w:rPr>
        <w:tab/>
      </w:r>
      <w:r>
        <w:rPr>
          <w:rFonts w:ascii="Times New Roman" w:cs="Times New Roman" w:eastAsia="Times New Roman" w:hAnsi="Times New Roman"/>
          <w:sz w:val="12"/>
          <w:szCs w:val="12"/>
          <w:b w:val="1"/>
          <w:bCs w:val="1"/>
          <w:color w:val="00244F"/>
        </w:rPr>
        <w:t>63</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68" w:name="page69"/>
    <w:bookmarkEnd w:id="68"/>
    <w:p>
      <w:pPr>
        <w:spacing w:after="0"/>
        <w:rPr>
          <w:sz w:val="20"/>
          <w:szCs w:val="20"/>
          <w:color w:val="auto"/>
        </w:rPr>
      </w:pPr>
      <w:r>
        <w:rPr>
          <w:rFonts w:ascii="Arial" w:cs="Arial" w:eastAsia="Arial" w:hAnsi="Arial"/>
          <w:sz w:val="17"/>
          <w:szCs w:val="17"/>
          <w:u w:val="single" w:color="auto"/>
          <w:color w:val="0000EE"/>
        </w:rPr>
        <w:t>Table of Contents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55"/>
          <w:szCs w:val="55"/>
          <w:color w:val="00244F"/>
        </w:rPr>
        <w:t>Executive Compensation Tables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244F"/>
        </w:rPr>
        <w:t>Summary Compensation Table</w:t>
      </w:r>
    </w:p>
    <w:p>
      <w:pPr>
        <w:spacing w:after="0" w:line="225" w:lineRule="exact"/>
        <w:rPr>
          <w:sz w:val="20"/>
          <w:szCs w:val="20"/>
          <w:color w:val="auto"/>
        </w:rPr>
      </w:pPr>
    </w:p>
    <w:p>
      <w:pPr>
        <w:ind w:right="540"/>
        <w:spacing w:after="0" w:line="298" w:lineRule="auto"/>
        <w:rPr>
          <w:sz w:val="20"/>
          <w:szCs w:val="20"/>
          <w:color w:val="auto"/>
        </w:rPr>
      </w:pPr>
      <w:r>
        <w:rPr>
          <w:rFonts w:ascii="Arial" w:cs="Arial" w:eastAsia="Arial" w:hAnsi="Arial"/>
          <w:sz w:val="15"/>
          <w:szCs w:val="15"/>
          <w:color w:val="auto"/>
        </w:rPr>
        <w:t>The following table summarizes the total compensation of our NEOs, who are the chief executive officer, the chief financial officer, and our three other most highly compensated executive officers.</w:t>
      </w:r>
      <w:r>
        <w:rPr>
          <w:rFonts w:ascii="Arial" w:cs="Arial" w:eastAsia="Arial" w:hAnsi="Arial"/>
          <w:sz w:val="24"/>
          <w:szCs w:val="24"/>
          <w:b w:val="1"/>
          <w:bCs w:val="1"/>
          <w:color w:val="auto"/>
          <w:vertAlign w:val="superscript"/>
        </w:rPr>
        <w:t>1</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3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w w:val="98"/>
              </w:rPr>
              <w:t>NON-EQUITY</w:t>
            </w:r>
          </w:p>
        </w:tc>
        <w:tc>
          <w:tcPr>
            <w:tcW w:w="16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62"/>
        </w:trPr>
        <w:tc>
          <w:tcPr>
            <w:tcW w:w="43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STOCK</w:t>
            </w:r>
          </w:p>
        </w:tc>
        <w:tc>
          <w:tcPr>
            <w:tcW w:w="160" w:type="dxa"/>
            <w:vAlign w:val="bottom"/>
            <w:tcBorders>
              <w:right w:val="single" w:sz="8" w:color="auto"/>
            </w:tcBorders>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2"/>
                <w:szCs w:val="12"/>
                <w:b w:val="1"/>
                <w:bCs w:val="1"/>
                <w:color w:val="auto"/>
              </w:rPr>
              <w:t>INCENTIVE PLAN</w:t>
            </w:r>
          </w:p>
        </w:tc>
        <w:tc>
          <w:tcPr>
            <w:tcW w:w="160" w:type="dxa"/>
            <w:vAlign w:val="bottom"/>
            <w:tcBorders>
              <w:righ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b w:val="1"/>
                <w:bCs w:val="1"/>
                <w:color w:val="auto"/>
              </w:rPr>
              <w:t>ALL OTHER</w:t>
            </w:r>
          </w:p>
        </w:tc>
        <w:tc>
          <w:tcPr>
            <w:tcW w:w="18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20"/>
        </w:trPr>
        <w:tc>
          <w:tcPr>
            <w:tcW w:w="438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NAME AND PRINCIPAL POSITION</w:t>
            </w:r>
          </w:p>
        </w:tc>
        <w:tc>
          <w:tcPr>
            <w:tcW w:w="120" w:type="dxa"/>
            <w:vAlign w:val="bottom"/>
            <w:tcBorders>
              <w:right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YEAR</w:t>
            </w:r>
          </w:p>
        </w:tc>
        <w:tc>
          <w:tcPr>
            <w:tcW w:w="160" w:type="dxa"/>
            <w:vAlign w:val="bottom"/>
            <w:tcBorders>
              <w:right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SALARY</w:t>
            </w:r>
          </w:p>
        </w:tc>
        <w:tc>
          <w:tcPr>
            <w:tcW w:w="160" w:type="dxa"/>
            <w:vAlign w:val="bottom"/>
            <w:tcBorders>
              <w:right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AWARDS</w:t>
            </w:r>
            <w:r>
              <w:rPr>
                <w:rFonts w:ascii="Arial" w:cs="Arial" w:eastAsia="Arial" w:hAnsi="Arial"/>
                <w:sz w:val="19"/>
                <w:szCs w:val="19"/>
                <w:b w:val="1"/>
                <w:bCs w:val="1"/>
                <w:color w:val="auto"/>
                <w:vertAlign w:val="superscript"/>
              </w:rPr>
              <w:t>3</w:t>
            </w:r>
          </w:p>
        </w:tc>
        <w:tc>
          <w:tcPr>
            <w:tcW w:w="160" w:type="dxa"/>
            <w:vAlign w:val="bottom"/>
            <w:tcBorders>
              <w:right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COMPENSATION</w:t>
            </w:r>
            <w:r>
              <w:rPr>
                <w:rFonts w:ascii="Arial" w:cs="Arial" w:eastAsia="Arial" w:hAnsi="Arial"/>
                <w:sz w:val="19"/>
                <w:szCs w:val="19"/>
                <w:b w:val="1"/>
                <w:bCs w:val="1"/>
                <w:color w:val="auto"/>
                <w:vertAlign w:val="superscript"/>
              </w:rPr>
              <w:t>4</w:t>
            </w:r>
          </w:p>
        </w:tc>
        <w:tc>
          <w:tcPr>
            <w:tcW w:w="160" w:type="dxa"/>
            <w:vAlign w:val="bottom"/>
            <w:tcBorders>
              <w:right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COMPENSATION</w:t>
            </w:r>
            <w:r>
              <w:rPr>
                <w:rFonts w:ascii="Arial" w:cs="Arial" w:eastAsia="Arial" w:hAnsi="Arial"/>
                <w:sz w:val="19"/>
                <w:szCs w:val="19"/>
                <w:b w:val="1"/>
                <w:bCs w:val="1"/>
                <w:color w:val="auto"/>
                <w:vertAlign w:val="superscript"/>
              </w:rPr>
              <w:t>5</w:t>
            </w:r>
          </w:p>
        </w:tc>
        <w:tc>
          <w:tcPr>
            <w:tcW w:w="180" w:type="dxa"/>
            <w:vAlign w:val="bottom"/>
            <w:tcBorders>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TOTAL</w:t>
            </w:r>
          </w:p>
        </w:tc>
      </w:tr>
      <w:tr>
        <w:trPr>
          <w:trHeight w:val="214"/>
        </w:trPr>
        <w:tc>
          <w:tcPr>
            <w:tcW w:w="4380" w:type="dxa"/>
            <w:vAlign w:val="bottom"/>
          </w:tcPr>
          <w:p>
            <w:pPr>
              <w:ind w:left="60"/>
              <w:spacing w:after="0"/>
              <w:rPr>
                <w:sz w:val="20"/>
                <w:szCs w:val="20"/>
                <w:color w:val="auto"/>
              </w:rPr>
            </w:pPr>
            <w:r>
              <w:rPr>
                <w:rFonts w:ascii="Arial" w:cs="Arial" w:eastAsia="Arial" w:hAnsi="Arial"/>
                <w:sz w:val="15"/>
                <w:szCs w:val="15"/>
                <w:b w:val="1"/>
                <w:bCs w:val="1"/>
                <w:color w:val="00254F"/>
              </w:rPr>
              <w:t>Robert W. Sharps</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2023</w:t>
            </w:r>
          </w:p>
        </w:tc>
        <w:tc>
          <w:tcPr>
            <w:tcW w:w="1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$350,000</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5,100,097</w:t>
            </w:r>
          </w:p>
        </w:tc>
        <w:tc>
          <w:tcPr>
            <w:tcW w:w="160" w:type="dxa"/>
            <w:vAlign w:val="bottom"/>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7,300,000</w:t>
            </w:r>
          </w:p>
        </w:tc>
        <w:tc>
          <w:tcPr>
            <w:tcW w:w="160" w:type="dxa"/>
            <w:vAlign w:val="bottom"/>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91,834</w:t>
            </w:r>
          </w:p>
        </w:tc>
        <w:tc>
          <w:tcPr>
            <w:tcW w:w="180" w:type="dxa"/>
            <w:vAlign w:val="bottom"/>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12,841,931</w:t>
            </w:r>
          </w:p>
        </w:tc>
      </w:tr>
      <w:tr>
        <w:trPr>
          <w:trHeight w:val="213"/>
        </w:trPr>
        <w:tc>
          <w:tcPr>
            <w:tcW w:w="4380" w:type="dxa"/>
            <w:vAlign w:val="bottom"/>
          </w:tcPr>
          <w:p>
            <w:pPr>
              <w:ind w:left="60"/>
              <w:spacing w:after="0"/>
              <w:rPr>
                <w:sz w:val="20"/>
                <w:szCs w:val="20"/>
                <w:color w:val="auto"/>
              </w:rPr>
            </w:pPr>
            <w:r>
              <w:rPr>
                <w:rFonts w:ascii="Arial" w:cs="Arial" w:eastAsia="Arial" w:hAnsi="Arial"/>
                <w:sz w:val="15"/>
                <w:szCs w:val="15"/>
                <w:color w:val="auto"/>
              </w:rPr>
              <w:t>Chief Executive Officer and President</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2022</w:t>
            </w:r>
          </w:p>
        </w:tc>
        <w:tc>
          <w:tcPr>
            <w:tcW w:w="1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$350,000</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5,400,156</w:t>
            </w:r>
          </w:p>
        </w:tc>
        <w:tc>
          <w:tcPr>
            <w:tcW w:w="160" w:type="dxa"/>
            <w:vAlign w:val="bottom"/>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8,000,000</w:t>
            </w:r>
          </w:p>
        </w:tc>
        <w:tc>
          <w:tcPr>
            <w:tcW w:w="160" w:type="dxa"/>
            <w:vAlign w:val="bottom"/>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88,457</w:t>
            </w:r>
          </w:p>
        </w:tc>
        <w:tc>
          <w:tcPr>
            <w:tcW w:w="180" w:type="dxa"/>
            <w:vAlign w:val="bottom"/>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13,838,613</w:t>
            </w:r>
          </w:p>
        </w:tc>
      </w:tr>
      <w:tr>
        <w:trPr>
          <w:trHeight w:val="217"/>
        </w:trPr>
        <w:tc>
          <w:tcPr>
            <w:tcW w:w="43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2021</w:t>
            </w: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$350,000</w:t>
            </w: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w w:val="95"/>
              </w:rPr>
              <w:t>6,850,356</w:t>
            </w: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w w:val="98"/>
              </w:rPr>
              <w:t>10,300,000</w:t>
            </w: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86,103</w:t>
            </w: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w w:val="98"/>
              </w:rPr>
              <w:t>17,586,459</w:t>
            </w:r>
          </w:p>
        </w:tc>
      </w:tr>
      <w:tr>
        <w:trPr>
          <w:trHeight w:val="221"/>
        </w:trPr>
        <w:tc>
          <w:tcPr>
            <w:tcW w:w="4380" w:type="dxa"/>
            <w:vAlign w:val="bottom"/>
            <w:tcBorders>
              <w:top w:val="single" w:sz="8" w:color="auto"/>
              <w:bottom w:val="single" w:sz="8" w:color="EEEFEE"/>
            </w:tcBorders>
            <w:shd w:val="clear" w:color="auto" w:fill="EEEFEE"/>
          </w:tcPr>
          <w:p>
            <w:pPr>
              <w:ind w:left="60"/>
              <w:spacing w:after="0"/>
              <w:rPr>
                <w:sz w:val="20"/>
                <w:szCs w:val="20"/>
                <w:color w:val="auto"/>
              </w:rPr>
            </w:pPr>
            <w:r>
              <w:rPr>
                <w:rFonts w:ascii="Arial" w:cs="Arial" w:eastAsia="Arial" w:hAnsi="Arial"/>
                <w:sz w:val="15"/>
                <w:szCs w:val="15"/>
                <w:b w:val="1"/>
                <w:bCs w:val="1"/>
                <w:color w:val="00254F"/>
              </w:rPr>
              <w:t>Jennifer B. Dardis</w:t>
            </w:r>
          </w:p>
        </w:tc>
        <w:tc>
          <w:tcPr>
            <w:tcW w:w="120" w:type="dxa"/>
            <w:vAlign w:val="bottom"/>
            <w:tcBorders>
              <w:top w:val="single" w:sz="8" w:color="EEEFEE"/>
              <w:bottom w:val="single" w:sz="8" w:color="E7E7E8"/>
              <w:right w:val="single" w:sz="8" w:color="EEEFEE"/>
            </w:tcBorders>
            <w:shd w:val="clear" w:color="auto" w:fill="EEEFEE"/>
          </w:tcPr>
          <w:p>
            <w:pPr>
              <w:spacing w:after="0"/>
              <w:rPr>
                <w:sz w:val="19"/>
                <w:szCs w:val="19"/>
                <w:color w:val="auto"/>
              </w:rPr>
            </w:pPr>
          </w:p>
        </w:tc>
        <w:tc>
          <w:tcPr>
            <w:tcW w:w="52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2023</w:t>
            </w:r>
          </w:p>
        </w:tc>
        <w:tc>
          <w:tcPr>
            <w:tcW w:w="160" w:type="dxa"/>
            <w:vAlign w:val="bottom"/>
            <w:tcBorders>
              <w:top w:val="single" w:sz="8" w:color="EEEFEE"/>
              <w:bottom w:val="single" w:sz="8" w:color="E7E7E8"/>
              <w:right w:val="single" w:sz="8" w:color="EEEFEE"/>
            </w:tcBorders>
            <w:shd w:val="clear" w:color="auto" w:fill="EEEFEE"/>
          </w:tcPr>
          <w:p>
            <w:pPr>
              <w:spacing w:after="0"/>
              <w:rPr>
                <w:sz w:val="19"/>
                <w:szCs w:val="19"/>
                <w:color w:val="auto"/>
              </w:rPr>
            </w:pPr>
          </w:p>
        </w:tc>
        <w:tc>
          <w:tcPr>
            <w:tcW w:w="100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$350,000</w:t>
            </w:r>
          </w:p>
        </w:tc>
        <w:tc>
          <w:tcPr>
            <w:tcW w:w="160" w:type="dxa"/>
            <w:vAlign w:val="bottom"/>
            <w:tcBorders>
              <w:top w:val="single" w:sz="8" w:color="EEEFEE"/>
              <w:bottom w:val="single" w:sz="8" w:color="E7E7E8"/>
              <w:right w:val="single" w:sz="8" w:color="EEEFEE"/>
            </w:tcBorders>
            <w:shd w:val="clear" w:color="auto" w:fill="EEEFEE"/>
          </w:tcPr>
          <w:p>
            <w:pPr>
              <w:spacing w:after="0"/>
              <w:rPr>
                <w:sz w:val="19"/>
                <w:szCs w:val="19"/>
                <w:color w:val="auto"/>
              </w:rPr>
            </w:pPr>
          </w:p>
        </w:tc>
        <w:tc>
          <w:tcPr>
            <w:tcW w:w="28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w w:val="95"/>
              </w:rPr>
              <w:t>1,275,175</w:t>
            </w:r>
          </w:p>
        </w:tc>
        <w:tc>
          <w:tcPr>
            <w:tcW w:w="160" w:type="dxa"/>
            <w:vAlign w:val="bottom"/>
            <w:tcBorders>
              <w:top w:val="single" w:sz="8" w:color="EEEFEE"/>
              <w:bottom w:val="single" w:sz="8" w:color="E7E7E8"/>
              <w:right w:val="single" w:sz="8" w:color="EEEFEE"/>
            </w:tcBorders>
            <w:shd w:val="clear" w:color="auto" w:fill="EEEFEE"/>
          </w:tcPr>
          <w:p>
            <w:pPr>
              <w:spacing w:after="0"/>
              <w:rPr>
                <w:sz w:val="19"/>
                <w:szCs w:val="19"/>
                <w:color w:val="auto"/>
              </w:rPr>
            </w:pPr>
          </w:p>
        </w:tc>
        <w:tc>
          <w:tcPr>
            <w:tcW w:w="32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2,175,000</w:t>
            </w:r>
          </w:p>
        </w:tc>
        <w:tc>
          <w:tcPr>
            <w:tcW w:w="160" w:type="dxa"/>
            <w:vAlign w:val="bottom"/>
            <w:tcBorders>
              <w:top w:val="single" w:sz="8" w:color="EEEFEE"/>
              <w:bottom w:val="single" w:sz="8" w:color="E7E7E8"/>
              <w:right w:val="single" w:sz="8" w:color="EEEFEE"/>
            </w:tcBorders>
            <w:shd w:val="clear" w:color="auto" w:fill="EEEFEE"/>
          </w:tcPr>
          <w:p>
            <w:pPr>
              <w:spacing w:after="0"/>
              <w:rPr>
                <w:sz w:val="19"/>
                <w:szCs w:val="19"/>
                <w:color w:val="auto"/>
              </w:rPr>
            </w:pPr>
          </w:p>
        </w:tc>
        <w:tc>
          <w:tcPr>
            <w:tcW w:w="34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91,603</w:t>
            </w:r>
          </w:p>
        </w:tc>
        <w:tc>
          <w:tcPr>
            <w:tcW w:w="180" w:type="dxa"/>
            <w:vAlign w:val="bottom"/>
            <w:tcBorders>
              <w:top w:val="single" w:sz="8" w:color="EEEFEE"/>
              <w:bottom w:val="single" w:sz="8" w:color="E7E7E8"/>
              <w:right w:val="single" w:sz="8" w:color="EEEFEE"/>
            </w:tcBorders>
            <w:shd w:val="clear" w:color="auto" w:fill="EEEFEE"/>
          </w:tcPr>
          <w:p>
            <w:pPr>
              <w:spacing w:after="0"/>
              <w:rPr>
                <w:sz w:val="19"/>
                <w:szCs w:val="19"/>
                <w:color w:val="auto"/>
              </w:rPr>
            </w:pPr>
          </w:p>
        </w:tc>
        <w:tc>
          <w:tcPr>
            <w:tcW w:w="32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3,891,778</w:t>
            </w:r>
          </w:p>
        </w:tc>
      </w:tr>
      <w:tr>
        <w:trPr>
          <w:trHeight w:val="213"/>
        </w:trPr>
        <w:tc>
          <w:tcPr>
            <w:tcW w:w="4380" w:type="dxa"/>
            <w:vAlign w:val="bottom"/>
            <w:tcBorders>
              <w:bottom w:val="single" w:sz="8" w:color="EEEFEE"/>
            </w:tcBorders>
            <w:shd w:val="clear" w:color="auto" w:fill="EEEFEE"/>
          </w:tcPr>
          <w:p>
            <w:pPr>
              <w:ind w:left="60"/>
              <w:spacing w:after="0"/>
              <w:rPr>
                <w:sz w:val="20"/>
                <w:szCs w:val="20"/>
                <w:color w:val="auto"/>
              </w:rPr>
            </w:pPr>
            <w:r>
              <w:rPr>
                <w:rFonts w:ascii="Arial" w:cs="Arial" w:eastAsia="Arial" w:hAnsi="Arial"/>
                <w:sz w:val="15"/>
                <w:szCs w:val="15"/>
                <w:color w:val="auto"/>
              </w:rPr>
              <w:t>Chief Financial Officer and Treasurer</w:t>
            </w:r>
          </w:p>
        </w:tc>
        <w:tc>
          <w:tcPr>
            <w:tcW w:w="120" w:type="dxa"/>
            <w:vAlign w:val="bottom"/>
            <w:tcBorders>
              <w:bottom w:val="single" w:sz="8" w:color="E7E7E8"/>
              <w:right w:val="single" w:sz="8" w:color="EEEFEE"/>
            </w:tcBorders>
            <w:shd w:val="clear" w:color="auto" w:fill="E7E7E8"/>
          </w:tcPr>
          <w:p>
            <w:pPr>
              <w:spacing w:after="0"/>
              <w:rPr>
                <w:sz w:val="18"/>
                <w:szCs w:val="18"/>
                <w:color w:val="auto"/>
              </w:rPr>
            </w:pPr>
          </w:p>
        </w:tc>
        <w:tc>
          <w:tcPr>
            <w:tcW w:w="52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2022</w:t>
            </w:r>
          </w:p>
        </w:tc>
        <w:tc>
          <w:tcPr>
            <w:tcW w:w="160" w:type="dxa"/>
            <w:vAlign w:val="bottom"/>
            <w:tcBorders>
              <w:bottom w:val="single" w:sz="8" w:color="E7E7E8"/>
              <w:right w:val="single" w:sz="8" w:color="EEEFEE"/>
            </w:tcBorders>
            <w:shd w:val="clear" w:color="auto" w:fill="E7E7E8"/>
          </w:tcPr>
          <w:p>
            <w:pPr>
              <w:spacing w:after="0"/>
              <w:rPr>
                <w:sz w:val="18"/>
                <w:szCs w:val="18"/>
                <w:color w:val="auto"/>
              </w:rPr>
            </w:pPr>
          </w:p>
        </w:tc>
        <w:tc>
          <w:tcPr>
            <w:tcW w:w="100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$350,000</w:t>
            </w:r>
          </w:p>
        </w:tc>
        <w:tc>
          <w:tcPr>
            <w:tcW w:w="160" w:type="dxa"/>
            <w:vAlign w:val="bottom"/>
            <w:tcBorders>
              <w:bottom w:val="single" w:sz="8" w:color="E7E7E8"/>
              <w:right w:val="single" w:sz="8" w:color="EEEFEE"/>
            </w:tcBorders>
            <w:shd w:val="clear" w:color="auto" w:fill="E7E7E8"/>
          </w:tcPr>
          <w:p>
            <w:pPr>
              <w:spacing w:after="0"/>
              <w:rPr>
                <w:sz w:val="18"/>
                <w:szCs w:val="18"/>
                <w:color w:val="auto"/>
              </w:rPr>
            </w:pPr>
          </w:p>
        </w:tc>
        <w:tc>
          <w:tcPr>
            <w:tcW w:w="28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w w:val="95"/>
              </w:rPr>
              <w:t>1,350,160</w:t>
            </w:r>
          </w:p>
        </w:tc>
        <w:tc>
          <w:tcPr>
            <w:tcW w:w="160" w:type="dxa"/>
            <w:vAlign w:val="bottom"/>
            <w:tcBorders>
              <w:bottom w:val="single" w:sz="8" w:color="E7E7E8"/>
              <w:right w:val="single" w:sz="8" w:color="EEEFEE"/>
            </w:tcBorders>
            <w:shd w:val="clear" w:color="auto" w:fill="E7E7E8"/>
          </w:tcPr>
          <w:p>
            <w:pPr>
              <w:spacing w:after="0"/>
              <w:rPr>
                <w:sz w:val="18"/>
                <w:szCs w:val="18"/>
                <w:color w:val="auto"/>
              </w:rPr>
            </w:pPr>
          </w:p>
        </w:tc>
        <w:tc>
          <w:tcPr>
            <w:tcW w:w="32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2,300,000</w:t>
            </w:r>
          </w:p>
        </w:tc>
        <w:tc>
          <w:tcPr>
            <w:tcW w:w="160" w:type="dxa"/>
            <w:vAlign w:val="bottom"/>
            <w:tcBorders>
              <w:bottom w:val="single" w:sz="8" w:color="E7E7E8"/>
              <w:right w:val="single" w:sz="8" w:color="EEEFEE"/>
            </w:tcBorders>
            <w:shd w:val="clear" w:color="auto" w:fill="E7E7E8"/>
          </w:tcPr>
          <w:p>
            <w:pPr>
              <w:spacing w:after="0"/>
              <w:rPr>
                <w:sz w:val="18"/>
                <w:szCs w:val="18"/>
                <w:color w:val="auto"/>
              </w:rPr>
            </w:pPr>
          </w:p>
        </w:tc>
        <w:tc>
          <w:tcPr>
            <w:tcW w:w="3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88,104</w:t>
            </w:r>
          </w:p>
        </w:tc>
        <w:tc>
          <w:tcPr>
            <w:tcW w:w="180" w:type="dxa"/>
            <w:vAlign w:val="bottom"/>
            <w:tcBorders>
              <w:bottom w:val="single" w:sz="8" w:color="E7E7E8"/>
              <w:right w:val="single" w:sz="8" w:color="EEEFEE"/>
            </w:tcBorders>
            <w:shd w:val="clear" w:color="auto" w:fill="E7E7E8"/>
          </w:tcPr>
          <w:p>
            <w:pPr>
              <w:spacing w:after="0"/>
              <w:rPr>
                <w:sz w:val="18"/>
                <w:szCs w:val="18"/>
                <w:color w:val="auto"/>
              </w:rPr>
            </w:pPr>
          </w:p>
        </w:tc>
        <w:tc>
          <w:tcPr>
            <w:tcW w:w="32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4,088,264</w:t>
            </w:r>
          </w:p>
        </w:tc>
      </w:tr>
      <w:tr>
        <w:trPr>
          <w:trHeight w:val="217"/>
        </w:trPr>
        <w:tc>
          <w:tcPr>
            <w:tcW w:w="4380" w:type="dxa"/>
            <w:vAlign w:val="bottom"/>
            <w:tcBorders>
              <w:bottom w:val="single" w:sz="8" w:color="auto"/>
            </w:tcBorders>
            <w:shd w:val="clear" w:color="auto" w:fill="EEEFEE"/>
          </w:tcPr>
          <w:p>
            <w:pPr>
              <w:spacing w:after="0"/>
              <w:rPr>
                <w:sz w:val="18"/>
                <w:szCs w:val="18"/>
                <w:color w:val="auto"/>
              </w:rPr>
            </w:pPr>
          </w:p>
        </w:tc>
        <w:tc>
          <w:tcPr>
            <w:tcW w:w="120" w:type="dxa"/>
            <w:vAlign w:val="bottom"/>
            <w:tcBorders>
              <w:right w:val="single" w:sz="8" w:color="EEEFEE"/>
            </w:tcBorders>
            <w:shd w:val="clear" w:color="auto" w:fill="E7E7E8"/>
          </w:tcPr>
          <w:p>
            <w:pPr>
              <w:spacing w:after="0"/>
              <w:rPr>
                <w:sz w:val="18"/>
                <w:szCs w:val="18"/>
                <w:color w:val="auto"/>
              </w:rPr>
            </w:pPr>
          </w:p>
        </w:tc>
        <w:tc>
          <w:tcPr>
            <w:tcW w:w="52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2021</w:t>
            </w:r>
          </w:p>
        </w:tc>
        <w:tc>
          <w:tcPr>
            <w:tcW w:w="160" w:type="dxa"/>
            <w:vAlign w:val="bottom"/>
            <w:tcBorders>
              <w:right w:val="single" w:sz="8" w:color="EEEFEE"/>
            </w:tcBorders>
            <w:shd w:val="clear" w:color="auto" w:fill="E7E7E8"/>
          </w:tcPr>
          <w:p>
            <w:pPr>
              <w:spacing w:after="0"/>
              <w:rPr>
                <w:sz w:val="18"/>
                <w:szCs w:val="18"/>
                <w:color w:val="auto"/>
              </w:rPr>
            </w:pPr>
          </w:p>
        </w:tc>
        <w:tc>
          <w:tcPr>
            <w:tcW w:w="100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$347,083</w:t>
            </w:r>
          </w:p>
        </w:tc>
        <w:tc>
          <w:tcPr>
            <w:tcW w:w="160" w:type="dxa"/>
            <w:vAlign w:val="bottom"/>
            <w:tcBorders>
              <w:right w:val="single" w:sz="8" w:color="EEEFEE"/>
            </w:tcBorders>
            <w:shd w:val="clear" w:color="auto" w:fill="E7E7E8"/>
          </w:tcPr>
          <w:p>
            <w:pPr>
              <w:spacing w:after="0"/>
              <w:rPr>
                <w:sz w:val="18"/>
                <w:szCs w:val="18"/>
                <w:color w:val="auto"/>
              </w:rPr>
            </w:pPr>
          </w:p>
        </w:tc>
        <w:tc>
          <w:tcPr>
            <w:tcW w:w="28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w w:val="95"/>
              </w:rPr>
              <w:t>1,200,405</w:t>
            </w:r>
          </w:p>
        </w:tc>
        <w:tc>
          <w:tcPr>
            <w:tcW w:w="160" w:type="dxa"/>
            <w:vAlign w:val="bottom"/>
            <w:tcBorders>
              <w:right w:val="single" w:sz="8" w:color="EEEFEE"/>
            </w:tcBorders>
            <w:shd w:val="clear" w:color="auto" w:fill="E7E7E8"/>
          </w:tcPr>
          <w:p>
            <w:pPr>
              <w:spacing w:after="0"/>
              <w:rPr>
                <w:sz w:val="18"/>
                <w:szCs w:val="18"/>
                <w:color w:val="auto"/>
              </w:rPr>
            </w:pPr>
          </w:p>
        </w:tc>
        <w:tc>
          <w:tcPr>
            <w:tcW w:w="32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2,100,000</w:t>
            </w:r>
          </w:p>
        </w:tc>
        <w:tc>
          <w:tcPr>
            <w:tcW w:w="160" w:type="dxa"/>
            <w:vAlign w:val="bottom"/>
            <w:tcBorders>
              <w:right w:val="single" w:sz="8" w:color="EEEFEE"/>
            </w:tcBorders>
            <w:shd w:val="clear" w:color="auto" w:fill="E7E7E8"/>
          </w:tcPr>
          <w:p>
            <w:pPr>
              <w:spacing w:after="0"/>
              <w:rPr>
                <w:sz w:val="18"/>
                <w:szCs w:val="18"/>
                <w:color w:val="auto"/>
              </w:rPr>
            </w:pPr>
          </w:p>
        </w:tc>
        <w:tc>
          <w:tcPr>
            <w:tcW w:w="3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86,243</w:t>
            </w:r>
          </w:p>
        </w:tc>
        <w:tc>
          <w:tcPr>
            <w:tcW w:w="180" w:type="dxa"/>
            <w:vAlign w:val="bottom"/>
            <w:tcBorders>
              <w:right w:val="single" w:sz="8" w:color="EEEFEE"/>
            </w:tcBorders>
            <w:shd w:val="clear" w:color="auto" w:fill="E7E7E8"/>
          </w:tcPr>
          <w:p>
            <w:pPr>
              <w:spacing w:after="0"/>
              <w:rPr>
                <w:sz w:val="18"/>
                <w:szCs w:val="18"/>
                <w:color w:val="auto"/>
              </w:rPr>
            </w:pPr>
          </w:p>
        </w:tc>
        <w:tc>
          <w:tcPr>
            <w:tcW w:w="32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3,733,731</w:t>
            </w:r>
          </w:p>
        </w:tc>
      </w:tr>
      <w:tr>
        <w:trPr>
          <w:trHeight w:val="221"/>
        </w:trPr>
        <w:tc>
          <w:tcPr>
            <w:tcW w:w="4380" w:type="dxa"/>
            <w:vAlign w:val="bottom"/>
          </w:tcPr>
          <w:p>
            <w:pPr>
              <w:ind w:left="60"/>
              <w:spacing w:after="0"/>
              <w:rPr>
                <w:sz w:val="20"/>
                <w:szCs w:val="20"/>
                <w:color w:val="auto"/>
              </w:rPr>
            </w:pPr>
            <w:r>
              <w:rPr>
                <w:rFonts w:ascii="Arial" w:cs="Arial" w:eastAsia="Arial" w:hAnsi="Arial"/>
                <w:sz w:val="15"/>
                <w:szCs w:val="15"/>
                <w:b w:val="1"/>
                <w:bCs w:val="1"/>
                <w:color w:val="00254F"/>
              </w:rPr>
              <w:t>Glenn R. August</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2023</w:t>
            </w:r>
          </w:p>
        </w:tc>
        <w:tc>
          <w:tcPr>
            <w:tcW w:w="16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$350,000</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12,082,629</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12,432,629</w:t>
            </w:r>
          </w:p>
        </w:tc>
      </w:tr>
      <w:tr>
        <w:trPr>
          <w:trHeight w:val="213"/>
        </w:trPr>
        <w:tc>
          <w:tcPr>
            <w:tcW w:w="4380" w:type="dxa"/>
            <w:vAlign w:val="bottom"/>
          </w:tcPr>
          <w:p>
            <w:pPr>
              <w:ind w:left="60"/>
              <w:spacing w:after="0"/>
              <w:rPr>
                <w:sz w:val="20"/>
                <w:szCs w:val="20"/>
                <w:color w:val="auto"/>
              </w:rPr>
            </w:pPr>
            <w:r>
              <w:rPr>
                <w:rFonts w:ascii="Arial" w:cs="Arial" w:eastAsia="Arial" w:hAnsi="Arial"/>
                <w:sz w:val="15"/>
                <w:szCs w:val="15"/>
                <w:color w:val="auto"/>
              </w:rPr>
              <w:t>Chief Executive Officer of Oak Hill Advisors, L.P.</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2022</w:t>
            </w: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$350,000</w:t>
            </w: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w w:val="98"/>
              </w:rPr>
              <w:t>11,679,929</w:t>
            </w: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w w:val="98"/>
              </w:rPr>
              <w:t>12,029,929</w:t>
            </w:r>
          </w:p>
        </w:tc>
      </w:tr>
      <w:tr>
        <w:trPr>
          <w:trHeight w:val="262"/>
        </w:trPr>
        <w:tc>
          <w:tcPr>
            <w:tcW w:w="4380" w:type="dxa"/>
            <w:vAlign w:val="bottom"/>
            <w:tcBorders>
              <w:top w:val="single" w:sz="8" w:color="auto"/>
              <w:bottom w:val="single" w:sz="8" w:color="EEEFEE"/>
            </w:tcBorders>
            <w:shd w:val="clear" w:color="auto" w:fill="EEEFEE"/>
          </w:tcPr>
          <w:p>
            <w:pPr>
              <w:ind w:left="60"/>
              <w:spacing w:after="0" w:line="263" w:lineRule="exact"/>
              <w:rPr>
                <w:sz w:val="20"/>
                <w:szCs w:val="20"/>
                <w:color w:val="auto"/>
              </w:rPr>
            </w:pPr>
            <w:r>
              <w:rPr>
                <w:rFonts w:ascii="Arial" w:cs="Arial" w:eastAsia="Arial" w:hAnsi="Arial"/>
                <w:sz w:val="15"/>
                <w:szCs w:val="15"/>
                <w:b w:val="1"/>
                <w:bCs w:val="1"/>
                <w:color w:val="00254F"/>
              </w:rPr>
              <w:t>Justin Thomson</w:t>
            </w:r>
            <w:r>
              <w:rPr>
                <w:rFonts w:ascii="Arial" w:cs="Arial" w:eastAsia="Arial" w:hAnsi="Arial"/>
                <w:sz w:val="24"/>
                <w:szCs w:val="24"/>
                <w:b w:val="1"/>
                <w:bCs w:val="1"/>
                <w:color w:val="00254F"/>
                <w:vertAlign w:val="superscript"/>
              </w:rPr>
              <w:t>2</w:t>
            </w:r>
          </w:p>
        </w:tc>
        <w:tc>
          <w:tcPr>
            <w:tcW w:w="120" w:type="dxa"/>
            <w:vAlign w:val="bottom"/>
            <w:tcBorders>
              <w:top w:val="single" w:sz="8" w:color="E7E7E8"/>
              <w:bottom w:val="single" w:sz="8" w:color="E7E7E8"/>
              <w:right w:val="single" w:sz="8" w:color="EEEFEE"/>
            </w:tcBorders>
            <w:shd w:val="clear" w:color="auto" w:fill="E7E7E8"/>
          </w:tcPr>
          <w:p>
            <w:pPr>
              <w:spacing w:after="0"/>
              <w:rPr>
                <w:sz w:val="22"/>
                <w:szCs w:val="22"/>
                <w:color w:val="auto"/>
              </w:rPr>
            </w:pPr>
          </w:p>
        </w:tc>
        <w:tc>
          <w:tcPr>
            <w:tcW w:w="52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2023</w:t>
            </w:r>
          </w:p>
        </w:tc>
        <w:tc>
          <w:tcPr>
            <w:tcW w:w="160" w:type="dxa"/>
            <w:vAlign w:val="bottom"/>
            <w:tcBorders>
              <w:top w:val="single" w:sz="8" w:color="E7E7E8"/>
              <w:bottom w:val="single" w:sz="8" w:color="E7E7E8"/>
              <w:right w:val="single" w:sz="8" w:color="EEEFEE"/>
            </w:tcBorders>
            <w:shd w:val="clear" w:color="auto" w:fill="E7E7E8"/>
          </w:tcPr>
          <w:p>
            <w:pPr>
              <w:spacing w:after="0"/>
              <w:rPr>
                <w:sz w:val="22"/>
                <w:szCs w:val="22"/>
                <w:color w:val="auto"/>
              </w:rPr>
            </w:pPr>
          </w:p>
        </w:tc>
        <w:tc>
          <w:tcPr>
            <w:tcW w:w="100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$299,256</w:t>
            </w:r>
          </w:p>
        </w:tc>
        <w:tc>
          <w:tcPr>
            <w:tcW w:w="160" w:type="dxa"/>
            <w:vAlign w:val="bottom"/>
            <w:tcBorders>
              <w:top w:val="single" w:sz="8" w:color="E7E7E8"/>
              <w:bottom w:val="single" w:sz="8" w:color="E7E7E8"/>
              <w:right w:val="single" w:sz="8" w:color="EEEFEE"/>
            </w:tcBorders>
            <w:shd w:val="clear" w:color="auto" w:fill="E7E7E8"/>
          </w:tcPr>
          <w:p>
            <w:pPr>
              <w:spacing w:after="0"/>
              <w:rPr>
                <w:sz w:val="22"/>
                <w:szCs w:val="22"/>
                <w:color w:val="auto"/>
              </w:rPr>
            </w:pPr>
          </w:p>
        </w:tc>
        <w:tc>
          <w:tcPr>
            <w:tcW w:w="28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w w:val="95"/>
              </w:rPr>
              <w:t>1,600,253</w:t>
            </w:r>
          </w:p>
        </w:tc>
        <w:tc>
          <w:tcPr>
            <w:tcW w:w="160" w:type="dxa"/>
            <w:vAlign w:val="bottom"/>
            <w:tcBorders>
              <w:top w:val="single" w:sz="8" w:color="E7E7E8"/>
              <w:bottom w:val="single" w:sz="8" w:color="E7E7E8"/>
              <w:right w:val="single" w:sz="8" w:color="EEEFEE"/>
            </w:tcBorders>
            <w:shd w:val="clear" w:color="auto" w:fill="E7E7E8"/>
          </w:tcPr>
          <w:p>
            <w:pPr>
              <w:spacing w:after="0"/>
              <w:rPr>
                <w:sz w:val="22"/>
                <w:szCs w:val="22"/>
                <w:color w:val="auto"/>
              </w:rPr>
            </w:pPr>
          </w:p>
        </w:tc>
        <w:tc>
          <w:tcPr>
            <w:tcW w:w="32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3,738,185</w:t>
            </w:r>
          </w:p>
        </w:tc>
        <w:tc>
          <w:tcPr>
            <w:tcW w:w="160" w:type="dxa"/>
            <w:vAlign w:val="bottom"/>
            <w:tcBorders>
              <w:top w:val="single" w:sz="8" w:color="E7E7E8"/>
              <w:bottom w:val="single" w:sz="8" w:color="E7E7E8"/>
              <w:right w:val="single" w:sz="8" w:color="EEEFEE"/>
            </w:tcBorders>
            <w:shd w:val="clear" w:color="auto" w:fill="E7E7E8"/>
          </w:tcPr>
          <w:p>
            <w:pPr>
              <w:spacing w:after="0"/>
              <w:rPr>
                <w:sz w:val="22"/>
                <w:szCs w:val="22"/>
                <w:color w:val="auto"/>
              </w:rPr>
            </w:pPr>
          </w:p>
        </w:tc>
        <w:tc>
          <w:tcPr>
            <w:tcW w:w="34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1,405,666</w:t>
            </w:r>
          </w:p>
        </w:tc>
        <w:tc>
          <w:tcPr>
            <w:tcW w:w="180" w:type="dxa"/>
            <w:vAlign w:val="bottom"/>
            <w:tcBorders>
              <w:top w:val="single" w:sz="8" w:color="E7E7E8"/>
              <w:bottom w:val="single" w:sz="8" w:color="E7E7E8"/>
              <w:right w:val="single" w:sz="8" w:color="EEEFEE"/>
            </w:tcBorders>
            <w:shd w:val="clear" w:color="auto" w:fill="E7E7E8"/>
          </w:tcPr>
          <w:p>
            <w:pPr>
              <w:spacing w:after="0"/>
              <w:rPr>
                <w:sz w:val="22"/>
                <w:szCs w:val="22"/>
                <w:color w:val="auto"/>
              </w:rPr>
            </w:pPr>
          </w:p>
        </w:tc>
        <w:tc>
          <w:tcPr>
            <w:tcW w:w="32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7,043,360</w:t>
            </w:r>
          </w:p>
        </w:tc>
      </w:tr>
      <w:tr>
        <w:trPr>
          <w:trHeight w:val="210"/>
        </w:trPr>
        <w:tc>
          <w:tcPr>
            <w:tcW w:w="4380" w:type="dxa"/>
            <w:vAlign w:val="bottom"/>
            <w:tcBorders>
              <w:bottom w:val="single" w:sz="8" w:color="EEEFEE"/>
            </w:tcBorders>
            <w:shd w:val="clear" w:color="auto" w:fill="EEEFEE"/>
          </w:tcPr>
          <w:p>
            <w:pPr>
              <w:ind w:left="60"/>
              <w:spacing w:after="0"/>
              <w:rPr>
                <w:sz w:val="20"/>
                <w:szCs w:val="20"/>
                <w:color w:val="auto"/>
              </w:rPr>
            </w:pPr>
            <w:r>
              <w:rPr>
                <w:rFonts w:ascii="Arial" w:cs="Arial" w:eastAsia="Arial" w:hAnsi="Arial"/>
                <w:sz w:val="15"/>
                <w:szCs w:val="15"/>
                <w:color w:val="auto"/>
              </w:rPr>
              <w:t>Head of International Equity and CIO</w:t>
            </w:r>
          </w:p>
        </w:tc>
        <w:tc>
          <w:tcPr>
            <w:tcW w:w="120" w:type="dxa"/>
            <w:vAlign w:val="bottom"/>
            <w:tcBorders>
              <w:bottom w:val="single" w:sz="8" w:color="E7E7E8"/>
              <w:right w:val="single" w:sz="8" w:color="EEEFEE"/>
            </w:tcBorders>
            <w:shd w:val="clear" w:color="auto" w:fill="E7E7E8"/>
          </w:tcPr>
          <w:p>
            <w:pPr>
              <w:spacing w:after="0"/>
              <w:rPr>
                <w:sz w:val="18"/>
                <w:szCs w:val="18"/>
                <w:color w:val="auto"/>
              </w:rPr>
            </w:pPr>
          </w:p>
        </w:tc>
        <w:tc>
          <w:tcPr>
            <w:tcW w:w="52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2022</w:t>
            </w:r>
          </w:p>
        </w:tc>
        <w:tc>
          <w:tcPr>
            <w:tcW w:w="160" w:type="dxa"/>
            <w:vAlign w:val="bottom"/>
            <w:tcBorders>
              <w:bottom w:val="single" w:sz="8" w:color="E7E7E8"/>
              <w:right w:val="single" w:sz="8" w:color="EEEFEE"/>
            </w:tcBorders>
            <w:shd w:val="clear" w:color="auto" w:fill="E7E7E8"/>
          </w:tcPr>
          <w:p>
            <w:pPr>
              <w:spacing w:after="0"/>
              <w:rPr>
                <w:sz w:val="18"/>
                <w:szCs w:val="18"/>
                <w:color w:val="auto"/>
              </w:rPr>
            </w:pPr>
          </w:p>
        </w:tc>
        <w:tc>
          <w:tcPr>
            <w:tcW w:w="100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$295,899</w:t>
            </w:r>
          </w:p>
        </w:tc>
        <w:tc>
          <w:tcPr>
            <w:tcW w:w="160" w:type="dxa"/>
            <w:vAlign w:val="bottom"/>
            <w:tcBorders>
              <w:bottom w:val="single" w:sz="8" w:color="E7E7E8"/>
              <w:right w:val="single" w:sz="8" w:color="EEEFEE"/>
            </w:tcBorders>
            <w:shd w:val="clear" w:color="auto" w:fill="E7E7E8"/>
          </w:tcPr>
          <w:p>
            <w:pPr>
              <w:spacing w:after="0"/>
              <w:rPr>
                <w:sz w:val="18"/>
                <w:szCs w:val="18"/>
                <w:color w:val="auto"/>
              </w:rPr>
            </w:pPr>
          </w:p>
        </w:tc>
        <w:tc>
          <w:tcPr>
            <w:tcW w:w="28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w w:val="95"/>
              </w:rPr>
              <w:t>1,918,591</w:t>
            </w:r>
          </w:p>
        </w:tc>
        <w:tc>
          <w:tcPr>
            <w:tcW w:w="160" w:type="dxa"/>
            <w:vAlign w:val="bottom"/>
            <w:tcBorders>
              <w:bottom w:val="single" w:sz="8" w:color="E7E7E8"/>
              <w:right w:val="single" w:sz="8" w:color="EEEFEE"/>
            </w:tcBorders>
            <w:shd w:val="clear" w:color="auto" w:fill="E7E7E8"/>
          </w:tcPr>
          <w:p>
            <w:pPr>
              <w:spacing w:after="0"/>
              <w:rPr>
                <w:sz w:val="18"/>
                <w:szCs w:val="18"/>
                <w:color w:val="auto"/>
              </w:rPr>
            </w:pPr>
          </w:p>
        </w:tc>
        <w:tc>
          <w:tcPr>
            <w:tcW w:w="32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4,392,832</w:t>
            </w:r>
          </w:p>
        </w:tc>
        <w:tc>
          <w:tcPr>
            <w:tcW w:w="160" w:type="dxa"/>
            <w:vAlign w:val="bottom"/>
            <w:tcBorders>
              <w:bottom w:val="single" w:sz="8" w:color="E7E7E8"/>
              <w:right w:val="single" w:sz="8" w:color="EEEFEE"/>
            </w:tcBorders>
            <w:shd w:val="clear" w:color="auto" w:fill="E7E7E8"/>
          </w:tcPr>
          <w:p>
            <w:pPr>
              <w:spacing w:after="0"/>
              <w:rPr>
                <w:sz w:val="18"/>
                <w:szCs w:val="18"/>
                <w:color w:val="auto"/>
              </w:rPr>
            </w:pPr>
          </w:p>
        </w:tc>
        <w:tc>
          <w:tcPr>
            <w:tcW w:w="3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1,408,733</w:t>
            </w:r>
          </w:p>
        </w:tc>
        <w:tc>
          <w:tcPr>
            <w:tcW w:w="180" w:type="dxa"/>
            <w:vAlign w:val="bottom"/>
            <w:tcBorders>
              <w:bottom w:val="single" w:sz="8" w:color="E7E7E8"/>
              <w:right w:val="single" w:sz="8" w:color="EEEFEE"/>
            </w:tcBorders>
            <w:shd w:val="clear" w:color="auto" w:fill="E7E7E8"/>
          </w:tcPr>
          <w:p>
            <w:pPr>
              <w:spacing w:after="0"/>
              <w:rPr>
                <w:sz w:val="18"/>
                <w:szCs w:val="18"/>
                <w:color w:val="auto"/>
              </w:rPr>
            </w:pPr>
          </w:p>
        </w:tc>
        <w:tc>
          <w:tcPr>
            <w:tcW w:w="32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8,016,055</w:t>
            </w:r>
          </w:p>
        </w:tc>
      </w:tr>
      <w:tr>
        <w:trPr>
          <w:trHeight w:val="217"/>
        </w:trPr>
        <w:tc>
          <w:tcPr>
            <w:tcW w:w="4380" w:type="dxa"/>
            <w:vAlign w:val="bottom"/>
            <w:tcBorders>
              <w:bottom w:val="single" w:sz="8" w:color="auto"/>
            </w:tcBorders>
            <w:shd w:val="clear" w:color="auto" w:fill="EEEFEE"/>
          </w:tcPr>
          <w:p>
            <w:pPr>
              <w:spacing w:after="0"/>
              <w:rPr>
                <w:sz w:val="18"/>
                <w:szCs w:val="18"/>
                <w:color w:val="auto"/>
              </w:rPr>
            </w:pPr>
          </w:p>
        </w:tc>
        <w:tc>
          <w:tcPr>
            <w:tcW w:w="120" w:type="dxa"/>
            <w:vAlign w:val="bottom"/>
            <w:tcBorders>
              <w:right w:val="single" w:sz="8" w:color="EEEFEE"/>
            </w:tcBorders>
            <w:shd w:val="clear" w:color="auto" w:fill="E7E7E8"/>
          </w:tcPr>
          <w:p>
            <w:pPr>
              <w:spacing w:after="0"/>
              <w:rPr>
                <w:sz w:val="18"/>
                <w:szCs w:val="18"/>
                <w:color w:val="auto"/>
              </w:rPr>
            </w:pPr>
          </w:p>
        </w:tc>
        <w:tc>
          <w:tcPr>
            <w:tcW w:w="52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2021</w:t>
            </w:r>
          </w:p>
        </w:tc>
        <w:tc>
          <w:tcPr>
            <w:tcW w:w="160" w:type="dxa"/>
            <w:vAlign w:val="bottom"/>
            <w:tcBorders>
              <w:right w:val="single" w:sz="8" w:color="EEEFEE"/>
            </w:tcBorders>
            <w:shd w:val="clear" w:color="auto" w:fill="E7E7E8"/>
          </w:tcPr>
          <w:p>
            <w:pPr>
              <w:spacing w:after="0"/>
              <w:rPr>
                <w:sz w:val="18"/>
                <w:szCs w:val="18"/>
                <w:color w:val="auto"/>
              </w:rPr>
            </w:pPr>
          </w:p>
        </w:tc>
        <w:tc>
          <w:tcPr>
            <w:tcW w:w="100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$330,200</w:t>
            </w:r>
          </w:p>
        </w:tc>
        <w:tc>
          <w:tcPr>
            <w:tcW w:w="160" w:type="dxa"/>
            <w:vAlign w:val="bottom"/>
            <w:tcBorders>
              <w:right w:val="single" w:sz="8" w:color="EEEFEE"/>
            </w:tcBorders>
            <w:shd w:val="clear" w:color="auto" w:fill="E7E7E8"/>
          </w:tcPr>
          <w:p>
            <w:pPr>
              <w:spacing w:after="0"/>
              <w:rPr>
                <w:sz w:val="18"/>
                <w:szCs w:val="18"/>
                <w:color w:val="auto"/>
              </w:rPr>
            </w:pPr>
          </w:p>
        </w:tc>
        <w:tc>
          <w:tcPr>
            <w:tcW w:w="28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w w:val="95"/>
              </w:rPr>
              <w:t>2,850,094</w:t>
            </w:r>
          </w:p>
        </w:tc>
        <w:tc>
          <w:tcPr>
            <w:tcW w:w="160" w:type="dxa"/>
            <w:vAlign w:val="bottom"/>
            <w:tcBorders>
              <w:right w:val="single" w:sz="8" w:color="EEEFEE"/>
            </w:tcBorders>
            <w:shd w:val="clear" w:color="auto" w:fill="E7E7E8"/>
          </w:tcPr>
          <w:p>
            <w:pPr>
              <w:spacing w:after="0"/>
              <w:rPr>
                <w:sz w:val="18"/>
                <w:szCs w:val="18"/>
                <w:color w:val="auto"/>
              </w:rPr>
            </w:pPr>
          </w:p>
        </w:tc>
        <w:tc>
          <w:tcPr>
            <w:tcW w:w="32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7,910,600</w:t>
            </w:r>
          </w:p>
        </w:tc>
        <w:tc>
          <w:tcPr>
            <w:tcW w:w="160" w:type="dxa"/>
            <w:vAlign w:val="bottom"/>
            <w:tcBorders>
              <w:right w:val="single" w:sz="8" w:color="EEEFEE"/>
            </w:tcBorders>
            <w:shd w:val="clear" w:color="auto" w:fill="E7E7E8"/>
          </w:tcPr>
          <w:p>
            <w:pPr>
              <w:spacing w:after="0"/>
              <w:rPr>
                <w:sz w:val="18"/>
                <w:szCs w:val="18"/>
                <w:color w:val="auto"/>
              </w:rPr>
            </w:pPr>
          </w:p>
        </w:tc>
        <w:tc>
          <w:tcPr>
            <w:tcW w:w="3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31,214</w:t>
            </w:r>
          </w:p>
        </w:tc>
        <w:tc>
          <w:tcPr>
            <w:tcW w:w="180" w:type="dxa"/>
            <w:vAlign w:val="bottom"/>
            <w:tcBorders>
              <w:right w:val="single" w:sz="8" w:color="EEEFEE"/>
            </w:tcBorders>
            <w:shd w:val="clear" w:color="auto" w:fill="E7E7E8"/>
          </w:tcPr>
          <w:p>
            <w:pPr>
              <w:spacing w:after="0"/>
              <w:rPr>
                <w:sz w:val="18"/>
                <w:szCs w:val="18"/>
                <w:color w:val="auto"/>
              </w:rPr>
            </w:pPr>
          </w:p>
        </w:tc>
        <w:tc>
          <w:tcPr>
            <w:tcW w:w="32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w w:val="98"/>
              </w:rPr>
              <w:t>11,122,108</w:t>
            </w:r>
          </w:p>
        </w:tc>
      </w:tr>
      <w:tr>
        <w:trPr>
          <w:trHeight w:val="221"/>
        </w:trPr>
        <w:tc>
          <w:tcPr>
            <w:tcW w:w="4380" w:type="dxa"/>
            <w:vAlign w:val="bottom"/>
          </w:tcPr>
          <w:p>
            <w:pPr>
              <w:ind w:left="60"/>
              <w:spacing w:after="0"/>
              <w:rPr>
                <w:sz w:val="20"/>
                <w:szCs w:val="20"/>
                <w:color w:val="auto"/>
              </w:rPr>
            </w:pPr>
            <w:r>
              <w:rPr>
                <w:rFonts w:ascii="Arial" w:cs="Arial" w:eastAsia="Arial" w:hAnsi="Arial"/>
                <w:sz w:val="15"/>
                <w:szCs w:val="15"/>
                <w:b w:val="1"/>
                <w:bCs w:val="1"/>
                <w:color w:val="00254F"/>
              </w:rPr>
              <w:t>Eric L. Veiel</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2023</w:t>
            </w:r>
          </w:p>
        </w:tc>
        <w:tc>
          <w:tcPr>
            <w:tcW w:w="16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$350,000</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3,000,010</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5,500,000</w:t>
            </w:r>
          </w:p>
        </w:tc>
        <w:tc>
          <w:tcPr>
            <w:tcW w:w="160" w:type="dxa"/>
            <w:vAlign w:val="bottom"/>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92,924</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8,942,934</w:t>
            </w:r>
          </w:p>
        </w:tc>
      </w:tr>
      <w:tr>
        <w:trPr>
          <w:trHeight w:val="213"/>
        </w:trPr>
        <w:tc>
          <w:tcPr>
            <w:tcW w:w="4380" w:type="dxa"/>
            <w:vAlign w:val="bottom"/>
          </w:tcPr>
          <w:p>
            <w:pPr>
              <w:ind w:left="60"/>
              <w:spacing w:after="0"/>
              <w:rPr>
                <w:sz w:val="20"/>
                <w:szCs w:val="20"/>
                <w:color w:val="auto"/>
              </w:rPr>
            </w:pPr>
            <w:r>
              <w:rPr>
                <w:rFonts w:ascii="Arial" w:cs="Arial" w:eastAsia="Arial" w:hAnsi="Arial"/>
                <w:sz w:val="15"/>
                <w:szCs w:val="15"/>
                <w:color w:val="auto"/>
              </w:rPr>
              <w:t>Head of Global Investments and CIO</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2022</w:t>
            </w:r>
          </w:p>
        </w:tc>
        <w:tc>
          <w:tcPr>
            <w:tcW w:w="1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$350,000</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3,150,212</w:t>
            </w:r>
          </w:p>
        </w:tc>
        <w:tc>
          <w:tcPr>
            <w:tcW w:w="160" w:type="dxa"/>
            <w:vAlign w:val="bottom"/>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6,000,000</w:t>
            </w:r>
          </w:p>
        </w:tc>
        <w:tc>
          <w:tcPr>
            <w:tcW w:w="160" w:type="dxa"/>
            <w:vAlign w:val="bottom"/>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88,154</w:t>
            </w:r>
          </w:p>
        </w:tc>
        <w:tc>
          <w:tcPr>
            <w:tcW w:w="180" w:type="dxa"/>
            <w:vAlign w:val="bottom"/>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9,588,366</w:t>
            </w:r>
          </w:p>
        </w:tc>
      </w:tr>
      <w:tr>
        <w:trPr>
          <w:trHeight w:val="217"/>
        </w:trPr>
        <w:tc>
          <w:tcPr>
            <w:tcW w:w="4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2021</w:t>
            </w:r>
          </w:p>
        </w:tc>
        <w:tc>
          <w:tcPr>
            <w:tcW w:w="1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$350,000</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4,200,397</w:t>
            </w:r>
          </w:p>
        </w:tc>
        <w:tc>
          <w:tcPr>
            <w:tcW w:w="160" w:type="dxa"/>
            <w:vAlign w:val="bottom"/>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8,250,000</w:t>
            </w:r>
          </w:p>
        </w:tc>
        <w:tc>
          <w:tcPr>
            <w:tcW w:w="160" w:type="dxa"/>
            <w:vAlign w:val="bottom"/>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86,018</w:t>
            </w:r>
          </w:p>
        </w:tc>
        <w:tc>
          <w:tcPr>
            <w:tcW w:w="180" w:type="dxa"/>
            <w:vAlign w:val="bottom"/>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12,886,415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2777490</wp:posOffset>
            </wp:positionH>
            <wp:positionV relativeFrom="paragraph">
              <wp:posOffset>-1689735</wp:posOffset>
            </wp:positionV>
            <wp:extent cx="63500" cy="4521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3500" cy="452120"/>
                    </a:xfrm>
                    <a:prstGeom prst="rect">
                      <a:avLst/>
                    </a:prstGeom>
                    <a:noFill/>
                  </pic:spPr>
                </pic:pic>
              </a:graphicData>
            </a:graphic>
          </wp:anchor>
        </w:drawing>
        <w:drawing>
          <wp:anchor simplePos="0" relativeHeight="251657728" behindDoc="1" locked="0" layoutInCell="0" allowOverlap="1">
            <wp:simplePos x="0" y="0"/>
            <wp:positionH relativeFrom="column">
              <wp:posOffset>3182620</wp:posOffset>
            </wp:positionH>
            <wp:positionV relativeFrom="paragraph">
              <wp:posOffset>-1689735</wp:posOffset>
            </wp:positionV>
            <wp:extent cx="95250" cy="4521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95250" cy="452120"/>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-1689735</wp:posOffset>
            </wp:positionV>
            <wp:extent cx="95250" cy="4521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95250" cy="452120"/>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-1689735</wp:posOffset>
            </wp:positionV>
            <wp:extent cx="95250" cy="4521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95250" cy="452120"/>
                    </a:xfrm>
                    <a:prstGeom prst="rect">
                      <a:avLst/>
                    </a:prstGeom>
                    <a:noFill/>
                  </pic:spPr>
                </pic:pic>
              </a:graphicData>
            </a:graphic>
          </wp:anchor>
        </w:drawing>
        <w:drawing>
          <wp:anchor simplePos="0" relativeHeight="251657728" behindDoc="1" locked="0" layoutInCell="0" allowOverlap="1">
            <wp:simplePos x="0" y="0"/>
            <wp:positionH relativeFrom="column">
              <wp:posOffset>5483860</wp:posOffset>
            </wp:positionH>
            <wp:positionV relativeFrom="paragraph">
              <wp:posOffset>-1689735</wp:posOffset>
            </wp:positionV>
            <wp:extent cx="95250" cy="4521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95250" cy="452120"/>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-1689735</wp:posOffset>
            </wp:positionV>
            <wp:extent cx="95250" cy="4521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95250" cy="452120"/>
                    </a:xfrm>
                    <a:prstGeom prst="rect">
                      <a:avLst/>
                    </a:prstGeom>
                    <a:noFill/>
                  </pic:spPr>
                </pic:pic>
              </a:graphicData>
            </a:graphic>
          </wp:anchor>
        </w:drawing>
        <w:drawing>
          <wp:anchor simplePos="0" relativeHeight="251657728" behindDoc="1" locked="0" layoutInCell="0" allowOverlap="1">
            <wp:simplePos x="0" y="0"/>
            <wp:positionH relativeFrom="column">
              <wp:posOffset>2777490</wp:posOffset>
            </wp:positionH>
            <wp:positionV relativeFrom="paragraph">
              <wp:posOffset>-935990</wp:posOffset>
            </wp:positionV>
            <wp:extent cx="63500" cy="4762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3500" cy="476250"/>
                    </a:xfrm>
                    <a:prstGeom prst="rect">
                      <a:avLst/>
                    </a:prstGeom>
                    <a:noFill/>
                  </pic:spPr>
                </pic:pic>
              </a:graphicData>
            </a:graphic>
          </wp:anchor>
        </w:drawing>
        <w:drawing>
          <wp:anchor simplePos="0" relativeHeight="251657728" behindDoc="1" locked="0" layoutInCell="0" allowOverlap="1">
            <wp:simplePos x="0" y="0"/>
            <wp:positionH relativeFrom="column">
              <wp:posOffset>3182620</wp:posOffset>
            </wp:positionH>
            <wp:positionV relativeFrom="paragraph">
              <wp:posOffset>-935990</wp:posOffset>
            </wp:positionV>
            <wp:extent cx="95250" cy="4762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95250" cy="476250"/>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-935990</wp:posOffset>
            </wp:positionV>
            <wp:extent cx="95250" cy="4762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95250" cy="476250"/>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-935990</wp:posOffset>
            </wp:positionV>
            <wp:extent cx="95250" cy="4762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95250" cy="476250"/>
                    </a:xfrm>
                    <a:prstGeom prst="rect">
                      <a:avLst/>
                    </a:prstGeom>
                    <a:noFill/>
                  </pic:spPr>
                </pic:pic>
              </a:graphicData>
            </a:graphic>
          </wp:anchor>
        </w:drawing>
        <w:drawing>
          <wp:anchor simplePos="0" relativeHeight="251657728" behindDoc="1" locked="0" layoutInCell="0" allowOverlap="1">
            <wp:simplePos x="0" y="0"/>
            <wp:positionH relativeFrom="column">
              <wp:posOffset>5483860</wp:posOffset>
            </wp:positionH>
            <wp:positionV relativeFrom="paragraph">
              <wp:posOffset>-935990</wp:posOffset>
            </wp:positionV>
            <wp:extent cx="95250" cy="4762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95250" cy="476250"/>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-935990</wp:posOffset>
            </wp:positionV>
            <wp:extent cx="95250" cy="4762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95250" cy="476250"/>
                    </a:xfrm>
                    <a:prstGeom prst="rect">
                      <a:avLst/>
                    </a:prstGeom>
                    <a:noFill/>
                  </pic:spPr>
                </pic:pic>
              </a:graphicData>
            </a:graphic>
          </wp:anchor>
        </w:drawing>
      </w:r>
    </w:p>
    <w:p>
      <w:pPr>
        <w:spacing w:after="0" w:line="35" w:lineRule="exact"/>
        <w:rPr>
          <w:sz w:val="20"/>
          <w:szCs w:val="20"/>
          <w:color w:val="auto"/>
        </w:rPr>
      </w:pPr>
    </w:p>
    <w:p>
      <w:pPr>
        <w:ind w:left="260" w:right="140" w:hanging="260"/>
        <w:spacing w:after="0" w:line="193" w:lineRule="auto"/>
        <w:tabs>
          <w:tab w:leader="none" w:pos="260" w:val="left"/>
        </w:tabs>
        <w:numPr>
          <w:ilvl w:val="0"/>
          <w:numId w:val="87"/>
        </w:numPr>
        <w:rPr>
          <w:rFonts w:ascii="Arial" w:cs="Arial" w:eastAsia="Arial" w:hAnsi="Arial"/>
          <w:sz w:val="22"/>
          <w:szCs w:val="22"/>
          <w:color w:val="auto"/>
          <w:vertAlign w:val="superscript"/>
        </w:rPr>
      </w:pPr>
      <w:r>
        <w:rPr>
          <w:rFonts w:ascii="Arial" w:cs="Arial" w:eastAsia="Arial" w:hAnsi="Arial"/>
          <w:sz w:val="13"/>
          <w:szCs w:val="13"/>
          <w:color w:val="auto"/>
        </w:rPr>
        <w:t>Includes only those columns relating to compensation awarded to, earned by, or paid to the NEOs in 2023, 2022, and 2021. All other columns have been omitted. Mr. August became an NEO in 2022; therefore, the amounts for 2021 have been omitted.</w:t>
      </w:r>
    </w:p>
    <w:p>
      <w:pPr>
        <w:spacing w:after="0" w:line="64" w:lineRule="exact"/>
        <w:rPr>
          <w:sz w:val="20"/>
          <w:szCs w:val="20"/>
          <w:color w:val="auto"/>
        </w:rPr>
      </w:pPr>
    </w:p>
    <w:p>
      <w:pPr>
        <w:ind w:left="260" w:right="100" w:hanging="260"/>
        <w:spacing w:after="0" w:line="206" w:lineRule="auto"/>
        <w:tabs>
          <w:tab w:leader="none" w:pos="260" w:val="left"/>
        </w:tabs>
        <w:numPr>
          <w:ilvl w:val="0"/>
          <w:numId w:val="88"/>
        </w:numPr>
        <w:rPr>
          <w:rFonts w:ascii="Arial" w:cs="Arial" w:eastAsia="Arial" w:hAnsi="Arial"/>
          <w:sz w:val="22"/>
          <w:szCs w:val="22"/>
          <w:color w:val="auto"/>
          <w:vertAlign w:val="superscript"/>
        </w:rPr>
      </w:pPr>
      <w:r>
        <w:rPr>
          <w:rFonts w:ascii="Arial" w:cs="Arial" w:eastAsia="Arial" w:hAnsi="Arial"/>
          <w:sz w:val="13"/>
          <w:szCs w:val="13"/>
          <w:color w:val="auto"/>
        </w:rPr>
        <w:t>Cash amounts, including salary and AICP bonus, received by Mr. Thomson pursuant to his employment agreement were paid in British pounds. In calculating the U.S. equivalent for amounts that are not denominated in U.S. dollars (USD), the Company converts each payment to Mr. Thomson into U.S. dollars based on an average monthly revaluation rate during the applicable year. The average exchange rate for 2023 revaluation was £1 to $1.2469.</w:t>
      </w:r>
    </w:p>
    <w:p>
      <w:pPr>
        <w:spacing w:after="0" w:line="64" w:lineRule="exact"/>
        <w:rPr>
          <w:sz w:val="20"/>
          <w:szCs w:val="20"/>
          <w:color w:val="auto"/>
        </w:rPr>
      </w:pPr>
    </w:p>
    <w:p>
      <w:pPr>
        <w:ind w:left="260" w:right="200" w:hanging="260"/>
        <w:spacing w:after="0" w:line="206" w:lineRule="auto"/>
        <w:tabs>
          <w:tab w:leader="none" w:pos="260" w:val="left"/>
        </w:tabs>
        <w:numPr>
          <w:ilvl w:val="0"/>
          <w:numId w:val="89"/>
        </w:numPr>
        <w:rPr>
          <w:rFonts w:ascii="Arial" w:cs="Arial" w:eastAsia="Arial" w:hAnsi="Arial"/>
          <w:sz w:val="22"/>
          <w:szCs w:val="22"/>
          <w:color w:val="auto"/>
          <w:vertAlign w:val="superscript"/>
        </w:rPr>
      </w:pPr>
      <w:r>
        <w:rPr>
          <w:rFonts w:ascii="Arial" w:cs="Arial" w:eastAsia="Arial" w:hAnsi="Arial"/>
          <w:sz w:val="13"/>
          <w:szCs w:val="13"/>
          <w:color w:val="auto"/>
        </w:rPr>
        <w:t>Represents the full grant date fair value of performance-based and time-based RSUs granted in accordance with FASB ASC Topic 718. The fair value was computed using the market price per share of Price Group common stock on the date of grant multiplied by the target number of units, as this was considered the probable outcome. See the Grants of Plan-Based Awards Table for the target number of units for 2023.</w:t>
      </w:r>
    </w:p>
    <w:p>
      <w:pPr>
        <w:spacing w:after="0" w:line="64" w:lineRule="exact"/>
        <w:rPr>
          <w:sz w:val="20"/>
          <w:szCs w:val="20"/>
          <w:color w:val="auto"/>
        </w:rPr>
      </w:pPr>
    </w:p>
    <w:p>
      <w:pPr>
        <w:ind w:left="260" w:right="240" w:hanging="260"/>
        <w:spacing w:after="0" w:line="206" w:lineRule="auto"/>
        <w:tabs>
          <w:tab w:leader="none" w:pos="260" w:val="left"/>
        </w:tabs>
        <w:numPr>
          <w:ilvl w:val="0"/>
          <w:numId w:val="90"/>
        </w:numPr>
        <w:rPr>
          <w:rFonts w:ascii="Arial" w:cs="Arial" w:eastAsia="Arial" w:hAnsi="Arial"/>
          <w:sz w:val="22"/>
          <w:szCs w:val="22"/>
          <w:color w:val="auto"/>
          <w:vertAlign w:val="superscript"/>
        </w:rPr>
      </w:pPr>
      <w:r>
        <w:rPr>
          <w:rFonts w:ascii="Arial" w:cs="Arial" w:eastAsia="Arial" w:hAnsi="Arial"/>
          <w:sz w:val="13"/>
          <w:szCs w:val="13"/>
          <w:color w:val="auto"/>
        </w:rPr>
        <w:t>Represents cash amounts awarded by the Compensation Committee and paid to NEOs under the 2023 AICP or the OHA Pool for Mr. August. Mr. Thomson's amount also includes the MFUs grant date award value of $1,600,250. See our CD&amp;A and the Grants of Plan-Based Awards Table for more details regarding the workings of these plans. These amounts also include amounts elected, if any, to be deferred under the Supplemental Savings Plan. See the Nonqualified Deferred Compensation Table for further details.</w:t>
      </w:r>
    </w:p>
    <w:p>
      <w:pPr>
        <w:ind w:left="260" w:hanging="260"/>
        <w:spacing w:after="0" w:line="226" w:lineRule="auto"/>
        <w:tabs>
          <w:tab w:leader="none" w:pos="260" w:val="left"/>
        </w:tabs>
        <w:numPr>
          <w:ilvl w:val="0"/>
          <w:numId w:val="91"/>
        </w:numPr>
        <w:rPr>
          <w:rFonts w:ascii="Arial" w:cs="Arial" w:eastAsia="Arial" w:hAnsi="Arial"/>
          <w:sz w:val="22"/>
          <w:szCs w:val="22"/>
          <w:color w:val="auto"/>
          <w:vertAlign w:val="superscript"/>
        </w:rPr>
      </w:pPr>
      <w:r>
        <w:rPr>
          <w:rFonts w:ascii="Arial" w:cs="Arial" w:eastAsia="Arial" w:hAnsi="Arial"/>
          <w:sz w:val="13"/>
          <w:szCs w:val="13"/>
          <w:color w:val="auto"/>
        </w:rPr>
        <w:t>The following types of compensation are included in the "All Other Compensation" column for 2023:</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62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1060" w:type="dxa"/>
            <w:vAlign w:val="bottom"/>
            <w:gridSpan w:val="2"/>
          </w:tcPr>
          <w:p>
            <w:pPr>
              <w:jc w:val="center"/>
              <w:ind w:left="259"/>
              <w:spacing w:after="0"/>
              <w:rPr>
                <w:sz w:val="20"/>
                <w:szCs w:val="20"/>
                <w:color w:val="auto"/>
              </w:rPr>
            </w:pPr>
            <w:r>
              <w:rPr>
                <w:rFonts w:ascii="Arial" w:cs="Arial" w:eastAsia="Arial" w:hAnsi="Arial"/>
                <w:sz w:val="12"/>
                <w:szCs w:val="12"/>
                <w:b w:val="1"/>
                <w:bCs w:val="1"/>
                <w:color w:val="auto"/>
                <w:w w:val="95"/>
              </w:rPr>
              <w:t>MATCHING</w:t>
            </w:r>
          </w:p>
        </w:tc>
        <w:tc>
          <w:tcPr>
            <w:tcW w:w="80" w:type="dxa"/>
            <w:vAlign w:val="bottom"/>
            <w:tcBorders>
              <w:right w:val="single" w:sz="8" w:color="auto"/>
            </w:tcBorders>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62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040" w:type="dxa"/>
            <w:vAlign w:val="bottom"/>
            <w:gridSpan w:val="2"/>
          </w:tcPr>
          <w:p>
            <w:pPr>
              <w:jc w:val="right"/>
              <w:spacing w:after="0" w:line="137" w:lineRule="exact"/>
              <w:rPr>
                <w:sz w:val="20"/>
                <w:szCs w:val="20"/>
                <w:color w:val="auto"/>
              </w:rPr>
            </w:pPr>
            <w:r>
              <w:rPr>
                <w:rFonts w:ascii="Arial" w:cs="Arial" w:eastAsia="Arial" w:hAnsi="Arial"/>
                <w:sz w:val="12"/>
                <w:szCs w:val="12"/>
                <w:b w:val="1"/>
                <w:bCs w:val="1"/>
                <w:color w:val="auto"/>
              </w:rPr>
              <w:t>RETIREMENT</w:t>
            </w:r>
          </w:p>
        </w:tc>
        <w:tc>
          <w:tcPr>
            <w:tcW w:w="80" w:type="dxa"/>
            <w:vAlign w:val="bottom"/>
            <w:tcBorders>
              <w:right w:val="single" w:sz="8" w:color="auto"/>
            </w:tcBorders>
          </w:tcPr>
          <w:p>
            <w:pPr>
              <w:spacing w:after="0"/>
              <w:rPr>
                <w:sz w:val="11"/>
                <w:szCs w:val="11"/>
                <w:color w:val="auto"/>
              </w:rPr>
            </w:pPr>
          </w:p>
        </w:tc>
        <w:tc>
          <w:tcPr>
            <w:tcW w:w="1060" w:type="dxa"/>
            <w:vAlign w:val="bottom"/>
            <w:gridSpan w:val="2"/>
          </w:tcPr>
          <w:p>
            <w:pPr>
              <w:jc w:val="right"/>
              <w:spacing w:after="0" w:line="137" w:lineRule="exact"/>
              <w:rPr>
                <w:sz w:val="20"/>
                <w:szCs w:val="20"/>
                <w:color w:val="auto"/>
              </w:rPr>
            </w:pPr>
            <w:r>
              <w:rPr>
                <w:rFonts w:ascii="Arial" w:cs="Arial" w:eastAsia="Arial" w:hAnsi="Arial"/>
                <w:sz w:val="12"/>
                <w:szCs w:val="12"/>
                <w:b w:val="1"/>
                <w:bCs w:val="1"/>
                <w:color w:val="auto"/>
                <w:w w:val="99"/>
              </w:rPr>
              <w:t>CONTRIBUTIONS</w:t>
            </w:r>
          </w:p>
        </w:tc>
        <w:tc>
          <w:tcPr>
            <w:tcW w:w="80" w:type="dxa"/>
            <w:vAlign w:val="bottom"/>
            <w:tcBorders>
              <w:right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right"/>
              <w:spacing w:after="0" w:line="137" w:lineRule="exact"/>
              <w:rPr>
                <w:sz w:val="20"/>
                <w:szCs w:val="20"/>
                <w:color w:val="auto"/>
              </w:rPr>
            </w:pPr>
            <w:r>
              <w:rPr>
                <w:rFonts w:ascii="Arial" w:cs="Arial" w:eastAsia="Arial" w:hAnsi="Arial"/>
                <w:sz w:val="12"/>
                <w:szCs w:val="12"/>
                <w:b w:val="1"/>
                <w:bCs w:val="1"/>
                <w:color w:val="auto"/>
              </w:rPr>
              <w:t>FIXED</w:t>
            </w:r>
          </w:p>
        </w:tc>
        <w:tc>
          <w:tcPr>
            <w:tcW w:w="80" w:type="dxa"/>
            <w:vAlign w:val="bottom"/>
            <w:tcBorders>
              <w:right w:val="single" w:sz="8" w:color="auto"/>
            </w:tcBorders>
          </w:tcPr>
          <w:p>
            <w:pPr>
              <w:spacing w:after="0"/>
              <w:rPr>
                <w:sz w:val="11"/>
                <w:szCs w:val="11"/>
                <w:color w:val="auto"/>
              </w:rPr>
            </w:pPr>
          </w:p>
        </w:tc>
        <w:tc>
          <w:tcPr>
            <w:tcW w:w="1060" w:type="dxa"/>
            <w:vAlign w:val="bottom"/>
            <w:gridSpan w:val="2"/>
          </w:tcPr>
          <w:p>
            <w:pPr>
              <w:jc w:val="right"/>
              <w:spacing w:after="0" w:line="137" w:lineRule="exact"/>
              <w:rPr>
                <w:sz w:val="20"/>
                <w:szCs w:val="20"/>
                <w:color w:val="auto"/>
              </w:rPr>
            </w:pPr>
            <w:r>
              <w:rPr>
                <w:rFonts w:ascii="Arial" w:cs="Arial" w:eastAsia="Arial" w:hAnsi="Arial"/>
                <w:sz w:val="12"/>
                <w:szCs w:val="12"/>
                <w:b w:val="1"/>
                <w:bCs w:val="1"/>
                <w:color w:val="auto"/>
              </w:rPr>
              <w:t>PERQUISITES</w:t>
            </w:r>
          </w:p>
        </w:tc>
        <w:tc>
          <w:tcPr>
            <w:tcW w:w="8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62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CONTRIBUTIONS</w:t>
            </w:r>
          </w:p>
        </w:tc>
        <w:tc>
          <w:tcPr>
            <w:tcW w:w="1040" w:type="dxa"/>
            <w:vAlign w:val="bottom"/>
            <w:gridSpan w:val="2"/>
          </w:tcPr>
          <w:p>
            <w:pPr>
              <w:jc w:val="right"/>
              <w:spacing w:after="0"/>
              <w:rPr>
                <w:sz w:val="20"/>
                <w:szCs w:val="20"/>
                <w:color w:val="auto"/>
              </w:rPr>
            </w:pPr>
            <w:r>
              <w:rPr>
                <w:rFonts w:ascii="Arial" w:cs="Arial" w:eastAsia="Arial" w:hAnsi="Arial"/>
                <w:sz w:val="12"/>
                <w:szCs w:val="12"/>
                <w:b w:val="1"/>
                <w:bCs w:val="1"/>
                <w:color w:val="auto"/>
              </w:rPr>
              <w:t>PROGRAM</w:t>
            </w:r>
          </w:p>
        </w:tc>
        <w:tc>
          <w:tcPr>
            <w:tcW w:w="80" w:type="dxa"/>
            <w:vAlign w:val="bottom"/>
            <w:tcBorders>
              <w:right w:val="single" w:sz="8" w:color="auto"/>
            </w:tcBorders>
          </w:tcPr>
          <w:p>
            <w:pPr>
              <w:spacing w:after="0"/>
              <w:rPr>
                <w:sz w:val="12"/>
                <w:szCs w:val="12"/>
                <w:color w:val="auto"/>
              </w:rPr>
            </w:pPr>
          </w:p>
        </w:tc>
        <w:tc>
          <w:tcPr>
            <w:tcW w:w="1060" w:type="dxa"/>
            <w:vAlign w:val="bottom"/>
            <w:gridSpan w:val="2"/>
          </w:tcPr>
          <w:p>
            <w:pPr>
              <w:jc w:val="center"/>
              <w:ind w:left="279"/>
              <w:spacing w:after="0"/>
              <w:rPr>
                <w:sz w:val="20"/>
                <w:szCs w:val="20"/>
                <w:color w:val="auto"/>
              </w:rPr>
            </w:pPr>
            <w:r>
              <w:rPr>
                <w:rFonts w:ascii="Arial" w:cs="Arial" w:eastAsia="Arial" w:hAnsi="Arial"/>
                <w:sz w:val="12"/>
                <w:szCs w:val="12"/>
                <w:b w:val="1"/>
                <w:bCs w:val="1"/>
                <w:color w:val="auto"/>
                <w:w w:val="96"/>
              </w:rPr>
              <w:t>TO STOCK</w:t>
            </w:r>
          </w:p>
        </w:tc>
        <w:tc>
          <w:tcPr>
            <w:tcW w:w="80" w:type="dxa"/>
            <w:vAlign w:val="bottom"/>
            <w:tcBorders>
              <w:right w:val="single" w:sz="8" w:color="auto"/>
            </w:tcBorders>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b w:val="1"/>
                <w:bCs w:val="1"/>
                <w:color w:val="auto"/>
              </w:rPr>
              <w:t>MATCHING GIFTS</w:t>
            </w:r>
          </w:p>
        </w:tc>
        <w:tc>
          <w:tcPr>
            <w:tcW w:w="8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CARRIED</w:t>
            </w:r>
          </w:p>
        </w:tc>
        <w:tc>
          <w:tcPr>
            <w:tcW w:w="80" w:type="dxa"/>
            <w:vAlign w:val="bottom"/>
            <w:tcBorders>
              <w:right w:val="single" w:sz="8" w:color="auto"/>
            </w:tcBorders>
          </w:tcPr>
          <w:p>
            <w:pPr>
              <w:spacing w:after="0"/>
              <w:rPr>
                <w:sz w:val="12"/>
                <w:szCs w:val="12"/>
                <w:color w:val="auto"/>
              </w:rPr>
            </w:pPr>
          </w:p>
        </w:tc>
        <w:tc>
          <w:tcPr>
            <w:tcW w:w="1340" w:type="dxa"/>
            <w:vAlign w:val="bottom"/>
            <w:gridSpan w:val="2"/>
          </w:tcPr>
          <w:p>
            <w:pPr>
              <w:jc w:val="right"/>
              <w:spacing w:after="0"/>
              <w:rPr>
                <w:sz w:val="20"/>
                <w:szCs w:val="20"/>
                <w:color w:val="auto"/>
              </w:rPr>
            </w:pPr>
            <w:r>
              <w:rPr>
                <w:rFonts w:ascii="Arial" w:cs="Arial" w:eastAsia="Arial" w:hAnsi="Arial"/>
                <w:sz w:val="12"/>
                <w:szCs w:val="12"/>
                <w:b w:val="1"/>
                <w:bCs w:val="1"/>
                <w:color w:val="auto"/>
              </w:rPr>
              <w:t>SUPPLEMENTAL</w:t>
            </w:r>
          </w:p>
        </w:tc>
        <w:tc>
          <w:tcPr>
            <w:tcW w:w="80" w:type="dxa"/>
            <w:vAlign w:val="bottom"/>
            <w:tcBorders>
              <w:right w:val="single" w:sz="8" w:color="auto"/>
            </w:tcBorders>
          </w:tcPr>
          <w:p>
            <w:pPr>
              <w:spacing w:after="0"/>
              <w:rPr>
                <w:sz w:val="12"/>
                <w:szCs w:val="12"/>
                <w:color w:val="auto"/>
              </w:rPr>
            </w:pPr>
          </w:p>
        </w:tc>
        <w:tc>
          <w:tcPr>
            <w:tcW w:w="1060" w:type="dxa"/>
            <w:vAlign w:val="bottom"/>
            <w:gridSpan w:val="2"/>
          </w:tcPr>
          <w:p>
            <w:pPr>
              <w:jc w:val="right"/>
              <w:spacing w:after="0"/>
              <w:rPr>
                <w:sz w:val="20"/>
                <w:szCs w:val="20"/>
                <w:color w:val="auto"/>
              </w:rPr>
            </w:pPr>
            <w:r>
              <w:rPr>
                <w:rFonts w:ascii="Arial" w:cs="Arial" w:eastAsia="Arial" w:hAnsi="Arial"/>
                <w:sz w:val="12"/>
                <w:szCs w:val="12"/>
                <w:b w:val="1"/>
                <w:bCs w:val="1"/>
                <w:color w:val="auto"/>
              </w:rPr>
              <w:t>AND OTHER</w:t>
            </w:r>
          </w:p>
        </w:tc>
        <w:tc>
          <w:tcPr>
            <w:tcW w:w="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NAME</w:t>
            </w:r>
          </w:p>
        </w:tc>
        <w:tc>
          <w:tcPr>
            <w:tcW w:w="8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gridSpan w:val="2"/>
          </w:tcPr>
          <w:p>
            <w:pPr>
              <w:jc w:val="right"/>
              <w:ind w:right="140"/>
              <w:spacing w:after="0" w:line="125" w:lineRule="exact"/>
              <w:rPr>
                <w:sz w:val="20"/>
                <w:szCs w:val="20"/>
                <w:color w:val="auto"/>
              </w:rPr>
            </w:pPr>
            <w:r>
              <w:rPr>
                <w:rFonts w:ascii="Arial" w:cs="Arial" w:eastAsia="Arial" w:hAnsi="Arial"/>
                <w:sz w:val="12"/>
                <w:szCs w:val="12"/>
                <w:b w:val="1"/>
                <w:bCs w:val="1"/>
                <w:color w:val="auto"/>
                <w:w w:val="99"/>
              </w:rPr>
              <w:t>TO RETIREMENT</w:t>
            </w:r>
          </w:p>
        </w:tc>
        <w:tc>
          <w:tcPr>
            <w:tcW w:w="580" w:type="dxa"/>
            <w:vAlign w:val="bottom"/>
          </w:tcPr>
          <w:p>
            <w:pPr>
              <w:spacing w:after="0"/>
              <w:rPr>
                <w:sz w:val="10"/>
                <w:szCs w:val="10"/>
                <w:color w:val="auto"/>
              </w:rPr>
            </w:pPr>
          </w:p>
        </w:tc>
        <w:tc>
          <w:tcPr>
            <w:tcW w:w="46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LIMIT</w:t>
            </w:r>
          </w:p>
        </w:tc>
        <w:tc>
          <w:tcPr>
            <w:tcW w:w="80" w:type="dxa"/>
            <w:vAlign w:val="bottom"/>
            <w:tcBorders>
              <w:right w:val="single" w:sz="8" w:color="auto"/>
            </w:tcBorders>
          </w:tcPr>
          <w:p>
            <w:pPr>
              <w:spacing w:after="0"/>
              <w:rPr>
                <w:sz w:val="10"/>
                <w:szCs w:val="10"/>
                <w:color w:val="auto"/>
              </w:rPr>
            </w:pPr>
          </w:p>
        </w:tc>
        <w:tc>
          <w:tcPr>
            <w:tcW w:w="1060" w:type="dxa"/>
            <w:vAlign w:val="bottom"/>
            <w:gridSpan w:val="2"/>
          </w:tcPr>
          <w:p>
            <w:pPr>
              <w:jc w:val="center"/>
              <w:ind w:left="219"/>
              <w:spacing w:after="0" w:line="125" w:lineRule="exact"/>
              <w:rPr>
                <w:sz w:val="20"/>
                <w:szCs w:val="20"/>
                <w:color w:val="auto"/>
              </w:rPr>
            </w:pPr>
            <w:r>
              <w:rPr>
                <w:rFonts w:ascii="Arial" w:cs="Arial" w:eastAsia="Arial" w:hAnsi="Arial"/>
                <w:sz w:val="12"/>
                <w:szCs w:val="12"/>
                <w:b w:val="1"/>
                <w:bCs w:val="1"/>
                <w:color w:val="auto"/>
                <w:w w:val="97"/>
              </w:rPr>
              <w:t>PURCHASE</w:t>
            </w:r>
          </w:p>
        </w:tc>
        <w:tc>
          <w:tcPr>
            <w:tcW w:w="80" w:type="dxa"/>
            <w:vAlign w:val="bottom"/>
            <w:tcBorders>
              <w:right w:val="single" w:sz="8" w:color="auto"/>
            </w:tcBorders>
          </w:tcPr>
          <w:p>
            <w:pPr>
              <w:spacing w:after="0"/>
              <w:rPr>
                <w:sz w:val="10"/>
                <w:szCs w:val="10"/>
                <w:color w:val="auto"/>
              </w:rPr>
            </w:pPr>
          </w:p>
        </w:tc>
        <w:tc>
          <w:tcPr>
            <w:tcW w:w="112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TO CHARITABLE</w:t>
            </w:r>
          </w:p>
        </w:tc>
        <w:tc>
          <w:tcPr>
            <w:tcW w:w="8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INTEREST</w:t>
            </w:r>
          </w:p>
        </w:tc>
        <w:tc>
          <w:tcPr>
            <w:tcW w:w="80" w:type="dxa"/>
            <w:vAlign w:val="bottom"/>
            <w:tcBorders>
              <w:righ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jc w:val="right"/>
              <w:spacing w:after="0" w:line="125" w:lineRule="exact"/>
              <w:rPr>
                <w:sz w:val="20"/>
                <w:szCs w:val="20"/>
                <w:color w:val="auto"/>
              </w:rPr>
            </w:pPr>
            <w:r>
              <w:rPr>
                <w:rFonts w:ascii="Arial" w:cs="Arial" w:eastAsia="Arial" w:hAnsi="Arial"/>
                <w:sz w:val="12"/>
                <w:szCs w:val="12"/>
                <w:b w:val="1"/>
                <w:bCs w:val="1"/>
                <w:color w:val="auto"/>
                <w:w w:val="98"/>
              </w:rPr>
              <w:t>PAYMENT</w:t>
            </w:r>
          </w:p>
        </w:tc>
        <w:tc>
          <w:tcPr>
            <w:tcW w:w="80" w:type="dxa"/>
            <w:vAlign w:val="bottom"/>
            <w:tcBorders>
              <w:right w:val="single" w:sz="8" w:color="auto"/>
            </w:tcBorders>
          </w:tcPr>
          <w:p>
            <w:pPr>
              <w:spacing w:after="0"/>
              <w:rPr>
                <w:sz w:val="10"/>
                <w:szCs w:val="10"/>
                <w:color w:val="auto"/>
              </w:rPr>
            </w:pPr>
          </w:p>
        </w:tc>
        <w:tc>
          <w:tcPr>
            <w:tcW w:w="1060" w:type="dxa"/>
            <w:vAlign w:val="bottom"/>
            <w:gridSpan w:val="2"/>
          </w:tcPr>
          <w:p>
            <w:pPr>
              <w:jc w:val="right"/>
              <w:spacing w:after="0" w:line="125" w:lineRule="exact"/>
              <w:rPr>
                <w:sz w:val="20"/>
                <w:szCs w:val="20"/>
                <w:color w:val="auto"/>
              </w:rPr>
            </w:pPr>
            <w:r>
              <w:rPr>
                <w:rFonts w:ascii="Arial" w:cs="Arial" w:eastAsia="Arial" w:hAnsi="Arial"/>
                <w:sz w:val="12"/>
                <w:szCs w:val="12"/>
                <w:b w:val="1"/>
                <w:bCs w:val="1"/>
                <w:color w:val="auto"/>
              </w:rPr>
              <w:t>PERSONAL</w:t>
            </w:r>
          </w:p>
        </w:tc>
        <w:tc>
          <w:tcPr>
            <w:tcW w:w="8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2"/>
        </w:trPr>
        <w:tc>
          <w:tcPr>
            <w:tcW w:w="1620" w:type="dxa"/>
            <w:vAlign w:val="bottom"/>
            <w:tcBorders>
              <w:bottom w:val="single" w:sz="8" w:color="auto"/>
            </w:tcBorders>
            <w:vMerge w:val="continue"/>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PROGRAM</w:t>
            </w:r>
          </w:p>
        </w:tc>
        <w:tc>
          <w:tcPr>
            <w:tcW w:w="100" w:type="dxa"/>
            <w:vAlign w:val="bottom"/>
            <w:tcBorders>
              <w:right w:val="single" w:sz="8" w:color="auto"/>
            </w:tcBorders>
          </w:tcPr>
          <w:p>
            <w:pPr>
              <w:spacing w:after="0"/>
              <w:rPr>
                <w:sz w:val="14"/>
                <w:szCs w:val="14"/>
                <w:color w:val="auto"/>
              </w:rPr>
            </w:pPr>
          </w:p>
        </w:tc>
        <w:tc>
          <w:tcPr>
            <w:tcW w:w="1040" w:type="dxa"/>
            <w:vAlign w:val="bottom"/>
            <w:tcBorders>
              <w:bottom w:val="single" w:sz="8" w:color="auto"/>
            </w:tcBorders>
            <w:gridSpan w:val="2"/>
          </w:tcPr>
          <w:p>
            <w:pPr>
              <w:ind w:left="500"/>
              <w:spacing w:after="0" w:line="163" w:lineRule="exact"/>
              <w:rPr>
                <w:sz w:val="20"/>
                <w:szCs w:val="20"/>
                <w:color w:val="auto"/>
              </w:rPr>
            </w:pPr>
            <w:r>
              <w:rPr>
                <w:rFonts w:ascii="Arial" w:cs="Arial" w:eastAsia="Arial" w:hAnsi="Arial"/>
                <w:sz w:val="11"/>
                <w:szCs w:val="11"/>
                <w:b w:val="1"/>
                <w:bCs w:val="1"/>
                <w:color w:val="auto"/>
              </w:rPr>
              <w:t>BONUS</w:t>
            </w:r>
            <w:r>
              <w:rPr>
                <w:rFonts w:ascii="Arial" w:cs="Arial" w:eastAsia="Arial" w:hAnsi="Arial"/>
                <w:sz w:val="18"/>
                <w:szCs w:val="18"/>
                <w:b w:val="1"/>
                <w:bCs w:val="1"/>
                <w:color w:val="auto"/>
                <w:vertAlign w:val="superscript"/>
              </w:rPr>
              <w:t>a</w:t>
            </w:r>
          </w:p>
        </w:tc>
        <w:tc>
          <w:tcPr>
            <w:tcW w:w="80" w:type="dxa"/>
            <w:vAlign w:val="bottom"/>
            <w:tcBorders>
              <w:right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spacing w:after="0" w:line="163" w:lineRule="exact"/>
              <w:rPr>
                <w:sz w:val="20"/>
                <w:szCs w:val="20"/>
                <w:color w:val="auto"/>
              </w:rPr>
            </w:pPr>
            <w:r>
              <w:rPr>
                <w:rFonts w:ascii="Arial" w:cs="Arial" w:eastAsia="Arial" w:hAnsi="Arial"/>
                <w:sz w:val="11"/>
                <w:szCs w:val="11"/>
                <w:b w:val="1"/>
                <w:bCs w:val="1"/>
                <w:color w:val="auto"/>
              </w:rPr>
              <w:t>PLAN</w:t>
            </w:r>
            <w:r>
              <w:rPr>
                <w:rFonts w:ascii="Arial" w:cs="Arial" w:eastAsia="Arial" w:hAnsi="Arial"/>
                <w:sz w:val="18"/>
                <w:szCs w:val="18"/>
                <w:b w:val="1"/>
                <w:bCs w:val="1"/>
                <w:color w:val="auto"/>
                <w:vertAlign w:val="superscript"/>
              </w:rPr>
              <w:t>b</w:t>
            </w:r>
          </w:p>
        </w:tc>
        <w:tc>
          <w:tcPr>
            <w:tcW w:w="80" w:type="dxa"/>
            <w:vAlign w:val="bottom"/>
            <w:tcBorders>
              <w:right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1"/>
                <w:szCs w:val="11"/>
                <w:b w:val="1"/>
                <w:bCs w:val="1"/>
                <w:color w:val="auto"/>
              </w:rPr>
              <w:t>ORGANIZATIONS</w:t>
            </w:r>
            <w:r>
              <w:rPr>
                <w:rFonts w:ascii="Arial" w:cs="Arial" w:eastAsia="Arial" w:hAnsi="Arial"/>
                <w:sz w:val="18"/>
                <w:szCs w:val="18"/>
                <w:b w:val="1"/>
                <w:bCs w:val="1"/>
                <w:color w:val="auto"/>
                <w:vertAlign w:val="superscript"/>
              </w:rPr>
              <w:t>c</w:t>
            </w:r>
          </w:p>
        </w:tc>
        <w:tc>
          <w:tcPr>
            <w:tcW w:w="80" w:type="dxa"/>
            <w:vAlign w:val="bottom"/>
            <w:tcBorders>
              <w:right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DISTRIBUTIONS</w:t>
            </w:r>
          </w:p>
        </w:tc>
        <w:tc>
          <w:tcPr>
            <w:tcW w:w="80" w:type="dxa"/>
            <w:vAlign w:val="bottom"/>
            <w:tcBorders>
              <w:right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ALLOWANCE</w:t>
            </w:r>
          </w:p>
        </w:tc>
        <w:tc>
          <w:tcPr>
            <w:tcW w:w="80" w:type="dxa"/>
            <w:vAlign w:val="bottom"/>
            <w:tcBorders>
              <w:right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spacing w:after="0" w:line="163" w:lineRule="exact"/>
              <w:rPr>
                <w:sz w:val="20"/>
                <w:szCs w:val="20"/>
                <w:color w:val="auto"/>
              </w:rPr>
            </w:pPr>
            <w:r>
              <w:rPr>
                <w:rFonts w:ascii="Arial" w:cs="Arial" w:eastAsia="Arial" w:hAnsi="Arial"/>
                <w:sz w:val="11"/>
                <w:szCs w:val="11"/>
                <w:b w:val="1"/>
                <w:bCs w:val="1"/>
                <w:color w:val="auto"/>
              </w:rPr>
              <w:t>BENEFITS</w:t>
            </w:r>
            <w:r>
              <w:rPr>
                <w:rFonts w:ascii="Arial" w:cs="Arial" w:eastAsia="Arial" w:hAnsi="Arial"/>
                <w:sz w:val="18"/>
                <w:szCs w:val="18"/>
                <w:b w:val="1"/>
                <w:bCs w:val="1"/>
                <w:color w:val="auto"/>
                <w:vertAlign w:val="superscript"/>
              </w:rPr>
              <w:t>d</w:t>
            </w:r>
          </w:p>
        </w:tc>
        <w:tc>
          <w:tcPr>
            <w:tcW w:w="8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620" w:type="dxa"/>
            <w:vAlign w:val="bottom"/>
          </w:tcPr>
          <w:p>
            <w:pPr>
              <w:ind w:left="60"/>
              <w:spacing w:after="0"/>
              <w:rPr>
                <w:sz w:val="20"/>
                <w:szCs w:val="20"/>
                <w:color w:val="auto"/>
              </w:rPr>
            </w:pPr>
            <w:r>
              <w:rPr>
                <w:rFonts w:ascii="Arial" w:cs="Arial" w:eastAsia="Arial" w:hAnsi="Arial"/>
                <w:sz w:val="13"/>
                <w:szCs w:val="13"/>
                <w:b w:val="1"/>
                <w:bCs w:val="1"/>
                <w:color w:val="00254F"/>
              </w:rPr>
              <w:t>Robert W. Sharps</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$43,500</w:t>
            </w:r>
          </w:p>
        </w:tc>
        <w:tc>
          <w:tcPr>
            <w:tcW w:w="100" w:type="dxa"/>
            <w:vAlign w:val="bottom"/>
          </w:tcPr>
          <w:p>
            <w:pPr>
              <w:spacing w:after="0"/>
              <w:rPr>
                <w:sz w:val="15"/>
                <w:szCs w:val="15"/>
                <w:color w:val="auto"/>
              </w:rPr>
            </w:pPr>
          </w:p>
        </w:tc>
        <w:tc>
          <w:tcPr>
            <w:tcW w:w="580" w:type="dxa"/>
            <w:vAlign w:val="bottom"/>
          </w:tcPr>
          <w:p>
            <w:pPr>
              <w:ind w:left="500"/>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5,391</w:t>
            </w:r>
          </w:p>
        </w:tc>
        <w:tc>
          <w:tcPr>
            <w:tcW w:w="1140" w:type="dxa"/>
            <w:vAlign w:val="bottom"/>
            <w:gridSpan w:val="3"/>
          </w:tcPr>
          <w:p>
            <w:pPr>
              <w:jc w:val="right"/>
              <w:spacing w:after="0"/>
              <w:rPr>
                <w:sz w:val="20"/>
                <w:szCs w:val="20"/>
                <w:color w:val="auto"/>
              </w:rPr>
            </w:pPr>
            <w:r>
              <w:rPr>
                <w:rFonts w:ascii="Arial" w:cs="Arial" w:eastAsia="Arial" w:hAnsi="Arial"/>
                <w:sz w:val="13"/>
                <w:szCs w:val="13"/>
                <w:color w:val="auto"/>
              </w:rPr>
              <w:t>$4,000</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$25,000</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13,943</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91,834</w:t>
            </w:r>
          </w:p>
        </w:tc>
        <w:tc>
          <w:tcPr>
            <w:tcW w:w="0" w:type="dxa"/>
            <w:vAlign w:val="bottom"/>
          </w:tcPr>
          <w:p>
            <w:pPr>
              <w:spacing w:after="0"/>
              <w:rPr>
                <w:sz w:val="1"/>
                <w:szCs w:val="1"/>
                <w:color w:val="auto"/>
              </w:rPr>
            </w:pPr>
          </w:p>
        </w:tc>
      </w:tr>
      <w:tr>
        <w:trPr>
          <w:trHeight w:val="180"/>
        </w:trPr>
        <w:tc>
          <w:tcPr>
            <w:tcW w:w="1620" w:type="dxa"/>
            <w:vAlign w:val="bottom"/>
            <w:tcBorders>
              <w:top w:val="single" w:sz="8" w:color="auto"/>
              <w:bottom w:val="single" w:sz="8" w:color="auto"/>
            </w:tcBorders>
            <w:shd w:val="clear" w:color="auto" w:fill="E7E7E8"/>
          </w:tcPr>
          <w:p>
            <w:pPr>
              <w:ind w:left="60"/>
              <w:spacing w:after="0"/>
              <w:rPr>
                <w:sz w:val="20"/>
                <w:szCs w:val="20"/>
                <w:color w:val="auto"/>
              </w:rPr>
            </w:pPr>
            <w:r>
              <w:rPr>
                <w:rFonts w:ascii="Arial" w:cs="Arial" w:eastAsia="Arial" w:hAnsi="Arial"/>
                <w:sz w:val="13"/>
                <w:szCs w:val="13"/>
                <w:b w:val="1"/>
                <w:bCs w:val="1"/>
                <w:color w:val="00254F"/>
              </w:rPr>
              <w:t>Jennifer B. Dardis</w:t>
            </w:r>
          </w:p>
        </w:tc>
        <w:tc>
          <w:tcPr>
            <w:tcW w:w="80" w:type="dxa"/>
            <w:vAlign w:val="bottom"/>
            <w:tcBorders>
              <w:right w:val="single" w:sz="8" w:color="E7E7E8"/>
            </w:tcBorders>
          </w:tcPr>
          <w:p>
            <w:pPr>
              <w:spacing w:after="0"/>
              <w:rPr>
                <w:sz w:val="15"/>
                <w:szCs w:val="15"/>
                <w:color w:val="auto"/>
              </w:rPr>
            </w:pPr>
          </w:p>
        </w:tc>
        <w:tc>
          <w:tcPr>
            <w:tcW w:w="104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$43,500</w:t>
            </w:r>
          </w:p>
        </w:tc>
        <w:tc>
          <w:tcPr>
            <w:tcW w:w="100" w:type="dxa"/>
            <w:vAlign w:val="bottom"/>
            <w:tcBorders>
              <w:top w:val="single" w:sz="8" w:color="E7E7E8"/>
              <w:right w:val="single" w:sz="8" w:color="E7E7E8"/>
            </w:tcBorders>
            <w:shd w:val="clear" w:color="auto" w:fill="E7E7E8"/>
          </w:tcPr>
          <w:p>
            <w:pPr>
              <w:spacing w:after="0"/>
              <w:rPr>
                <w:sz w:val="15"/>
                <w:szCs w:val="15"/>
                <w:color w:val="auto"/>
              </w:rPr>
            </w:pPr>
          </w:p>
        </w:tc>
        <w:tc>
          <w:tcPr>
            <w:tcW w:w="580" w:type="dxa"/>
            <w:vAlign w:val="bottom"/>
            <w:tcBorders>
              <w:top w:val="single" w:sz="8" w:color="auto"/>
              <w:bottom w:val="single" w:sz="8" w:color="auto"/>
            </w:tcBorders>
            <w:shd w:val="clear" w:color="auto" w:fill="E7E7E8"/>
          </w:tcPr>
          <w:p>
            <w:pPr>
              <w:ind w:left="500"/>
              <w:spacing w:after="0"/>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5,391</w:t>
            </w:r>
          </w:p>
        </w:tc>
        <w:tc>
          <w:tcPr>
            <w:tcW w:w="80" w:type="dxa"/>
            <w:vAlign w:val="bottom"/>
            <w:tcBorders>
              <w:right w:val="single" w:sz="8" w:color="E7E7E8"/>
            </w:tcBorders>
          </w:tcPr>
          <w:p>
            <w:pPr>
              <w:spacing w:after="0"/>
              <w:rPr>
                <w:sz w:val="15"/>
                <w:szCs w:val="15"/>
                <w:color w:val="auto"/>
              </w:rPr>
            </w:pPr>
          </w:p>
        </w:tc>
        <w:tc>
          <w:tcPr>
            <w:tcW w:w="1060" w:type="dxa"/>
            <w:vAlign w:val="bottom"/>
            <w:tcBorders>
              <w:top w:val="single" w:sz="8" w:color="auto"/>
              <w:bottom w:val="single" w:sz="8" w:color="auto"/>
            </w:tcBorders>
            <w:gridSpan w:val="2"/>
            <w:shd w:val="clear" w:color="auto" w:fill="E7E7E8"/>
          </w:tcPr>
          <w:p>
            <w:pPr>
              <w:jc w:val="right"/>
              <w:spacing w:after="0"/>
              <w:rPr>
                <w:sz w:val="20"/>
                <w:szCs w:val="20"/>
                <w:color w:val="auto"/>
              </w:rPr>
            </w:pPr>
            <w:r>
              <w:rPr>
                <w:rFonts w:ascii="Arial" w:cs="Arial" w:eastAsia="Arial" w:hAnsi="Arial"/>
                <w:sz w:val="13"/>
                <w:szCs w:val="13"/>
                <w:color w:val="auto"/>
              </w:rPr>
              <w:t>$4,000</w:t>
            </w:r>
          </w:p>
        </w:tc>
        <w:tc>
          <w:tcPr>
            <w:tcW w:w="80" w:type="dxa"/>
            <w:vAlign w:val="bottom"/>
            <w:tcBorders>
              <w:right w:val="single" w:sz="8" w:color="E7E7E8"/>
            </w:tcBorders>
          </w:tcPr>
          <w:p>
            <w:pPr>
              <w:spacing w:after="0"/>
              <w:rPr>
                <w:sz w:val="15"/>
                <w:szCs w:val="15"/>
                <w:color w:val="auto"/>
              </w:rPr>
            </w:pPr>
          </w:p>
        </w:tc>
        <w:tc>
          <w:tcPr>
            <w:tcW w:w="112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$25,000</w:t>
            </w:r>
          </w:p>
        </w:tc>
        <w:tc>
          <w:tcPr>
            <w:tcW w:w="80" w:type="dxa"/>
            <w:vAlign w:val="bottom"/>
            <w:tcBorders>
              <w:right w:val="single" w:sz="8" w:color="E7E7E8"/>
            </w:tcBorders>
          </w:tcPr>
          <w:p>
            <w:pPr>
              <w:spacing w:after="0"/>
              <w:rPr>
                <w:sz w:val="15"/>
                <w:szCs w:val="15"/>
                <w:color w:val="auto"/>
              </w:rPr>
            </w:pPr>
          </w:p>
        </w:tc>
        <w:tc>
          <w:tcPr>
            <w:tcW w:w="66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right w:val="single" w:sz="8" w:color="E7E7E8"/>
            </w:tcBorders>
          </w:tcPr>
          <w:p>
            <w:pPr>
              <w:spacing w:after="0"/>
              <w:rPr>
                <w:sz w:val="15"/>
                <w:szCs w:val="15"/>
                <w:color w:val="auto"/>
              </w:rPr>
            </w:pPr>
          </w:p>
        </w:tc>
        <w:tc>
          <w:tcPr>
            <w:tcW w:w="68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right w:val="single" w:sz="8" w:color="E7E7E8"/>
            </w:tcBorders>
          </w:tcPr>
          <w:p>
            <w:pPr>
              <w:spacing w:after="0"/>
              <w:rPr>
                <w:sz w:val="15"/>
                <w:szCs w:val="15"/>
                <w:color w:val="auto"/>
              </w:rPr>
            </w:pPr>
          </w:p>
        </w:tc>
        <w:tc>
          <w:tcPr>
            <w:tcW w:w="60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46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13,712</w:t>
            </w:r>
          </w:p>
        </w:tc>
        <w:tc>
          <w:tcPr>
            <w:tcW w:w="80" w:type="dxa"/>
            <w:vAlign w:val="bottom"/>
            <w:tcBorders>
              <w:right w:val="single" w:sz="8" w:color="E7E7E8"/>
            </w:tcBorders>
          </w:tcPr>
          <w:p>
            <w:pPr>
              <w:spacing w:after="0"/>
              <w:rPr>
                <w:sz w:val="15"/>
                <w:szCs w:val="15"/>
                <w:color w:val="auto"/>
              </w:rPr>
            </w:pPr>
          </w:p>
        </w:tc>
        <w:tc>
          <w:tcPr>
            <w:tcW w:w="22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91,603</w:t>
            </w:r>
          </w:p>
        </w:tc>
        <w:tc>
          <w:tcPr>
            <w:tcW w:w="0" w:type="dxa"/>
            <w:vAlign w:val="bottom"/>
          </w:tcPr>
          <w:p>
            <w:pPr>
              <w:spacing w:after="0"/>
              <w:rPr>
                <w:sz w:val="1"/>
                <w:szCs w:val="1"/>
                <w:color w:val="auto"/>
              </w:rPr>
            </w:pPr>
          </w:p>
        </w:tc>
      </w:tr>
      <w:tr>
        <w:trPr>
          <w:trHeight w:val="180"/>
        </w:trPr>
        <w:tc>
          <w:tcPr>
            <w:tcW w:w="1620" w:type="dxa"/>
            <w:vAlign w:val="bottom"/>
          </w:tcPr>
          <w:p>
            <w:pPr>
              <w:ind w:left="60"/>
              <w:spacing w:after="0"/>
              <w:rPr>
                <w:sz w:val="20"/>
                <w:szCs w:val="20"/>
                <w:color w:val="auto"/>
              </w:rPr>
            </w:pPr>
            <w:r>
              <w:rPr>
                <w:rFonts w:ascii="Arial" w:cs="Arial" w:eastAsia="Arial" w:hAnsi="Arial"/>
                <w:sz w:val="13"/>
                <w:szCs w:val="13"/>
                <w:b w:val="1"/>
                <w:bCs w:val="1"/>
                <w:color w:val="00254F"/>
              </w:rPr>
              <w:t>Glenn R. August</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$43,500</w:t>
            </w:r>
          </w:p>
        </w:tc>
        <w:tc>
          <w:tcPr>
            <w:tcW w:w="100" w:type="dxa"/>
            <w:vAlign w:val="bottom"/>
          </w:tcPr>
          <w:p>
            <w:pPr>
              <w:spacing w:after="0"/>
              <w:rPr>
                <w:sz w:val="15"/>
                <w:szCs w:val="15"/>
                <w:color w:val="auto"/>
              </w:rPr>
            </w:pPr>
          </w:p>
        </w:tc>
        <w:tc>
          <w:tcPr>
            <w:tcW w:w="580" w:type="dxa"/>
            <w:vAlign w:val="bottom"/>
          </w:tcPr>
          <w:p>
            <w:pPr>
              <w:ind w:left="500"/>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5,391</w:t>
            </w:r>
          </w:p>
        </w:tc>
        <w:tc>
          <w:tcPr>
            <w:tcW w:w="880" w:type="dxa"/>
            <w:vAlign w:val="bottom"/>
            <w:gridSpan w:val="2"/>
          </w:tcPr>
          <w:p>
            <w:pPr>
              <w:jc w:val="center"/>
              <w:ind w:left="573"/>
              <w:spacing w:after="0"/>
              <w:rPr>
                <w:sz w:val="20"/>
                <w:szCs w:val="20"/>
                <w:color w:val="auto"/>
              </w:rPr>
            </w:pPr>
            <w:r>
              <w:rPr>
                <w:rFonts w:ascii="Arial" w:cs="Arial" w:eastAsia="Arial" w:hAnsi="Arial"/>
                <w:sz w:val="13"/>
                <w:szCs w:val="13"/>
                <w:color w:val="auto"/>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$25,000</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w w:val="98"/>
              </w:rPr>
              <w:t>11,997,457</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11,281</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12,082,629</w:t>
            </w:r>
          </w:p>
        </w:tc>
        <w:tc>
          <w:tcPr>
            <w:tcW w:w="0" w:type="dxa"/>
            <w:vAlign w:val="bottom"/>
          </w:tcPr>
          <w:p>
            <w:pPr>
              <w:spacing w:after="0"/>
              <w:rPr>
                <w:sz w:val="1"/>
                <w:szCs w:val="1"/>
                <w:color w:val="auto"/>
              </w:rPr>
            </w:pPr>
          </w:p>
        </w:tc>
      </w:tr>
      <w:tr>
        <w:trPr>
          <w:trHeight w:val="180"/>
        </w:trPr>
        <w:tc>
          <w:tcPr>
            <w:tcW w:w="1620" w:type="dxa"/>
            <w:vAlign w:val="bottom"/>
            <w:tcBorders>
              <w:top w:val="single" w:sz="8" w:color="auto"/>
              <w:bottom w:val="single" w:sz="8" w:color="auto"/>
            </w:tcBorders>
            <w:shd w:val="clear" w:color="auto" w:fill="E7E7E8"/>
          </w:tcPr>
          <w:p>
            <w:pPr>
              <w:ind w:left="60"/>
              <w:spacing w:after="0"/>
              <w:rPr>
                <w:sz w:val="20"/>
                <w:szCs w:val="20"/>
                <w:color w:val="auto"/>
              </w:rPr>
            </w:pPr>
            <w:r>
              <w:rPr>
                <w:rFonts w:ascii="Arial" w:cs="Arial" w:eastAsia="Arial" w:hAnsi="Arial"/>
                <w:sz w:val="13"/>
                <w:szCs w:val="13"/>
                <w:b w:val="1"/>
                <w:bCs w:val="1"/>
                <w:color w:val="00254F"/>
              </w:rPr>
              <w:t>Justin Thomson</w:t>
            </w:r>
          </w:p>
        </w:tc>
        <w:tc>
          <w:tcPr>
            <w:tcW w:w="80" w:type="dxa"/>
            <w:vAlign w:val="bottom"/>
            <w:tcBorders>
              <w:right w:val="single" w:sz="8" w:color="E7E7E8"/>
            </w:tcBorders>
          </w:tcPr>
          <w:p>
            <w:pPr>
              <w:spacing w:after="0"/>
              <w:rPr>
                <w:sz w:val="15"/>
                <w:szCs w:val="15"/>
                <w:color w:val="auto"/>
              </w:rPr>
            </w:pPr>
          </w:p>
        </w:tc>
        <w:tc>
          <w:tcPr>
            <w:tcW w:w="1040" w:type="dxa"/>
            <w:vAlign w:val="bottom"/>
            <w:tcBorders>
              <w:top w:val="single" w:sz="8" w:color="auto"/>
              <w:bottom w:val="single" w:sz="8" w:color="auto"/>
            </w:tcBorders>
            <w:shd w:val="clear" w:color="auto" w:fill="E7E7E8"/>
          </w:tcPr>
          <w:p>
            <w:pPr>
              <w:spacing w:after="0"/>
              <w:rPr>
                <w:sz w:val="15"/>
                <w:szCs w:val="15"/>
                <w:color w:val="auto"/>
              </w:rPr>
            </w:pPr>
          </w:p>
        </w:tc>
        <w:tc>
          <w:tcPr>
            <w:tcW w:w="100" w:type="dxa"/>
            <w:vAlign w:val="bottom"/>
            <w:tcBorders>
              <w:top w:val="single" w:sz="8" w:color="E7E7E8"/>
              <w:right w:val="single" w:sz="8" w:color="E7E7E8"/>
            </w:tcBorders>
            <w:shd w:val="clear" w:color="auto" w:fill="E7E7E8"/>
          </w:tcPr>
          <w:p>
            <w:pPr>
              <w:spacing w:after="0"/>
              <w:rPr>
                <w:sz w:val="15"/>
                <w:szCs w:val="15"/>
                <w:color w:val="auto"/>
              </w:rPr>
            </w:pPr>
          </w:p>
        </w:tc>
        <w:tc>
          <w:tcPr>
            <w:tcW w:w="580" w:type="dxa"/>
            <w:vAlign w:val="bottom"/>
            <w:tcBorders>
              <w:top w:val="single" w:sz="8" w:color="auto"/>
              <w:bottom w:val="single" w:sz="8" w:color="auto"/>
            </w:tcBorders>
            <w:shd w:val="clear" w:color="auto" w:fill="E7E7E8"/>
          </w:tcPr>
          <w:p>
            <w:pPr>
              <w:ind w:left="500"/>
              <w:spacing w:after="0"/>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w w:val="95"/>
              </w:rPr>
              <w:t>27,995</w:t>
            </w:r>
          </w:p>
        </w:tc>
        <w:tc>
          <w:tcPr>
            <w:tcW w:w="80" w:type="dxa"/>
            <w:vAlign w:val="bottom"/>
            <w:tcBorders>
              <w:right w:val="single" w:sz="8" w:color="E7E7E8"/>
            </w:tcBorders>
          </w:tcPr>
          <w:p>
            <w:pPr>
              <w:spacing w:after="0"/>
              <w:rPr>
                <w:sz w:val="15"/>
                <w:szCs w:val="15"/>
                <w:color w:val="auto"/>
              </w:rPr>
            </w:pPr>
          </w:p>
        </w:tc>
        <w:tc>
          <w:tcPr>
            <w:tcW w:w="800" w:type="dxa"/>
            <w:vAlign w:val="bottom"/>
            <w:tcBorders>
              <w:top w:val="single" w:sz="8" w:color="auto"/>
              <w:bottom w:val="single" w:sz="8" w:color="auto"/>
            </w:tcBorders>
            <w:shd w:val="clear" w:color="auto" w:fill="E7E7E8"/>
          </w:tcPr>
          <w:p>
            <w:pPr>
              <w:jc w:val="center"/>
              <w:ind w:left="499"/>
              <w:spacing w:after="0"/>
              <w:rPr>
                <w:sz w:val="20"/>
                <w:szCs w:val="20"/>
                <w:color w:val="auto"/>
              </w:rPr>
            </w:pPr>
            <w:r>
              <w:rPr>
                <w:rFonts w:ascii="Arial" w:cs="Arial" w:eastAsia="Arial" w:hAnsi="Arial"/>
                <w:sz w:val="13"/>
                <w:szCs w:val="13"/>
                <w:color w:val="auto"/>
              </w:rPr>
              <w:t>$</w:t>
            </w:r>
          </w:p>
        </w:tc>
        <w:tc>
          <w:tcPr>
            <w:tcW w:w="26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right w:val="single" w:sz="8" w:color="E7E7E8"/>
            </w:tcBorders>
          </w:tcPr>
          <w:p>
            <w:pPr>
              <w:spacing w:after="0"/>
              <w:rPr>
                <w:sz w:val="15"/>
                <w:szCs w:val="15"/>
                <w:color w:val="auto"/>
              </w:rPr>
            </w:pPr>
          </w:p>
        </w:tc>
        <w:tc>
          <w:tcPr>
            <w:tcW w:w="112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    —</w:t>
            </w:r>
          </w:p>
        </w:tc>
        <w:tc>
          <w:tcPr>
            <w:tcW w:w="80" w:type="dxa"/>
            <w:vAlign w:val="bottom"/>
            <w:tcBorders>
              <w:right w:val="single" w:sz="8" w:color="E7E7E8"/>
            </w:tcBorders>
          </w:tcPr>
          <w:p>
            <w:pPr>
              <w:spacing w:after="0"/>
              <w:rPr>
                <w:sz w:val="15"/>
                <w:szCs w:val="15"/>
                <w:color w:val="auto"/>
              </w:rPr>
            </w:pPr>
          </w:p>
        </w:tc>
        <w:tc>
          <w:tcPr>
            <w:tcW w:w="66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right w:val="single" w:sz="8" w:color="E7E7E8"/>
            </w:tcBorders>
          </w:tcPr>
          <w:p>
            <w:pPr>
              <w:spacing w:after="0"/>
              <w:rPr>
                <w:sz w:val="15"/>
                <w:szCs w:val="15"/>
                <w:color w:val="auto"/>
              </w:rPr>
            </w:pPr>
          </w:p>
        </w:tc>
        <w:tc>
          <w:tcPr>
            <w:tcW w:w="68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1,373,465</w:t>
            </w:r>
          </w:p>
        </w:tc>
        <w:tc>
          <w:tcPr>
            <w:tcW w:w="80" w:type="dxa"/>
            <w:vAlign w:val="bottom"/>
            <w:tcBorders>
              <w:right w:val="single" w:sz="8" w:color="E7E7E8"/>
            </w:tcBorders>
          </w:tcPr>
          <w:p>
            <w:pPr>
              <w:spacing w:after="0"/>
              <w:rPr>
                <w:sz w:val="15"/>
                <w:szCs w:val="15"/>
                <w:color w:val="auto"/>
              </w:rPr>
            </w:pPr>
          </w:p>
        </w:tc>
        <w:tc>
          <w:tcPr>
            <w:tcW w:w="60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46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4,206</w:t>
            </w:r>
          </w:p>
        </w:tc>
        <w:tc>
          <w:tcPr>
            <w:tcW w:w="80" w:type="dxa"/>
            <w:vAlign w:val="bottom"/>
            <w:tcBorders>
              <w:right w:val="single" w:sz="8" w:color="E7E7E8"/>
            </w:tcBorders>
          </w:tcPr>
          <w:p>
            <w:pPr>
              <w:spacing w:after="0"/>
              <w:rPr>
                <w:sz w:val="15"/>
                <w:szCs w:val="15"/>
                <w:color w:val="auto"/>
              </w:rPr>
            </w:pPr>
          </w:p>
        </w:tc>
        <w:tc>
          <w:tcPr>
            <w:tcW w:w="22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1,405,666</w:t>
            </w:r>
          </w:p>
        </w:tc>
        <w:tc>
          <w:tcPr>
            <w:tcW w:w="0" w:type="dxa"/>
            <w:vAlign w:val="bottom"/>
          </w:tcPr>
          <w:p>
            <w:pPr>
              <w:spacing w:after="0"/>
              <w:rPr>
                <w:sz w:val="1"/>
                <w:szCs w:val="1"/>
                <w:color w:val="auto"/>
              </w:rPr>
            </w:pPr>
          </w:p>
        </w:tc>
      </w:tr>
      <w:tr>
        <w:trPr>
          <w:trHeight w:val="180"/>
        </w:trPr>
        <w:tc>
          <w:tcPr>
            <w:tcW w:w="16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00254F"/>
              </w:rPr>
              <w:t>Eric L. Veiel</w:t>
            </w:r>
          </w:p>
        </w:tc>
        <w:tc>
          <w:tcPr>
            <w:tcW w:w="8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$43,500</w:t>
            </w:r>
          </w:p>
        </w:tc>
        <w:tc>
          <w:tcPr>
            <w:tcW w:w="100" w:type="dxa"/>
            <w:vAlign w:val="bottom"/>
          </w:tcPr>
          <w:p>
            <w:pPr>
              <w:spacing w:after="0"/>
              <w:rPr>
                <w:sz w:val="15"/>
                <w:szCs w:val="15"/>
                <w:color w:val="auto"/>
              </w:rPr>
            </w:pPr>
          </w:p>
        </w:tc>
        <w:tc>
          <w:tcPr>
            <w:tcW w:w="580" w:type="dxa"/>
            <w:vAlign w:val="bottom"/>
            <w:tcBorders>
              <w:bottom w:val="single" w:sz="8" w:color="auto"/>
            </w:tcBorders>
          </w:tcPr>
          <w:p>
            <w:pPr>
              <w:ind w:left="500"/>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5,391</w:t>
            </w:r>
          </w:p>
        </w:tc>
        <w:tc>
          <w:tcPr>
            <w:tcW w:w="80" w:type="dxa"/>
            <w:vAlign w:val="bottom"/>
          </w:tcPr>
          <w:p>
            <w:pPr>
              <w:spacing w:after="0"/>
              <w:rPr>
                <w:sz w:val="15"/>
                <w:szCs w:val="15"/>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$4,000</w:t>
            </w:r>
          </w:p>
        </w:tc>
        <w:tc>
          <w:tcPr>
            <w:tcW w:w="8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$25,000</w:t>
            </w:r>
          </w:p>
        </w:tc>
        <w:tc>
          <w:tcPr>
            <w:tcW w:w="80" w:type="dxa"/>
            <w:vAlign w:val="bottom"/>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15,033</w:t>
            </w:r>
          </w:p>
        </w:tc>
        <w:tc>
          <w:tcPr>
            <w:tcW w:w="80" w:type="dxa"/>
            <w:vAlign w:val="bottom"/>
          </w:tcPr>
          <w:p>
            <w:pPr>
              <w:spacing w:after="0"/>
              <w:rPr>
                <w:sz w:val="15"/>
                <w:szCs w:val="15"/>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92,924</w:t>
            </w:r>
          </w:p>
        </w:tc>
        <w:tc>
          <w:tcPr>
            <w:tcW w:w="0" w:type="dxa"/>
            <w:vAlign w:val="bottom"/>
          </w:tcPr>
          <w:p>
            <w:pPr>
              <w:spacing w:after="0"/>
              <w:rPr>
                <w:sz w:val="1"/>
                <w:szCs w:val="1"/>
                <w:color w:val="auto"/>
              </w:rPr>
            </w:pPr>
          </w:p>
        </w:tc>
      </w:tr>
    </w:tbl>
    <w:p>
      <w:pPr>
        <w:spacing w:after="0" w:line="17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3"/>
          <w:szCs w:val="13"/>
          <w:b w:val="1"/>
          <w:bCs w:val="1"/>
          <w:color w:val="00244F"/>
        </w:rPr>
        <w:t>64</w:t>
        <w:tab/>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42480" cy="76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69" w:name="page70"/>
    <w:bookmarkEnd w:id="69"/>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ind w:left="300" w:right="180" w:hanging="300"/>
        <w:spacing w:after="0" w:line="213" w:lineRule="auto"/>
        <w:tabs>
          <w:tab w:leader="none" w:pos="300" w:val="left"/>
        </w:tabs>
        <w:numPr>
          <w:ilvl w:val="0"/>
          <w:numId w:val="92"/>
        </w:numPr>
        <w:rPr>
          <w:rFonts w:ascii="Arial" w:cs="Arial" w:eastAsia="Arial" w:hAnsi="Arial"/>
          <w:sz w:val="22"/>
          <w:szCs w:val="22"/>
          <w:color w:val="auto"/>
          <w:vertAlign w:val="superscript"/>
        </w:rPr>
      </w:pPr>
      <w:r>
        <w:rPr>
          <w:rFonts w:ascii="Arial" w:cs="Arial" w:eastAsia="Arial" w:hAnsi="Arial"/>
          <w:sz w:val="13"/>
          <w:szCs w:val="13"/>
          <w:color w:val="auto"/>
        </w:rPr>
        <w:t>Cash compensation for the amount calculated under the U.S. retirement program that could not be credited to their retirement accounts in 2023 due to the contribution limits imposed under Section 415 of the Internal Revenue Code. For Mr. Thomson, the amount represents cash paid in lieu of a contribution to the UK pension program as result of a Fixed Protection election he made with the UK tax authorities, which required him to opt out of the UK pension program. This amount is based on the contribution formula in the pension program and is equal to the amount he would have received had he stayed in the pension program.</w:t>
      </w:r>
    </w:p>
    <w:p>
      <w:pPr>
        <w:ind w:left="300" w:hanging="300"/>
        <w:spacing w:after="0" w:line="227" w:lineRule="auto"/>
        <w:tabs>
          <w:tab w:leader="none" w:pos="300" w:val="left"/>
        </w:tabs>
        <w:numPr>
          <w:ilvl w:val="0"/>
          <w:numId w:val="93"/>
        </w:numPr>
        <w:rPr>
          <w:rFonts w:ascii="Arial" w:cs="Arial" w:eastAsia="Arial" w:hAnsi="Arial"/>
          <w:sz w:val="22"/>
          <w:szCs w:val="22"/>
          <w:color w:val="auto"/>
          <w:vertAlign w:val="superscript"/>
        </w:rPr>
      </w:pPr>
      <w:r>
        <w:rPr>
          <w:rFonts w:ascii="Arial" w:cs="Arial" w:eastAsia="Arial" w:hAnsi="Arial"/>
          <w:sz w:val="13"/>
          <w:szCs w:val="13"/>
          <w:color w:val="auto"/>
        </w:rPr>
        <w:t>Matching contributions paid under our ESPP offered to all employees of Price Group and its subsidiaries, other than OHA employees.</w:t>
      </w:r>
    </w:p>
    <w:p>
      <w:pPr>
        <w:spacing w:after="0" w:line="95" w:lineRule="exact"/>
        <w:rPr>
          <w:sz w:val="20"/>
          <w:szCs w:val="20"/>
          <w:color w:val="auto"/>
        </w:rPr>
      </w:pPr>
    </w:p>
    <w:p>
      <w:pPr>
        <w:ind w:left="300" w:right="220" w:hanging="300"/>
        <w:spacing w:after="0" w:line="203" w:lineRule="auto"/>
        <w:tabs>
          <w:tab w:leader="none" w:pos="300" w:val="left"/>
        </w:tabs>
        <w:numPr>
          <w:ilvl w:val="0"/>
          <w:numId w:val="94"/>
        </w:numPr>
        <w:rPr>
          <w:rFonts w:ascii="Arial" w:cs="Arial" w:eastAsia="Arial" w:hAnsi="Arial"/>
          <w:sz w:val="22"/>
          <w:szCs w:val="22"/>
          <w:color w:val="auto"/>
          <w:vertAlign w:val="superscript"/>
        </w:rPr>
      </w:pPr>
      <w:r>
        <w:rPr>
          <w:rFonts w:ascii="Arial" w:cs="Arial" w:eastAsia="Arial" w:hAnsi="Arial"/>
          <w:sz w:val="13"/>
          <w:szCs w:val="13"/>
          <w:color w:val="auto"/>
        </w:rPr>
        <w:t>NEOs, directors, and all employees of Price Group and its subsidiaries are eligible to have personal gifts up to an annual limit to qualified charitable organizations matched by our sponsored T. Rowe Price Foundation, in the case of U.S. employees, and Price Group, in the case of employees outside the U.S. For 2023, all of the NEOs were eligible to have up to $25,000 matched.</w:t>
      </w:r>
    </w:p>
    <w:p>
      <w:pPr>
        <w:spacing w:after="0" w:line="63" w:lineRule="exact"/>
        <w:rPr>
          <w:sz w:val="20"/>
          <w:szCs w:val="20"/>
          <w:color w:val="auto"/>
        </w:rPr>
      </w:pPr>
    </w:p>
    <w:p>
      <w:pPr>
        <w:ind w:left="300" w:right="60" w:hanging="300"/>
        <w:spacing w:after="0" w:line="206" w:lineRule="auto"/>
        <w:tabs>
          <w:tab w:leader="none" w:pos="300" w:val="left"/>
        </w:tabs>
        <w:numPr>
          <w:ilvl w:val="0"/>
          <w:numId w:val="95"/>
        </w:numPr>
        <w:rPr>
          <w:rFonts w:ascii="Arial" w:cs="Arial" w:eastAsia="Arial" w:hAnsi="Arial"/>
          <w:sz w:val="22"/>
          <w:szCs w:val="22"/>
          <w:color w:val="auto"/>
          <w:vertAlign w:val="superscript"/>
        </w:rPr>
      </w:pPr>
      <w:r>
        <w:rPr>
          <w:rFonts w:ascii="Arial" w:cs="Arial" w:eastAsia="Arial" w:hAnsi="Arial"/>
          <w:sz w:val="13"/>
          <w:szCs w:val="13"/>
          <w:color w:val="auto"/>
        </w:rPr>
        <w:t>Costs incurred by Price Group under programs available to all senior officers, including the NEOs, for executive health benefits and parking, as well as costs covered by Price Group related to spousal participation in events held in connection with the Price Group Board meetings. For Mr. August, the amount includes costs incurred by a Price Group subsidiary related to services provided to unconsolidated OHA affiliated entities in which Mr. August has a controlling partnership stake.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244F"/>
        </w:rPr>
        <w:t>2023 Grants of Plan-Based Awards Table</w:t>
      </w:r>
    </w:p>
    <w:p>
      <w:pPr>
        <w:spacing w:after="0" w:line="225" w:lineRule="exact"/>
        <w:rPr>
          <w:sz w:val="20"/>
          <w:szCs w:val="20"/>
          <w:color w:val="auto"/>
        </w:rPr>
      </w:pPr>
    </w:p>
    <w:p>
      <w:pPr>
        <w:ind w:right="220"/>
        <w:spacing w:after="0" w:line="298" w:lineRule="auto"/>
        <w:rPr>
          <w:sz w:val="20"/>
          <w:szCs w:val="20"/>
          <w:color w:val="auto"/>
        </w:rPr>
      </w:pPr>
      <w:r>
        <w:rPr>
          <w:rFonts w:ascii="Arial" w:cs="Arial" w:eastAsia="Arial" w:hAnsi="Arial"/>
          <w:sz w:val="15"/>
          <w:szCs w:val="15"/>
          <w:color w:val="auto"/>
        </w:rPr>
        <w:t>The following table provides information concerning each plan-based award granted in 2023 to the executive officers named in the Summary Compensation Table and other information regarding their grants.</w:t>
      </w:r>
      <w:r>
        <w:rPr>
          <w:rFonts w:ascii="Arial" w:cs="Arial" w:eastAsia="Arial" w:hAnsi="Arial"/>
          <w:sz w:val="24"/>
          <w:szCs w:val="24"/>
          <w:b w:val="1"/>
          <w:bCs w:val="1"/>
          <w:color w:val="auto"/>
          <w:vertAlign w:val="superscript"/>
        </w:rPr>
        <w:t>1</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b w:val="1"/>
                <w:bCs w:val="1"/>
                <w:color w:val="auto"/>
              </w:rPr>
              <w:t>ESTIMATED</w:t>
            </w:r>
          </w:p>
        </w:tc>
        <w:tc>
          <w:tcPr>
            <w:tcW w:w="120" w:type="dxa"/>
            <w:vAlign w:val="bottom"/>
            <w:tcBorders>
              <w:righ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2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b w:val="1"/>
                <w:bCs w:val="1"/>
                <w:color w:val="auto"/>
              </w:rPr>
              <w:t>DATE OF</w:t>
            </w:r>
          </w:p>
        </w:tc>
        <w:tc>
          <w:tcPr>
            <w:tcW w:w="14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b w:val="1"/>
                <w:bCs w:val="1"/>
                <w:color w:val="auto"/>
              </w:rPr>
              <w:t>NUMBER OF</w:t>
            </w:r>
          </w:p>
        </w:tc>
        <w:tc>
          <w:tcPr>
            <w:tcW w:w="120" w:type="dxa"/>
            <w:vAlign w:val="bottom"/>
          </w:tcPr>
          <w:p>
            <w:pPr>
              <w:spacing w:after="0"/>
              <w:rPr>
                <w:sz w:val="13"/>
                <w:szCs w:val="13"/>
                <w:color w:val="auto"/>
              </w:rPr>
            </w:pPr>
          </w:p>
        </w:tc>
        <w:tc>
          <w:tcPr>
            <w:tcW w:w="1840" w:type="dxa"/>
            <w:vAlign w:val="bottom"/>
            <w:gridSpan w:val="5"/>
            <w:vMerge w:val="restart"/>
          </w:tcPr>
          <w:p>
            <w:pPr>
              <w:jc w:val="right"/>
              <w:spacing w:after="0"/>
              <w:rPr>
                <w:sz w:val="20"/>
                <w:szCs w:val="20"/>
                <w:color w:val="auto"/>
              </w:rPr>
            </w:pPr>
            <w:r>
              <w:rPr>
                <w:rFonts w:ascii="Arial" w:cs="Arial" w:eastAsia="Arial" w:hAnsi="Arial"/>
                <w:sz w:val="12"/>
                <w:szCs w:val="12"/>
                <w:b w:val="1"/>
                <w:bCs w:val="1"/>
                <w:color w:val="auto"/>
              </w:rPr>
              <w:t>ESTIMATED POSSIBLE</w:t>
            </w:r>
          </w:p>
        </w:tc>
        <w:tc>
          <w:tcPr>
            <w:tcW w:w="140" w:type="dxa"/>
            <w:vAlign w:val="bottom"/>
            <w:tcBorders>
              <w:right w:val="single" w:sz="8" w:color="auto"/>
            </w:tcBorders>
          </w:tcPr>
          <w:p>
            <w:pPr>
              <w:spacing w:after="0"/>
              <w:rPr>
                <w:sz w:val="13"/>
                <w:szCs w:val="13"/>
                <w:color w:val="auto"/>
              </w:rPr>
            </w:pPr>
          </w:p>
        </w:tc>
        <w:tc>
          <w:tcPr>
            <w:tcW w:w="2040" w:type="dxa"/>
            <w:vAlign w:val="bottom"/>
            <w:gridSpan w:val="3"/>
          </w:tcPr>
          <w:p>
            <w:pPr>
              <w:jc w:val="right"/>
              <w:spacing w:after="0"/>
              <w:rPr>
                <w:sz w:val="20"/>
                <w:szCs w:val="20"/>
                <w:color w:val="auto"/>
              </w:rPr>
            </w:pPr>
            <w:r>
              <w:rPr>
                <w:rFonts w:ascii="Arial" w:cs="Arial" w:eastAsia="Arial" w:hAnsi="Arial"/>
                <w:sz w:val="12"/>
                <w:szCs w:val="12"/>
                <w:b w:val="1"/>
                <w:bCs w:val="1"/>
                <w:color w:val="auto"/>
              </w:rPr>
              <w:t>POSSIBLE PAYOUTS</w:t>
            </w:r>
          </w:p>
        </w:tc>
        <w:tc>
          <w:tcPr>
            <w:tcW w:w="120" w:type="dxa"/>
            <w:vAlign w:val="bottom"/>
            <w:tcBorders>
              <w:right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2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28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COMPENSATION</w:t>
            </w:r>
          </w:p>
        </w:tc>
        <w:tc>
          <w:tcPr>
            <w:tcW w:w="14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gridSpan w:val="2"/>
          </w:tcPr>
          <w:p>
            <w:pPr>
              <w:jc w:val="right"/>
              <w:ind w:right="180"/>
              <w:spacing w:after="0" w:line="125" w:lineRule="exact"/>
              <w:rPr>
                <w:sz w:val="20"/>
                <w:szCs w:val="20"/>
                <w:color w:val="auto"/>
              </w:rPr>
            </w:pPr>
            <w:r>
              <w:rPr>
                <w:rFonts w:ascii="Arial" w:cs="Arial" w:eastAsia="Arial" w:hAnsi="Arial"/>
                <w:sz w:val="12"/>
                <w:szCs w:val="12"/>
                <w:b w:val="1"/>
                <w:bCs w:val="1"/>
                <w:color w:val="auto"/>
              </w:rPr>
              <w:t>NON-EQUITY</w:t>
            </w:r>
          </w:p>
        </w:tc>
        <w:tc>
          <w:tcPr>
            <w:tcW w:w="120" w:type="dxa"/>
            <w:vAlign w:val="bottom"/>
          </w:tcPr>
          <w:p>
            <w:pPr>
              <w:spacing w:after="0"/>
              <w:rPr>
                <w:sz w:val="10"/>
                <w:szCs w:val="10"/>
                <w:color w:val="auto"/>
              </w:rPr>
            </w:pPr>
          </w:p>
        </w:tc>
        <w:tc>
          <w:tcPr>
            <w:tcW w:w="1840" w:type="dxa"/>
            <w:vAlign w:val="bottom"/>
            <w:gridSpan w:val="5"/>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right"/>
              <w:spacing w:after="0" w:line="125" w:lineRule="exact"/>
              <w:rPr>
                <w:sz w:val="20"/>
                <w:szCs w:val="20"/>
                <w:color w:val="auto"/>
              </w:rPr>
            </w:pPr>
            <w:r>
              <w:rPr>
                <w:rFonts w:ascii="Arial" w:cs="Arial" w:eastAsia="Arial" w:hAnsi="Arial"/>
                <w:sz w:val="12"/>
                <w:szCs w:val="12"/>
                <w:b w:val="1"/>
                <w:bCs w:val="1"/>
                <w:color w:val="auto"/>
                <w:w w:val="99"/>
              </w:rPr>
              <w:t>UNDER EQUITY</w:t>
            </w:r>
          </w:p>
        </w:tc>
        <w:tc>
          <w:tcPr>
            <w:tcW w:w="120" w:type="dxa"/>
            <w:vAlign w:val="bottom"/>
            <w:tcBorders>
              <w:right w:val="single" w:sz="8" w:color="auto"/>
            </w:tcBorders>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GRANT DATE</w:t>
            </w:r>
          </w:p>
        </w:tc>
        <w:tc>
          <w:tcPr>
            <w:tcW w:w="0" w:type="dxa"/>
            <w:vAlign w:val="bottom"/>
          </w:tcPr>
          <w:p>
            <w:pPr>
              <w:spacing w:after="0"/>
              <w:rPr>
                <w:sz w:val="1"/>
                <w:szCs w:val="1"/>
                <w:color w:val="auto"/>
              </w:rPr>
            </w:pPr>
          </w:p>
        </w:tc>
      </w:tr>
      <w:tr>
        <w:trPr>
          <w:trHeight w:val="125"/>
        </w:trPr>
        <w:tc>
          <w:tcPr>
            <w:tcW w:w="22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28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COMMITTEE</w:t>
            </w:r>
          </w:p>
        </w:tc>
        <w:tc>
          <w:tcPr>
            <w:tcW w:w="14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gridSpan w:val="2"/>
          </w:tcPr>
          <w:p>
            <w:pPr>
              <w:jc w:val="right"/>
              <w:ind w:right="180"/>
              <w:spacing w:after="0" w:line="125" w:lineRule="exact"/>
              <w:rPr>
                <w:sz w:val="20"/>
                <w:szCs w:val="20"/>
                <w:color w:val="auto"/>
              </w:rPr>
            </w:pPr>
            <w:r>
              <w:rPr>
                <w:rFonts w:ascii="Arial" w:cs="Arial" w:eastAsia="Arial" w:hAnsi="Arial"/>
                <w:sz w:val="12"/>
                <w:szCs w:val="12"/>
                <w:b w:val="1"/>
                <w:bCs w:val="1"/>
                <w:color w:val="auto"/>
              </w:rPr>
              <w:t>INCENTIVE</w:t>
            </w:r>
          </w:p>
        </w:tc>
        <w:tc>
          <w:tcPr>
            <w:tcW w:w="120" w:type="dxa"/>
            <w:vAlign w:val="bottom"/>
          </w:tcPr>
          <w:p>
            <w:pPr>
              <w:spacing w:after="0"/>
              <w:rPr>
                <w:sz w:val="10"/>
                <w:szCs w:val="10"/>
                <w:color w:val="auto"/>
              </w:rPr>
            </w:pPr>
          </w:p>
        </w:tc>
        <w:tc>
          <w:tcPr>
            <w:tcW w:w="1840" w:type="dxa"/>
            <w:vAlign w:val="bottom"/>
            <w:gridSpan w:val="5"/>
          </w:tcPr>
          <w:p>
            <w:pPr>
              <w:jc w:val="right"/>
              <w:spacing w:after="0" w:line="125" w:lineRule="exact"/>
              <w:rPr>
                <w:sz w:val="20"/>
                <w:szCs w:val="20"/>
                <w:color w:val="auto"/>
              </w:rPr>
            </w:pPr>
            <w:r>
              <w:rPr>
                <w:rFonts w:ascii="Arial" w:cs="Arial" w:eastAsia="Arial" w:hAnsi="Arial"/>
                <w:sz w:val="12"/>
                <w:szCs w:val="12"/>
                <w:b w:val="1"/>
                <w:bCs w:val="1"/>
                <w:color w:val="auto"/>
                <w:w w:val="97"/>
              </w:rPr>
              <w:t>PAYOUTS UNDER NON-EQUITY</w:t>
            </w:r>
          </w:p>
        </w:tc>
        <w:tc>
          <w:tcPr>
            <w:tcW w:w="140" w:type="dxa"/>
            <w:vAlign w:val="bottom"/>
            <w:tcBorders>
              <w:right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INCENTIVE</w:t>
            </w:r>
          </w:p>
        </w:tc>
        <w:tc>
          <w:tcPr>
            <w:tcW w:w="120" w:type="dxa"/>
            <w:vAlign w:val="bottom"/>
            <w:tcBorders>
              <w:right w:val="single" w:sz="8" w:color="auto"/>
            </w:tcBorders>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2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b w:val="1"/>
                <w:bCs w:val="1"/>
                <w:color w:val="auto"/>
              </w:rPr>
              <w:t>MEETING AT</w:t>
            </w:r>
          </w:p>
        </w:tc>
        <w:tc>
          <w:tcPr>
            <w:tcW w:w="14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b w:val="1"/>
                <w:bCs w:val="1"/>
                <w:color w:val="auto"/>
              </w:rPr>
              <w:t>PLAN UNITS</w:t>
            </w:r>
          </w:p>
        </w:tc>
        <w:tc>
          <w:tcPr>
            <w:tcW w:w="1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right"/>
              <w:spacing w:after="0" w:line="163" w:lineRule="exact"/>
              <w:rPr>
                <w:sz w:val="20"/>
                <w:szCs w:val="20"/>
                <w:color w:val="auto"/>
              </w:rPr>
            </w:pPr>
            <w:r>
              <w:rPr>
                <w:rFonts w:ascii="Arial" w:cs="Arial" w:eastAsia="Arial" w:hAnsi="Arial"/>
                <w:sz w:val="11"/>
                <w:szCs w:val="11"/>
                <w:b w:val="1"/>
                <w:bCs w:val="1"/>
                <w:color w:val="auto"/>
              </w:rPr>
              <w:t>INCENTIVE PLAN AWARDS</w:t>
            </w:r>
            <w:r>
              <w:rPr>
                <w:rFonts w:ascii="Arial" w:cs="Arial" w:eastAsia="Arial" w:hAnsi="Arial"/>
                <w:sz w:val="18"/>
                <w:szCs w:val="18"/>
                <w:b w:val="1"/>
                <w:bCs w:val="1"/>
                <w:color w:val="auto"/>
                <w:vertAlign w:val="superscript"/>
              </w:rPr>
              <w:t>2</w:t>
            </w:r>
          </w:p>
        </w:tc>
        <w:tc>
          <w:tcPr>
            <w:tcW w:w="140" w:type="dxa"/>
            <w:vAlign w:val="bottom"/>
            <w:tcBorders>
              <w:right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1"/>
                <w:szCs w:val="11"/>
                <w:b w:val="1"/>
                <w:bCs w:val="1"/>
                <w:color w:val="auto"/>
              </w:rPr>
              <w:t>PLAN AWARDS</w:t>
            </w:r>
            <w:r>
              <w:rPr>
                <w:rFonts w:ascii="Arial" w:cs="Arial" w:eastAsia="Arial" w:hAnsi="Arial"/>
                <w:sz w:val="18"/>
                <w:szCs w:val="18"/>
                <w:b w:val="1"/>
                <w:bCs w:val="1"/>
                <w:color w:val="auto"/>
                <w:vertAlign w:val="superscript"/>
              </w:rPr>
              <w:t>3</w:t>
            </w:r>
          </w:p>
        </w:tc>
        <w:tc>
          <w:tcPr>
            <w:tcW w:w="120" w:type="dxa"/>
            <w:vAlign w:val="bottom"/>
            <w:tcBorders>
              <w:right w:val="single" w:sz="8" w:color="auto"/>
            </w:tcBorders>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b w:val="1"/>
                <w:bCs w:val="1"/>
                <w:color w:val="auto"/>
              </w:rPr>
              <w:t>FAIR VALUE</w:t>
            </w:r>
          </w:p>
        </w:tc>
        <w:tc>
          <w:tcPr>
            <w:tcW w:w="0" w:type="dxa"/>
            <w:vAlign w:val="bottom"/>
          </w:tcPr>
          <w:p>
            <w:pPr>
              <w:spacing w:after="0"/>
              <w:rPr>
                <w:sz w:val="1"/>
                <w:szCs w:val="1"/>
                <w:color w:val="auto"/>
              </w:rPr>
            </w:pPr>
          </w:p>
        </w:tc>
      </w:tr>
      <w:tr>
        <w:trPr>
          <w:trHeight w:val="159"/>
        </w:trPr>
        <w:tc>
          <w:tcPr>
            <w:tcW w:w="22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b w:val="1"/>
                <w:bCs w:val="1"/>
                <w:color w:val="auto"/>
              </w:rPr>
              <w:t>WHICH GRANT</w:t>
            </w:r>
          </w:p>
        </w:tc>
        <w:tc>
          <w:tcPr>
            <w:tcW w:w="14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b w:val="1"/>
                <w:bCs w:val="1"/>
                <w:color w:val="auto"/>
              </w:rPr>
              <w:t>GRANTED</w:t>
            </w:r>
          </w:p>
        </w:tc>
        <w:tc>
          <w:tcPr>
            <w:tcW w:w="120" w:type="dxa"/>
            <w:vAlign w:val="bottom"/>
          </w:tcPr>
          <w:p>
            <w:pPr>
              <w:spacing w:after="0"/>
              <w:rPr>
                <w:sz w:val="13"/>
                <w:szCs w:val="13"/>
                <w:color w:val="auto"/>
              </w:rPr>
            </w:pPr>
          </w:p>
        </w:tc>
        <w:tc>
          <w:tcPr>
            <w:tcW w:w="1080" w:type="dxa"/>
            <w:vAlign w:val="bottom"/>
            <w:gridSpan w:val="4"/>
          </w:tcPr>
          <w:p>
            <w:pPr>
              <w:ind w:left="260"/>
              <w:spacing w:after="0"/>
              <w:rPr>
                <w:sz w:val="20"/>
                <w:szCs w:val="20"/>
                <w:color w:val="auto"/>
              </w:rPr>
            </w:pPr>
            <w:r>
              <w:rPr>
                <w:rFonts w:ascii="Arial" w:cs="Arial" w:eastAsia="Arial" w:hAnsi="Arial"/>
                <w:sz w:val="12"/>
                <w:szCs w:val="12"/>
                <w:b w:val="1"/>
                <w:bCs w:val="1"/>
                <w:color w:val="auto"/>
              </w:rPr>
              <w:t>TARGET</w:t>
            </w: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MAXIMUM</w:t>
            </w:r>
          </w:p>
        </w:tc>
        <w:tc>
          <w:tcPr>
            <w:tcW w:w="140" w:type="dxa"/>
            <w:vAlign w:val="bottom"/>
            <w:tcBorders>
              <w:right w:val="single" w:sz="8" w:color="auto"/>
            </w:tcBorders>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b w:val="1"/>
                <w:bCs w:val="1"/>
                <w:color w:val="auto"/>
              </w:rPr>
              <w:t>TARGET</w:t>
            </w: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b w:val="1"/>
                <w:bCs w:val="1"/>
                <w:color w:val="auto"/>
              </w:rPr>
              <w:t>MAXIMUM</w:t>
            </w:r>
          </w:p>
        </w:tc>
        <w:tc>
          <w:tcPr>
            <w:tcW w:w="120" w:type="dxa"/>
            <w:vAlign w:val="bottom"/>
            <w:tcBorders>
              <w:right w:val="single" w:sz="8" w:color="auto"/>
            </w:tcBorders>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b w:val="1"/>
                <w:bCs w:val="1"/>
                <w:color w:val="auto"/>
              </w:rPr>
              <w:t>OF STOCK</w:t>
            </w:r>
          </w:p>
        </w:tc>
        <w:tc>
          <w:tcPr>
            <w:tcW w:w="0" w:type="dxa"/>
            <w:vAlign w:val="bottom"/>
          </w:tcPr>
          <w:p>
            <w:pPr>
              <w:spacing w:after="0"/>
              <w:rPr>
                <w:sz w:val="1"/>
                <w:szCs w:val="1"/>
                <w:color w:val="auto"/>
              </w:rPr>
            </w:pPr>
          </w:p>
        </w:tc>
      </w:tr>
      <w:tr>
        <w:trPr>
          <w:trHeight w:val="195"/>
        </w:trPr>
        <w:tc>
          <w:tcPr>
            <w:tcW w:w="222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NAME</w:t>
            </w:r>
          </w:p>
        </w:tc>
        <w:tc>
          <w:tcPr>
            <w:tcW w:w="120" w:type="dxa"/>
            <w:vAlign w:val="bottom"/>
            <w:tcBorders>
              <w:right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GRANT DATE</w:t>
            </w:r>
          </w:p>
        </w:tc>
        <w:tc>
          <w:tcPr>
            <w:tcW w:w="140" w:type="dxa"/>
            <w:vAlign w:val="bottom"/>
            <w:tcBorders>
              <w:right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WAS APPROVED</w:t>
            </w:r>
          </w:p>
        </w:tc>
        <w:tc>
          <w:tcPr>
            <w:tcW w:w="140" w:type="dxa"/>
            <w:vAlign w:val="bottom"/>
            <w:tcBorders>
              <w:right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140" w:type="dxa"/>
            <w:vAlign w:val="bottom"/>
            <w:tcBorders>
              <w:right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140" w:type="dxa"/>
            <w:vAlign w:val="bottom"/>
            <w:tcBorders>
              <w:right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tcBorders>
              <w:right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2"/>
                <w:szCs w:val="12"/>
                <w:b w:val="1"/>
                <w:bCs w:val="1"/>
                <w:color w:val="auto"/>
              </w:rPr>
              <w:t>AWARDS</w:t>
            </w:r>
            <w:r>
              <w:rPr>
                <w:rFonts w:ascii="Arial" w:cs="Arial" w:eastAsia="Arial" w:hAnsi="Arial"/>
                <w:sz w:val="19"/>
                <w:szCs w:val="19"/>
                <w:b w:val="1"/>
                <w:bCs w:val="1"/>
                <w:color w:val="auto"/>
                <w:vertAlign w:val="superscript"/>
              </w:rPr>
              <w:t>4</w:t>
            </w:r>
          </w:p>
        </w:tc>
        <w:tc>
          <w:tcPr>
            <w:tcW w:w="0" w:type="dxa"/>
            <w:vAlign w:val="bottom"/>
          </w:tcPr>
          <w:p>
            <w:pPr>
              <w:spacing w:after="0"/>
              <w:rPr>
                <w:sz w:val="1"/>
                <w:szCs w:val="1"/>
                <w:color w:val="auto"/>
              </w:rPr>
            </w:pPr>
          </w:p>
        </w:tc>
      </w:tr>
      <w:tr>
        <w:trPr>
          <w:trHeight w:val="205"/>
        </w:trPr>
        <w:tc>
          <w:tcPr>
            <w:tcW w:w="2220" w:type="dxa"/>
            <w:vAlign w:val="bottom"/>
          </w:tcPr>
          <w:p>
            <w:pPr>
              <w:ind w:left="60"/>
              <w:spacing w:after="0"/>
              <w:rPr>
                <w:sz w:val="20"/>
                <w:szCs w:val="20"/>
                <w:color w:val="auto"/>
              </w:rPr>
            </w:pPr>
            <w:r>
              <w:rPr>
                <w:rFonts w:ascii="Arial" w:cs="Arial" w:eastAsia="Arial" w:hAnsi="Arial"/>
                <w:sz w:val="15"/>
                <w:szCs w:val="15"/>
                <w:b w:val="1"/>
                <w:bCs w:val="1"/>
                <w:color w:val="00254F"/>
              </w:rPr>
              <w:t>Robert W. Sharps</w:t>
            </w:r>
          </w:p>
        </w:tc>
        <w:tc>
          <w:tcPr>
            <w:tcW w:w="12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2/6/2023</w:t>
            </w:r>
          </w:p>
        </w:tc>
        <w:tc>
          <w:tcPr>
            <w:tcW w:w="14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Borders>
              <w:bottom w:val="single" w:sz="8" w:color="auto"/>
            </w:tcBorders>
            <w:gridSpan w:val="2"/>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12,679,000</w:t>
            </w:r>
          </w:p>
        </w:tc>
        <w:tc>
          <w:tcPr>
            <w:tcW w:w="14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22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12/5/2023</w:t>
            </w:r>
          </w:p>
        </w:tc>
        <w:tc>
          <w:tcPr>
            <w:tcW w:w="1420" w:type="dxa"/>
            <w:vAlign w:val="bottom"/>
            <w:gridSpan w:val="2"/>
          </w:tcPr>
          <w:p>
            <w:pPr>
              <w:jc w:val="right"/>
              <w:spacing w:after="0"/>
              <w:rPr>
                <w:sz w:val="20"/>
                <w:szCs w:val="20"/>
                <w:color w:val="auto"/>
              </w:rPr>
            </w:pPr>
            <w:r>
              <w:rPr>
                <w:rFonts w:ascii="Arial" w:cs="Arial" w:eastAsia="Arial" w:hAnsi="Arial"/>
                <w:sz w:val="15"/>
                <w:szCs w:val="15"/>
                <w:color w:val="auto"/>
              </w:rPr>
              <w:t>12/4/2023</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50,722</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50,722</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$5,100,097</w:t>
            </w:r>
          </w:p>
        </w:tc>
        <w:tc>
          <w:tcPr>
            <w:tcW w:w="0" w:type="dxa"/>
            <w:vAlign w:val="bottom"/>
          </w:tcPr>
          <w:p>
            <w:pPr>
              <w:spacing w:after="0"/>
              <w:rPr>
                <w:sz w:val="1"/>
                <w:szCs w:val="1"/>
                <w:color w:val="auto"/>
              </w:rPr>
            </w:pPr>
          </w:p>
        </w:tc>
      </w:tr>
      <w:tr>
        <w:trPr>
          <w:trHeight w:val="206"/>
        </w:trPr>
        <w:tc>
          <w:tcPr>
            <w:tcW w:w="2220" w:type="dxa"/>
            <w:vAlign w:val="bottom"/>
            <w:tcBorders>
              <w:top w:val="single" w:sz="8" w:color="auto"/>
              <w:bottom w:val="single" w:sz="8" w:color="E7E7E8"/>
            </w:tcBorders>
            <w:shd w:val="clear" w:color="auto" w:fill="E7E7E8"/>
          </w:tcPr>
          <w:p>
            <w:pPr>
              <w:ind w:left="60"/>
              <w:spacing w:after="0"/>
              <w:rPr>
                <w:sz w:val="20"/>
                <w:szCs w:val="20"/>
                <w:color w:val="auto"/>
              </w:rPr>
            </w:pPr>
            <w:r>
              <w:rPr>
                <w:rFonts w:ascii="Arial" w:cs="Arial" w:eastAsia="Arial" w:hAnsi="Arial"/>
                <w:sz w:val="15"/>
                <w:szCs w:val="15"/>
                <w:b w:val="1"/>
                <w:bCs w:val="1"/>
                <w:color w:val="00254F"/>
              </w:rPr>
              <w:t>Jennifer B. Dardis</w:t>
            </w:r>
          </w:p>
        </w:tc>
        <w:tc>
          <w:tcPr>
            <w:tcW w:w="120" w:type="dxa"/>
            <w:vAlign w:val="bottom"/>
            <w:tcBorders>
              <w:right w:val="single" w:sz="8" w:color="E7E7E8"/>
            </w:tcBorders>
          </w:tcPr>
          <w:p>
            <w:pPr>
              <w:spacing w:after="0"/>
              <w:rPr>
                <w:sz w:val="17"/>
                <w:szCs w:val="17"/>
                <w:color w:val="auto"/>
              </w:rPr>
            </w:pPr>
          </w:p>
        </w:tc>
        <w:tc>
          <w:tcPr>
            <w:tcW w:w="98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5"/>
                <w:szCs w:val="15"/>
                <w:color w:val="auto"/>
              </w:rPr>
              <w:t>2/6/2023</w:t>
            </w:r>
          </w:p>
        </w:tc>
        <w:tc>
          <w:tcPr>
            <w:tcW w:w="140" w:type="dxa"/>
            <w:vAlign w:val="bottom"/>
            <w:tcBorders>
              <w:right w:val="single" w:sz="8" w:color="E7E7E8"/>
            </w:tcBorders>
          </w:tcPr>
          <w:p>
            <w:pPr>
              <w:spacing w:after="0"/>
              <w:rPr>
                <w:sz w:val="17"/>
                <w:szCs w:val="17"/>
                <w:color w:val="auto"/>
              </w:rPr>
            </w:pPr>
          </w:p>
        </w:tc>
        <w:tc>
          <w:tcPr>
            <w:tcW w:w="1280" w:type="dxa"/>
            <w:vAlign w:val="bottom"/>
            <w:tcBorders>
              <w:top w:val="single" w:sz="8" w:color="auto"/>
              <w:bottom w:val="single" w:sz="8" w:color="auto"/>
            </w:tcBorders>
            <w:shd w:val="clear" w:color="auto" w:fill="E7E7E8"/>
          </w:tcPr>
          <w:p>
            <w:pPr>
              <w:spacing w:after="0"/>
              <w:rPr>
                <w:sz w:val="17"/>
                <w:szCs w:val="17"/>
                <w:color w:val="auto"/>
              </w:rPr>
            </w:pPr>
          </w:p>
        </w:tc>
        <w:tc>
          <w:tcPr>
            <w:tcW w:w="140" w:type="dxa"/>
            <w:vAlign w:val="bottom"/>
            <w:tcBorders>
              <w:right w:val="single" w:sz="8" w:color="E7E7E8"/>
            </w:tcBorders>
          </w:tcPr>
          <w:p>
            <w:pPr>
              <w:spacing w:after="0"/>
              <w:rPr>
                <w:sz w:val="17"/>
                <w:szCs w:val="17"/>
                <w:color w:val="auto"/>
              </w:rPr>
            </w:pPr>
          </w:p>
        </w:tc>
        <w:tc>
          <w:tcPr>
            <w:tcW w:w="980" w:type="dxa"/>
            <w:vAlign w:val="bottom"/>
            <w:tcBorders>
              <w:top w:val="single" w:sz="8" w:color="auto"/>
              <w:bottom w:val="single" w:sz="8" w:color="auto"/>
            </w:tcBorders>
            <w:shd w:val="clear" w:color="auto" w:fill="E7E7E8"/>
          </w:tcPr>
          <w:p>
            <w:pPr>
              <w:spacing w:after="0"/>
              <w:rPr>
                <w:sz w:val="17"/>
                <w:szCs w:val="17"/>
                <w:color w:val="auto"/>
              </w:rPr>
            </w:pPr>
          </w:p>
        </w:tc>
        <w:tc>
          <w:tcPr>
            <w:tcW w:w="140" w:type="dxa"/>
            <w:vAlign w:val="bottom"/>
            <w:tcBorders>
              <w:right w:val="single" w:sz="8" w:color="E7E7E8"/>
            </w:tcBorders>
          </w:tcPr>
          <w:p>
            <w:pPr>
              <w:spacing w:after="0"/>
              <w:rPr>
                <w:sz w:val="17"/>
                <w:szCs w:val="17"/>
                <w:color w:val="auto"/>
              </w:rPr>
            </w:pPr>
          </w:p>
        </w:tc>
        <w:tc>
          <w:tcPr>
            <w:tcW w:w="120" w:type="dxa"/>
            <w:vAlign w:val="bottom"/>
            <w:tcBorders>
              <w:top w:val="single" w:sz="8" w:color="auto"/>
              <w:bottom w:val="single" w:sz="8" w:color="auto"/>
            </w:tcBorders>
            <w:shd w:val="clear" w:color="auto" w:fill="E7E7E8"/>
          </w:tcPr>
          <w:p>
            <w:pPr>
              <w:spacing w:after="0"/>
              <w:rPr>
                <w:sz w:val="17"/>
                <w:szCs w:val="17"/>
                <w:color w:val="auto"/>
              </w:rPr>
            </w:pPr>
          </w:p>
        </w:tc>
        <w:tc>
          <w:tcPr>
            <w:tcW w:w="780" w:type="dxa"/>
            <w:vAlign w:val="bottom"/>
            <w:tcBorders>
              <w:top w:val="single" w:sz="8" w:color="auto"/>
              <w:bottom w:val="single" w:sz="8" w:color="auto"/>
            </w:tcBorders>
            <w:shd w:val="clear" w:color="auto" w:fill="E7E7E8"/>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shd w:val="clear" w:color="auto" w:fill="E7E7E8"/>
          </w:tcPr>
          <w:p>
            <w:pPr>
              <w:ind w:left="40"/>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E7E7E8"/>
          </w:tcPr>
          <w:p>
            <w:pPr>
              <w:spacing w:after="0"/>
              <w:rPr>
                <w:sz w:val="17"/>
                <w:szCs w:val="17"/>
                <w:color w:val="auto"/>
              </w:rPr>
            </w:pPr>
          </w:p>
        </w:tc>
        <w:tc>
          <w:tcPr>
            <w:tcW w:w="76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5"/>
                <w:szCs w:val="15"/>
                <w:color w:val="auto"/>
              </w:rPr>
              <w:t>6,340,000</w:t>
            </w:r>
          </w:p>
        </w:tc>
        <w:tc>
          <w:tcPr>
            <w:tcW w:w="140" w:type="dxa"/>
            <w:vAlign w:val="bottom"/>
            <w:tcBorders>
              <w:right w:val="single" w:sz="8" w:color="E7E7E8"/>
            </w:tcBorders>
          </w:tcPr>
          <w:p>
            <w:pPr>
              <w:spacing w:after="0"/>
              <w:rPr>
                <w:sz w:val="17"/>
                <w:szCs w:val="17"/>
                <w:color w:val="auto"/>
              </w:rPr>
            </w:pPr>
          </w:p>
        </w:tc>
        <w:tc>
          <w:tcPr>
            <w:tcW w:w="940" w:type="dxa"/>
            <w:vAlign w:val="bottom"/>
            <w:tcBorders>
              <w:top w:val="single" w:sz="8" w:color="auto"/>
              <w:bottom w:val="single" w:sz="8" w:color="auto"/>
            </w:tcBorders>
            <w:shd w:val="clear" w:color="auto" w:fill="E7E7E8"/>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top w:val="single" w:sz="8" w:color="auto"/>
              <w:bottom w:val="single" w:sz="8" w:color="auto"/>
            </w:tcBorders>
            <w:shd w:val="clear" w:color="auto" w:fill="E7E7E8"/>
          </w:tcPr>
          <w:p>
            <w:pPr>
              <w:spacing w:after="0"/>
              <w:rPr>
                <w:sz w:val="17"/>
                <w:szCs w:val="17"/>
                <w:color w:val="auto"/>
              </w:rPr>
            </w:pPr>
          </w:p>
        </w:tc>
        <w:tc>
          <w:tcPr>
            <w:tcW w:w="120" w:type="dxa"/>
            <w:vAlign w:val="bottom"/>
            <w:tcBorders>
              <w:right w:val="single" w:sz="8" w:color="E7E7E8"/>
            </w:tcBorders>
          </w:tcPr>
          <w:p>
            <w:pPr>
              <w:spacing w:after="0"/>
              <w:rPr>
                <w:sz w:val="17"/>
                <w:szCs w:val="17"/>
                <w:color w:val="auto"/>
              </w:rPr>
            </w:pPr>
          </w:p>
        </w:tc>
        <w:tc>
          <w:tcPr>
            <w:tcW w:w="980" w:type="dxa"/>
            <w:vAlign w:val="bottom"/>
            <w:tcBorders>
              <w:top w:val="single" w:sz="8" w:color="auto"/>
              <w:bottom w:val="single" w:sz="8" w:color="auto"/>
            </w:tcBorders>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220" w:type="dxa"/>
            <w:vAlign w:val="bottom"/>
            <w:tcBorders>
              <w:bottom w:val="single" w:sz="8" w:color="auto"/>
            </w:tcBorders>
            <w:shd w:val="clear" w:color="auto" w:fill="E7E7E8"/>
          </w:tcPr>
          <w:p>
            <w:pPr>
              <w:spacing w:after="0"/>
              <w:rPr>
                <w:sz w:val="17"/>
                <w:szCs w:val="17"/>
                <w:color w:val="auto"/>
              </w:rPr>
            </w:pPr>
          </w:p>
        </w:tc>
        <w:tc>
          <w:tcPr>
            <w:tcW w:w="120" w:type="dxa"/>
            <w:vAlign w:val="bottom"/>
            <w:tcBorders>
              <w:right w:val="single" w:sz="8" w:color="E7E7E8"/>
            </w:tcBorders>
          </w:tcPr>
          <w:p>
            <w:pPr>
              <w:spacing w:after="0"/>
              <w:rPr>
                <w:sz w:val="17"/>
                <w:szCs w:val="17"/>
                <w:color w:val="auto"/>
              </w:rPr>
            </w:pPr>
          </w:p>
        </w:tc>
        <w:tc>
          <w:tcPr>
            <w:tcW w:w="9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5"/>
                <w:szCs w:val="15"/>
                <w:color w:val="auto"/>
              </w:rPr>
              <w:t>12/5/2023</w:t>
            </w:r>
          </w:p>
        </w:tc>
        <w:tc>
          <w:tcPr>
            <w:tcW w:w="140" w:type="dxa"/>
            <w:vAlign w:val="bottom"/>
            <w:tcBorders>
              <w:right w:val="single" w:sz="8" w:color="E7E7E8"/>
            </w:tcBorders>
          </w:tcPr>
          <w:p>
            <w:pPr>
              <w:spacing w:after="0"/>
              <w:rPr>
                <w:sz w:val="17"/>
                <w:szCs w:val="17"/>
                <w:color w:val="auto"/>
              </w:rPr>
            </w:pPr>
          </w:p>
        </w:tc>
        <w:tc>
          <w:tcPr>
            <w:tcW w:w="12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5"/>
                <w:szCs w:val="15"/>
                <w:color w:val="auto"/>
              </w:rPr>
              <w:t>12/4/2023</w:t>
            </w:r>
          </w:p>
        </w:tc>
        <w:tc>
          <w:tcPr>
            <w:tcW w:w="140" w:type="dxa"/>
            <w:vAlign w:val="bottom"/>
            <w:tcBorders>
              <w:right w:val="single" w:sz="8" w:color="E7E7E8"/>
            </w:tcBorders>
          </w:tcPr>
          <w:p>
            <w:pPr>
              <w:spacing w:after="0"/>
              <w:rPr>
                <w:sz w:val="17"/>
                <w:szCs w:val="17"/>
                <w:color w:val="auto"/>
              </w:rPr>
            </w:pPr>
          </w:p>
        </w:tc>
        <w:tc>
          <w:tcPr>
            <w:tcW w:w="980" w:type="dxa"/>
            <w:vAlign w:val="bottom"/>
            <w:tcBorders>
              <w:bottom w:val="single" w:sz="8" w:color="auto"/>
            </w:tcBorders>
            <w:shd w:val="clear" w:color="auto" w:fill="E7E7E8"/>
          </w:tcPr>
          <w:p>
            <w:pPr>
              <w:spacing w:after="0"/>
              <w:rPr>
                <w:sz w:val="17"/>
                <w:szCs w:val="17"/>
                <w:color w:val="auto"/>
              </w:rPr>
            </w:pPr>
          </w:p>
        </w:tc>
        <w:tc>
          <w:tcPr>
            <w:tcW w:w="140" w:type="dxa"/>
            <w:vAlign w:val="bottom"/>
            <w:tcBorders>
              <w:right w:val="single" w:sz="8" w:color="E7E7E8"/>
            </w:tcBorders>
          </w:tcPr>
          <w:p>
            <w:pPr>
              <w:spacing w:after="0"/>
              <w:rPr>
                <w:sz w:val="17"/>
                <w:szCs w:val="17"/>
                <w:color w:val="auto"/>
              </w:rPr>
            </w:pPr>
          </w:p>
        </w:tc>
        <w:tc>
          <w:tcPr>
            <w:tcW w:w="120" w:type="dxa"/>
            <w:vAlign w:val="bottom"/>
            <w:tcBorders>
              <w:bottom w:val="single" w:sz="8" w:color="auto"/>
            </w:tcBorders>
            <w:shd w:val="clear" w:color="auto" w:fill="E7E7E8"/>
          </w:tcPr>
          <w:p>
            <w:pPr>
              <w:spacing w:after="0"/>
              <w:rPr>
                <w:sz w:val="17"/>
                <w:szCs w:val="17"/>
                <w:color w:val="auto"/>
              </w:rPr>
            </w:pPr>
          </w:p>
        </w:tc>
        <w:tc>
          <w:tcPr>
            <w:tcW w:w="780" w:type="dxa"/>
            <w:vAlign w:val="bottom"/>
            <w:tcBorders>
              <w:bottom w:val="single" w:sz="8" w:color="auto"/>
            </w:tcBorders>
            <w:shd w:val="clear" w:color="auto" w:fill="E7E7E8"/>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shd w:val="clear" w:color="auto" w:fill="E7E7E8"/>
          </w:tcPr>
          <w:p>
            <w:pPr>
              <w:spacing w:after="0"/>
              <w:rPr>
                <w:sz w:val="17"/>
                <w:szCs w:val="17"/>
                <w:color w:val="auto"/>
              </w:rPr>
            </w:pPr>
          </w:p>
        </w:tc>
        <w:tc>
          <w:tcPr>
            <w:tcW w:w="60" w:type="dxa"/>
            <w:vAlign w:val="bottom"/>
            <w:tcBorders>
              <w:bottom w:val="single" w:sz="8" w:color="auto"/>
            </w:tcBorders>
            <w:shd w:val="clear" w:color="auto" w:fill="E7E7E8"/>
          </w:tcPr>
          <w:p>
            <w:pPr>
              <w:spacing w:after="0"/>
              <w:rPr>
                <w:sz w:val="17"/>
                <w:szCs w:val="17"/>
                <w:color w:val="auto"/>
              </w:rPr>
            </w:pPr>
          </w:p>
        </w:tc>
        <w:tc>
          <w:tcPr>
            <w:tcW w:w="760" w:type="dxa"/>
            <w:vAlign w:val="bottom"/>
            <w:tcBorders>
              <w:bottom w:val="single" w:sz="8" w:color="auto"/>
            </w:tcBorders>
            <w:shd w:val="clear" w:color="auto" w:fill="E7E7E8"/>
          </w:tcPr>
          <w:p>
            <w:pPr>
              <w:spacing w:after="0"/>
              <w:rPr>
                <w:sz w:val="17"/>
                <w:szCs w:val="17"/>
                <w:color w:val="auto"/>
              </w:rPr>
            </w:pPr>
          </w:p>
        </w:tc>
        <w:tc>
          <w:tcPr>
            <w:tcW w:w="140" w:type="dxa"/>
            <w:vAlign w:val="bottom"/>
            <w:tcBorders>
              <w:right w:val="single" w:sz="8" w:color="E7E7E8"/>
            </w:tcBorders>
          </w:tcPr>
          <w:p>
            <w:pPr>
              <w:spacing w:after="0"/>
              <w:rPr>
                <w:sz w:val="17"/>
                <w:szCs w:val="17"/>
                <w:color w:val="auto"/>
              </w:rPr>
            </w:pPr>
          </w:p>
        </w:tc>
        <w:tc>
          <w:tcPr>
            <w:tcW w:w="9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5"/>
                <w:szCs w:val="15"/>
                <w:color w:val="auto"/>
              </w:rPr>
              <w:t>12,682</w:t>
            </w:r>
          </w:p>
        </w:tc>
        <w:tc>
          <w:tcPr>
            <w:tcW w:w="120" w:type="dxa"/>
            <w:vAlign w:val="bottom"/>
          </w:tcPr>
          <w:p>
            <w:pPr>
              <w:spacing w:after="0"/>
              <w:rPr>
                <w:sz w:val="17"/>
                <w:szCs w:val="17"/>
                <w:color w:val="auto"/>
              </w:rPr>
            </w:pPr>
          </w:p>
        </w:tc>
        <w:tc>
          <w:tcPr>
            <w:tcW w:w="9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5"/>
                <w:szCs w:val="15"/>
                <w:color w:val="auto"/>
              </w:rPr>
              <w:t>12,682</w:t>
            </w:r>
          </w:p>
        </w:tc>
        <w:tc>
          <w:tcPr>
            <w:tcW w:w="120" w:type="dxa"/>
            <w:vAlign w:val="bottom"/>
            <w:tcBorders>
              <w:right w:val="single" w:sz="8" w:color="E7E7E8"/>
            </w:tcBorders>
          </w:tcPr>
          <w:p>
            <w:pPr>
              <w:spacing w:after="0"/>
              <w:rPr>
                <w:sz w:val="17"/>
                <w:szCs w:val="17"/>
                <w:color w:val="auto"/>
              </w:rPr>
            </w:pPr>
          </w:p>
        </w:tc>
        <w:tc>
          <w:tcPr>
            <w:tcW w:w="9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5"/>
                <w:szCs w:val="15"/>
                <w:color w:val="auto"/>
              </w:rPr>
              <w:t>$1,275,175</w:t>
            </w:r>
          </w:p>
        </w:tc>
        <w:tc>
          <w:tcPr>
            <w:tcW w:w="0" w:type="dxa"/>
            <w:vAlign w:val="bottom"/>
          </w:tcPr>
          <w:p>
            <w:pPr>
              <w:spacing w:after="0"/>
              <w:rPr>
                <w:sz w:val="1"/>
                <w:szCs w:val="1"/>
                <w:color w:val="auto"/>
              </w:rPr>
            </w:pPr>
          </w:p>
        </w:tc>
      </w:tr>
      <w:tr>
        <w:trPr>
          <w:trHeight w:val="206"/>
        </w:trPr>
        <w:tc>
          <w:tcPr>
            <w:tcW w:w="2220" w:type="dxa"/>
            <w:vAlign w:val="bottom"/>
          </w:tcPr>
          <w:p>
            <w:pPr>
              <w:ind w:left="60"/>
              <w:spacing w:after="0"/>
              <w:rPr>
                <w:sz w:val="20"/>
                <w:szCs w:val="20"/>
                <w:color w:val="auto"/>
              </w:rPr>
            </w:pPr>
            <w:r>
              <w:rPr>
                <w:rFonts w:ascii="Arial" w:cs="Arial" w:eastAsia="Arial" w:hAnsi="Arial"/>
                <w:sz w:val="15"/>
                <w:szCs w:val="15"/>
                <w:b w:val="1"/>
                <w:bCs w:val="1"/>
                <w:color w:val="00254F"/>
              </w:rPr>
              <w:t>Justin Thomson</w:t>
            </w:r>
          </w:p>
        </w:tc>
        <w:tc>
          <w:tcPr>
            <w:tcW w:w="12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2/6/2023</w:t>
            </w:r>
          </w:p>
        </w:tc>
        <w:tc>
          <w:tcPr>
            <w:tcW w:w="14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Borders>
              <w:bottom w:val="single" w:sz="8" w:color="auto"/>
            </w:tcBorders>
            <w:gridSpan w:val="2"/>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6,340,000</w:t>
            </w:r>
          </w:p>
        </w:tc>
        <w:tc>
          <w:tcPr>
            <w:tcW w:w="14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22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12/5/2023</w:t>
            </w:r>
          </w:p>
        </w:tc>
        <w:tc>
          <w:tcPr>
            <w:tcW w:w="1420" w:type="dxa"/>
            <w:vAlign w:val="bottom"/>
            <w:gridSpan w:val="2"/>
          </w:tcPr>
          <w:p>
            <w:pPr>
              <w:jc w:val="right"/>
              <w:spacing w:after="0"/>
              <w:rPr>
                <w:sz w:val="20"/>
                <w:szCs w:val="20"/>
                <w:color w:val="auto"/>
              </w:rPr>
            </w:pPr>
            <w:r>
              <w:rPr>
                <w:rFonts w:ascii="Arial" w:cs="Arial" w:eastAsia="Arial" w:hAnsi="Arial"/>
                <w:sz w:val="15"/>
                <w:szCs w:val="15"/>
                <w:color w:val="auto"/>
              </w:rPr>
              <w:t>12/4/2023</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126,739</w:t>
            </w:r>
          </w:p>
        </w:tc>
        <w:tc>
          <w:tcPr>
            <w:tcW w:w="140" w:type="dxa"/>
            <w:vAlign w:val="bottom"/>
          </w:tcPr>
          <w:p>
            <w:pPr>
              <w:spacing w:after="0"/>
              <w:rPr>
                <w:sz w:val="21"/>
                <w:szCs w:val="21"/>
                <w:color w:val="auto"/>
              </w:rPr>
            </w:pPr>
          </w:p>
        </w:tc>
        <w:tc>
          <w:tcPr>
            <w:tcW w:w="900" w:type="dxa"/>
            <w:vAlign w:val="bottom"/>
            <w:gridSpan w:val="2"/>
          </w:tcPr>
          <w:p>
            <w:pPr>
              <w:jc w:val="right"/>
              <w:ind w:right="2"/>
              <w:spacing w:after="0" w:line="242" w:lineRule="exact"/>
              <w:rPr>
                <w:sz w:val="20"/>
                <w:szCs w:val="20"/>
                <w:color w:val="auto"/>
              </w:rPr>
            </w:pPr>
            <w:r>
              <w:rPr>
                <w:rFonts w:ascii="Arial" w:cs="Arial" w:eastAsia="Arial" w:hAnsi="Arial"/>
                <w:sz w:val="15"/>
                <w:szCs w:val="15"/>
                <w:u w:val="single" w:color="auto"/>
                <w:color w:val="auto"/>
                <w:w w:val="97"/>
              </w:rPr>
              <w:t>$</w:t>
            </w:r>
            <w:r>
              <w:rPr>
                <w:rFonts w:ascii="Arial" w:cs="Arial" w:eastAsia="Arial" w:hAnsi="Arial"/>
                <w:sz w:val="15"/>
                <w:szCs w:val="15"/>
                <w:color w:val="auto"/>
                <w:w w:val="97"/>
              </w:rPr>
              <w:t>1,600,250</w:t>
            </w:r>
            <w:r>
              <w:rPr>
                <w:rFonts w:ascii="Arial" w:cs="Arial" w:eastAsia="Arial" w:hAnsi="Arial"/>
                <w:sz w:val="24"/>
                <w:szCs w:val="24"/>
                <w:color w:val="auto"/>
                <w:w w:val="97"/>
                <w:vertAlign w:val="superscript"/>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15,915</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15,915</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$1,600,253</w:t>
            </w:r>
          </w:p>
        </w:tc>
        <w:tc>
          <w:tcPr>
            <w:tcW w:w="0" w:type="dxa"/>
            <w:vAlign w:val="bottom"/>
          </w:tcPr>
          <w:p>
            <w:pPr>
              <w:spacing w:after="0"/>
              <w:rPr>
                <w:sz w:val="1"/>
                <w:szCs w:val="1"/>
                <w:color w:val="auto"/>
              </w:rPr>
            </w:pPr>
          </w:p>
        </w:tc>
      </w:tr>
      <w:tr>
        <w:trPr>
          <w:trHeight w:val="205"/>
        </w:trPr>
        <w:tc>
          <w:tcPr>
            <w:tcW w:w="2220" w:type="dxa"/>
            <w:vAlign w:val="bottom"/>
            <w:tcBorders>
              <w:top w:val="single" w:sz="8" w:color="auto"/>
              <w:bottom w:val="single" w:sz="8" w:color="E7E7E8"/>
            </w:tcBorders>
            <w:shd w:val="clear" w:color="auto" w:fill="E7E7E8"/>
          </w:tcPr>
          <w:p>
            <w:pPr>
              <w:ind w:left="60"/>
              <w:spacing w:after="0"/>
              <w:rPr>
                <w:sz w:val="20"/>
                <w:szCs w:val="20"/>
                <w:color w:val="auto"/>
              </w:rPr>
            </w:pPr>
            <w:r>
              <w:rPr>
                <w:rFonts w:ascii="Arial" w:cs="Arial" w:eastAsia="Arial" w:hAnsi="Arial"/>
                <w:sz w:val="15"/>
                <w:szCs w:val="15"/>
                <w:b w:val="1"/>
                <w:bCs w:val="1"/>
                <w:color w:val="00254F"/>
              </w:rPr>
              <w:t>Eric L. Veiel</w:t>
            </w:r>
          </w:p>
        </w:tc>
        <w:tc>
          <w:tcPr>
            <w:tcW w:w="120" w:type="dxa"/>
            <w:vAlign w:val="bottom"/>
            <w:tcBorders>
              <w:right w:val="single" w:sz="8" w:color="E7E7E8"/>
            </w:tcBorders>
          </w:tcPr>
          <w:p>
            <w:pPr>
              <w:spacing w:after="0"/>
              <w:rPr>
                <w:sz w:val="17"/>
                <w:szCs w:val="17"/>
                <w:color w:val="auto"/>
              </w:rPr>
            </w:pPr>
          </w:p>
        </w:tc>
        <w:tc>
          <w:tcPr>
            <w:tcW w:w="98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5"/>
                <w:szCs w:val="15"/>
                <w:color w:val="auto"/>
              </w:rPr>
              <w:t>2/6/2023</w:t>
            </w:r>
          </w:p>
        </w:tc>
        <w:tc>
          <w:tcPr>
            <w:tcW w:w="140" w:type="dxa"/>
            <w:vAlign w:val="bottom"/>
            <w:tcBorders>
              <w:right w:val="single" w:sz="8" w:color="E7E7E8"/>
            </w:tcBorders>
          </w:tcPr>
          <w:p>
            <w:pPr>
              <w:spacing w:after="0"/>
              <w:rPr>
                <w:sz w:val="17"/>
                <w:szCs w:val="17"/>
                <w:color w:val="auto"/>
              </w:rPr>
            </w:pPr>
          </w:p>
        </w:tc>
        <w:tc>
          <w:tcPr>
            <w:tcW w:w="1280" w:type="dxa"/>
            <w:vAlign w:val="bottom"/>
            <w:tcBorders>
              <w:top w:val="single" w:sz="8" w:color="auto"/>
              <w:bottom w:val="single" w:sz="8" w:color="auto"/>
            </w:tcBorders>
            <w:shd w:val="clear" w:color="auto" w:fill="E7E7E8"/>
          </w:tcPr>
          <w:p>
            <w:pPr>
              <w:spacing w:after="0"/>
              <w:rPr>
                <w:sz w:val="17"/>
                <w:szCs w:val="17"/>
                <w:color w:val="auto"/>
              </w:rPr>
            </w:pPr>
          </w:p>
        </w:tc>
        <w:tc>
          <w:tcPr>
            <w:tcW w:w="140" w:type="dxa"/>
            <w:vAlign w:val="bottom"/>
            <w:tcBorders>
              <w:right w:val="single" w:sz="8" w:color="E7E7E8"/>
            </w:tcBorders>
          </w:tcPr>
          <w:p>
            <w:pPr>
              <w:spacing w:after="0"/>
              <w:rPr>
                <w:sz w:val="17"/>
                <w:szCs w:val="17"/>
                <w:color w:val="auto"/>
              </w:rPr>
            </w:pPr>
          </w:p>
        </w:tc>
        <w:tc>
          <w:tcPr>
            <w:tcW w:w="980" w:type="dxa"/>
            <w:vAlign w:val="bottom"/>
            <w:tcBorders>
              <w:top w:val="single" w:sz="8" w:color="auto"/>
              <w:bottom w:val="single" w:sz="8" w:color="auto"/>
            </w:tcBorders>
            <w:shd w:val="clear" w:color="auto" w:fill="E7E7E8"/>
          </w:tcPr>
          <w:p>
            <w:pPr>
              <w:spacing w:after="0"/>
              <w:rPr>
                <w:sz w:val="17"/>
                <w:szCs w:val="17"/>
                <w:color w:val="auto"/>
              </w:rPr>
            </w:pPr>
          </w:p>
        </w:tc>
        <w:tc>
          <w:tcPr>
            <w:tcW w:w="140" w:type="dxa"/>
            <w:vAlign w:val="bottom"/>
            <w:tcBorders>
              <w:right w:val="single" w:sz="8" w:color="E7E7E8"/>
            </w:tcBorders>
          </w:tcPr>
          <w:p>
            <w:pPr>
              <w:spacing w:after="0"/>
              <w:rPr>
                <w:sz w:val="17"/>
                <w:szCs w:val="17"/>
                <w:color w:val="auto"/>
              </w:rPr>
            </w:pPr>
          </w:p>
        </w:tc>
        <w:tc>
          <w:tcPr>
            <w:tcW w:w="120" w:type="dxa"/>
            <w:vAlign w:val="bottom"/>
            <w:tcBorders>
              <w:top w:val="single" w:sz="8" w:color="auto"/>
              <w:bottom w:val="single" w:sz="8" w:color="auto"/>
            </w:tcBorders>
            <w:shd w:val="clear" w:color="auto" w:fill="E7E7E8"/>
          </w:tcPr>
          <w:p>
            <w:pPr>
              <w:spacing w:after="0"/>
              <w:rPr>
                <w:sz w:val="17"/>
                <w:szCs w:val="17"/>
                <w:color w:val="auto"/>
              </w:rPr>
            </w:pPr>
          </w:p>
        </w:tc>
        <w:tc>
          <w:tcPr>
            <w:tcW w:w="780" w:type="dxa"/>
            <w:vAlign w:val="bottom"/>
            <w:tcBorders>
              <w:top w:val="single" w:sz="8" w:color="auto"/>
              <w:bottom w:val="single" w:sz="8" w:color="auto"/>
            </w:tcBorders>
            <w:shd w:val="clear" w:color="auto" w:fill="E7E7E8"/>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shd w:val="clear" w:color="auto" w:fill="E7E7E8"/>
          </w:tcPr>
          <w:p>
            <w:pPr>
              <w:ind w:left="40"/>
              <w:spacing w:after="0"/>
              <w:rPr>
                <w:sz w:val="20"/>
                <w:szCs w:val="20"/>
                <w:color w:val="auto"/>
              </w:rPr>
            </w:pPr>
            <w:r>
              <w:rPr>
                <w:rFonts w:ascii="Arial" w:cs="Arial" w:eastAsia="Arial" w:hAnsi="Arial"/>
                <w:sz w:val="15"/>
                <w:szCs w:val="15"/>
                <w:u w:val="single" w:color="auto"/>
                <w:color w:val="auto"/>
                <w:w w:val="71"/>
                <w:shd w:val="clear" w:color="auto" w:fill="E7E7E8"/>
              </w:rPr>
              <w:t>$</w:t>
            </w:r>
          </w:p>
        </w:tc>
        <w:tc>
          <w:tcPr>
            <w:tcW w:w="820" w:type="dxa"/>
            <w:vAlign w:val="bottom"/>
            <w:tcBorders>
              <w:top w:val="single" w:sz="8" w:color="auto"/>
              <w:bottom w:val="single" w:sz="8" w:color="auto"/>
            </w:tcBorders>
            <w:gridSpan w:val="2"/>
            <w:shd w:val="clear" w:color="auto" w:fill="E7E7E8"/>
          </w:tcPr>
          <w:p>
            <w:pPr>
              <w:jc w:val="right"/>
              <w:spacing w:after="0"/>
              <w:rPr>
                <w:sz w:val="20"/>
                <w:szCs w:val="20"/>
                <w:color w:val="auto"/>
              </w:rPr>
            </w:pPr>
            <w:r>
              <w:rPr>
                <w:rFonts w:ascii="Arial" w:cs="Arial" w:eastAsia="Arial" w:hAnsi="Arial"/>
                <w:sz w:val="15"/>
                <w:szCs w:val="15"/>
                <w:color w:val="auto"/>
                <w:shd w:val="clear" w:color="auto" w:fill="E7E7E8"/>
              </w:rPr>
              <w:t>10,566,000</w:t>
            </w:r>
          </w:p>
        </w:tc>
        <w:tc>
          <w:tcPr>
            <w:tcW w:w="140" w:type="dxa"/>
            <w:vAlign w:val="bottom"/>
            <w:tcBorders>
              <w:right w:val="single" w:sz="8" w:color="E7E7E8"/>
            </w:tcBorders>
          </w:tcPr>
          <w:p>
            <w:pPr>
              <w:spacing w:after="0"/>
              <w:rPr>
                <w:sz w:val="17"/>
                <w:szCs w:val="17"/>
                <w:color w:val="auto"/>
              </w:rPr>
            </w:pPr>
          </w:p>
        </w:tc>
        <w:tc>
          <w:tcPr>
            <w:tcW w:w="940" w:type="dxa"/>
            <w:vAlign w:val="bottom"/>
            <w:tcBorders>
              <w:top w:val="single" w:sz="8" w:color="auto"/>
              <w:bottom w:val="single" w:sz="8" w:color="auto"/>
            </w:tcBorders>
            <w:shd w:val="clear" w:color="auto" w:fill="E7E7E8"/>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top w:val="single" w:sz="8" w:color="auto"/>
              <w:bottom w:val="single" w:sz="8" w:color="auto"/>
            </w:tcBorders>
            <w:shd w:val="clear" w:color="auto" w:fill="E7E7E8"/>
          </w:tcPr>
          <w:p>
            <w:pPr>
              <w:spacing w:after="0"/>
              <w:rPr>
                <w:sz w:val="17"/>
                <w:szCs w:val="17"/>
                <w:color w:val="auto"/>
              </w:rPr>
            </w:pPr>
          </w:p>
        </w:tc>
        <w:tc>
          <w:tcPr>
            <w:tcW w:w="120" w:type="dxa"/>
            <w:vAlign w:val="bottom"/>
            <w:tcBorders>
              <w:right w:val="single" w:sz="8" w:color="E7E7E8"/>
            </w:tcBorders>
          </w:tcPr>
          <w:p>
            <w:pPr>
              <w:spacing w:after="0"/>
              <w:rPr>
                <w:sz w:val="17"/>
                <w:szCs w:val="17"/>
                <w:color w:val="auto"/>
              </w:rPr>
            </w:pPr>
          </w:p>
        </w:tc>
        <w:tc>
          <w:tcPr>
            <w:tcW w:w="980" w:type="dxa"/>
            <w:vAlign w:val="bottom"/>
            <w:tcBorders>
              <w:top w:val="single" w:sz="8" w:color="auto"/>
              <w:bottom w:val="single" w:sz="8" w:color="auto"/>
            </w:tcBorders>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220" w:type="dxa"/>
            <w:vAlign w:val="bottom"/>
            <w:tcBorders>
              <w:bottom w:val="single" w:sz="8" w:color="auto"/>
            </w:tcBorders>
            <w:shd w:val="clear" w:color="auto" w:fill="E7E7E8"/>
          </w:tcPr>
          <w:p>
            <w:pPr>
              <w:spacing w:after="0"/>
              <w:rPr>
                <w:sz w:val="17"/>
                <w:szCs w:val="17"/>
                <w:color w:val="auto"/>
              </w:rPr>
            </w:pPr>
          </w:p>
        </w:tc>
        <w:tc>
          <w:tcPr>
            <w:tcW w:w="120" w:type="dxa"/>
            <w:vAlign w:val="bottom"/>
            <w:tcBorders>
              <w:right w:val="single" w:sz="8" w:color="E7E7E8"/>
            </w:tcBorders>
          </w:tcPr>
          <w:p>
            <w:pPr>
              <w:spacing w:after="0"/>
              <w:rPr>
                <w:sz w:val="17"/>
                <w:szCs w:val="17"/>
                <w:color w:val="auto"/>
              </w:rPr>
            </w:pPr>
          </w:p>
        </w:tc>
        <w:tc>
          <w:tcPr>
            <w:tcW w:w="9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5"/>
                <w:szCs w:val="15"/>
                <w:color w:val="auto"/>
              </w:rPr>
              <w:t>12/5/2023</w:t>
            </w:r>
          </w:p>
        </w:tc>
        <w:tc>
          <w:tcPr>
            <w:tcW w:w="140" w:type="dxa"/>
            <w:vAlign w:val="bottom"/>
            <w:tcBorders>
              <w:right w:val="single" w:sz="8" w:color="E7E7E8"/>
            </w:tcBorders>
          </w:tcPr>
          <w:p>
            <w:pPr>
              <w:spacing w:after="0"/>
              <w:rPr>
                <w:sz w:val="17"/>
                <w:szCs w:val="17"/>
                <w:color w:val="auto"/>
              </w:rPr>
            </w:pPr>
          </w:p>
        </w:tc>
        <w:tc>
          <w:tcPr>
            <w:tcW w:w="12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5"/>
                <w:szCs w:val="15"/>
                <w:color w:val="auto"/>
              </w:rPr>
              <w:t>12/4/2023</w:t>
            </w:r>
          </w:p>
        </w:tc>
        <w:tc>
          <w:tcPr>
            <w:tcW w:w="140" w:type="dxa"/>
            <w:vAlign w:val="bottom"/>
            <w:tcBorders>
              <w:right w:val="single" w:sz="8" w:color="E7E7E8"/>
            </w:tcBorders>
          </w:tcPr>
          <w:p>
            <w:pPr>
              <w:spacing w:after="0"/>
              <w:rPr>
                <w:sz w:val="17"/>
                <w:szCs w:val="17"/>
                <w:color w:val="auto"/>
              </w:rPr>
            </w:pPr>
          </w:p>
        </w:tc>
        <w:tc>
          <w:tcPr>
            <w:tcW w:w="980" w:type="dxa"/>
            <w:vAlign w:val="bottom"/>
            <w:tcBorders>
              <w:bottom w:val="single" w:sz="8" w:color="auto"/>
            </w:tcBorders>
            <w:shd w:val="clear" w:color="auto" w:fill="E7E7E8"/>
          </w:tcPr>
          <w:p>
            <w:pPr>
              <w:spacing w:after="0"/>
              <w:rPr>
                <w:sz w:val="17"/>
                <w:szCs w:val="17"/>
                <w:color w:val="auto"/>
              </w:rPr>
            </w:pPr>
          </w:p>
        </w:tc>
        <w:tc>
          <w:tcPr>
            <w:tcW w:w="140" w:type="dxa"/>
            <w:vAlign w:val="bottom"/>
            <w:tcBorders>
              <w:right w:val="single" w:sz="8" w:color="E7E7E8"/>
            </w:tcBorders>
          </w:tcPr>
          <w:p>
            <w:pPr>
              <w:spacing w:after="0"/>
              <w:rPr>
                <w:sz w:val="17"/>
                <w:szCs w:val="17"/>
                <w:color w:val="auto"/>
              </w:rPr>
            </w:pPr>
          </w:p>
        </w:tc>
        <w:tc>
          <w:tcPr>
            <w:tcW w:w="120" w:type="dxa"/>
            <w:vAlign w:val="bottom"/>
            <w:tcBorders>
              <w:bottom w:val="single" w:sz="8" w:color="auto"/>
            </w:tcBorders>
            <w:shd w:val="clear" w:color="auto" w:fill="E7E7E8"/>
          </w:tcPr>
          <w:p>
            <w:pPr>
              <w:spacing w:after="0"/>
              <w:rPr>
                <w:sz w:val="17"/>
                <w:szCs w:val="17"/>
                <w:color w:val="auto"/>
              </w:rPr>
            </w:pPr>
          </w:p>
        </w:tc>
        <w:tc>
          <w:tcPr>
            <w:tcW w:w="780" w:type="dxa"/>
            <w:vAlign w:val="bottom"/>
            <w:tcBorders>
              <w:bottom w:val="single" w:sz="8" w:color="auto"/>
            </w:tcBorders>
            <w:shd w:val="clear" w:color="auto" w:fill="E7E7E8"/>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shd w:val="clear" w:color="auto" w:fill="E7E7E8"/>
          </w:tcPr>
          <w:p>
            <w:pPr>
              <w:spacing w:after="0"/>
              <w:rPr>
                <w:sz w:val="17"/>
                <w:szCs w:val="17"/>
                <w:color w:val="auto"/>
              </w:rPr>
            </w:pPr>
          </w:p>
        </w:tc>
        <w:tc>
          <w:tcPr>
            <w:tcW w:w="60" w:type="dxa"/>
            <w:vAlign w:val="bottom"/>
            <w:tcBorders>
              <w:bottom w:val="single" w:sz="8" w:color="auto"/>
            </w:tcBorders>
            <w:shd w:val="clear" w:color="auto" w:fill="E7E7E8"/>
          </w:tcPr>
          <w:p>
            <w:pPr>
              <w:spacing w:after="0"/>
              <w:rPr>
                <w:sz w:val="17"/>
                <w:szCs w:val="17"/>
                <w:color w:val="auto"/>
              </w:rPr>
            </w:pPr>
          </w:p>
        </w:tc>
        <w:tc>
          <w:tcPr>
            <w:tcW w:w="760" w:type="dxa"/>
            <w:vAlign w:val="bottom"/>
            <w:tcBorders>
              <w:bottom w:val="single" w:sz="8" w:color="auto"/>
            </w:tcBorders>
            <w:shd w:val="clear" w:color="auto" w:fill="E7E7E8"/>
          </w:tcPr>
          <w:p>
            <w:pPr>
              <w:spacing w:after="0"/>
              <w:rPr>
                <w:sz w:val="17"/>
                <w:szCs w:val="17"/>
                <w:color w:val="auto"/>
              </w:rPr>
            </w:pPr>
          </w:p>
        </w:tc>
        <w:tc>
          <w:tcPr>
            <w:tcW w:w="140" w:type="dxa"/>
            <w:vAlign w:val="bottom"/>
            <w:tcBorders>
              <w:right w:val="single" w:sz="8" w:color="E7E7E8"/>
            </w:tcBorders>
          </w:tcPr>
          <w:p>
            <w:pPr>
              <w:spacing w:after="0"/>
              <w:rPr>
                <w:sz w:val="17"/>
                <w:szCs w:val="17"/>
                <w:color w:val="auto"/>
              </w:rPr>
            </w:pPr>
          </w:p>
        </w:tc>
        <w:tc>
          <w:tcPr>
            <w:tcW w:w="9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5"/>
                <w:szCs w:val="15"/>
                <w:color w:val="auto"/>
              </w:rPr>
              <w:t>29,836</w:t>
            </w:r>
          </w:p>
        </w:tc>
        <w:tc>
          <w:tcPr>
            <w:tcW w:w="120" w:type="dxa"/>
            <w:vAlign w:val="bottom"/>
          </w:tcPr>
          <w:p>
            <w:pPr>
              <w:spacing w:after="0"/>
              <w:rPr>
                <w:sz w:val="17"/>
                <w:szCs w:val="17"/>
                <w:color w:val="auto"/>
              </w:rPr>
            </w:pPr>
          </w:p>
        </w:tc>
        <w:tc>
          <w:tcPr>
            <w:tcW w:w="9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5"/>
                <w:szCs w:val="15"/>
                <w:color w:val="auto"/>
              </w:rPr>
              <w:t>29,836</w:t>
            </w:r>
          </w:p>
        </w:tc>
        <w:tc>
          <w:tcPr>
            <w:tcW w:w="120" w:type="dxa"/>
            <w:vAlign w:val="bottom"/>
            <w:tcBorders>
              <w:right w:val="single" w:sz="8" w:color="E7E7E8"/>
            </w:tcBorders>
          </w:tcPr>
          <w:p>
            <w:pPr>
              <w:spacing w:after="0"/>
              <w:rPr>
                <w:sz w:val="17"/>
                <w:szCs w:val="17"/>
                <w:color w:val="auto"/>
              </w:rPr>
            </w:pPr>
          </w:p>
        </w:tc>
        <w:tc>
          <w:tcPr>
            <w:tcW w:w="9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5"/>
                <w:szCs w:val="15"/>
                <w:color w:val="auto"/>
              </w:rPr>
              <w:t>$3,000,010</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00" w:right="440" w:hanging="300"/>
        <w:spacing w:after="0" w:line="193" w:lineRule="auto"/>
        <w:tabs>
          <w:tab w:leader="none" w:pos="300" w:val="left"/>
        </w:tabs>
        <w:numPr>
          <w:ilvl w:val="0"/>
          <w:numId w:val="96"/>
        </w:numPr>
        <w:rPr>
          <w:rFonts w:ascii="Arial" w:cs="Arial" w:eastAsia="Arial" w:hAnsi="Arial"/>
          <w:sz w:val="22"/>
          <w:szCs w:val="22"/>
          <w:color w:val="auto"/>
          <w:vertAlign w:val="superscript"/>
        </w:rPr>
      </w:pPr>
      <w:r>
        <w:rPr>
          <w:rFonts w:ascii="Arial" w:cs="Arial" w:eastAsia="Arial" w:hAnsi="Arial"/>
          <w:sz w:val="13"/>
          <w:szCs w:val="13"/>
          <w:color w:val="auto"/>
        </w:rPr>
        <w:t>Includes only those columns relating to plan-based awards granted during 2023. All other columns have been omitted. Mr. August did not participate in the 2023 AICP and was not granted any equity awards in 2023.</w:t>
      </w:r>
    </w:p>
    <w:p>
      <w:pPr>
        <w:spacing w:after="0" w:line="64" w:lineRule="exact"/>
        <w:rPr>
          <w:sz w:val="20"/>
          <w:szCs w:val="20"/>
          <w:color w:val="auto"/>
        </w:rPr>
      </w:pPr>
    </w:p>
    <w:p>
      <w:pPr>
        <w:ind w:left="300" w:right="100" w:hanging="300"/>
        <w:spacing w:after="0" w:line="213" w:lineRule="auto"/>
        <w:tabs>
          <w:tab w:leader="none" w:pos="300" w:val="left"/>
        </w:tabs>
        <w:numPr>
          <w:ilvl w:val="0"/>
          <w:numId w:val="97"/>
        </w:numPr>
        <w:rPr>
          <w:rFonts w:ascii="Arial" w:cs="Arial" w:eastAsia="Arial" w:hAnsi="Arial"/>
          <w:sz w:val="22"/>
          <w:szCs w:val="22"/>
          <w:color w:val="auto"/>
          <w:vertAlign w:val="superscript"/>
        </w:rPr>
      </w:pPr>
      <w:r>
        <w:rPr>
          <w:rFonts w:ascii="Arial" w:cs="Arial" w:eastAsia="Arial" w:hAnsi="Arial"/>
          <w:sz w:val="13"/>
          <w:szCs w:val="13"/>
          <w:color w:val="auto"/>
        </w:rPr>
        <w:t>The maximum represents the highest possible amount that could have been paid to each of these individuals under the 2023 AICP based on our 2023 audited financial statements. The Compensation Committee has discretion to award no bonus under this program or to award up to the maximum bonus. As a result, there is no minimum amount payable even if performance goals are met. For 2023, the Compensation Committee awarded less than the maximum amount to the NEOs and the actual amount awarded has been disclosed in the Summary Compensation Table under "Non-Equity Incentive Plan Compensation." See our CD&amp;A for additional information regarding the AICP.</w:t>
      </w:r>
    </w:p>
    <w:p>
      <w:pPr>
        <w:spacing w:after="0" w:line="65" w:lineRule="exact"/>
        <w:rPr>
          <w:sz w:val="20"/>
          <w:szCs w:val="20"/>
          <w:color w:val="auto"/>
        </w:rPr>
      </w:pPr>
    </w:p>
    <w:p>
      <w:pPr>
        <w:ind w:left="300" w:right="20" w:hanging="300"/>
        <w:spacing w:after="0" w:line="228" w:lineRule="auto"/>
        <w:tabs>
          <w:tab w:leader="none" w:pos="300" w:val="left"/>
        </w:tabs>
        <w:numPr>
          <w:ilvl w:val="0"/>
          <w:numId w:val="98"/>
        </w:numPr>
        <w:rPr>
          <w:rFonts w:ascii="Arial" w:cs="Arial" w:eastAsia="Arial" w:hAnsi="Arial"/>
          <w:sz w:val="22"/>
          <w:szCs w:val="22"/>
          <w:color w:val="auto"/>
          <w:vertAlign w:val="superscript"/>
        </w:rPr>
      </w:pPr>
      <w:r>
        <w:rPr>
          <w:rFonts w:ascii="Arial" w:cs="Arial" w:eastAsia="Arial" w:hAnsi="Arial"/>
          <w:sz w:val="13"/>
          <w:szCs w:val="13"/>
          <w:color w:val="auto"/>
        </w:rPr>
        <w:t>Represents both time-based RSUs and performance-based RSUs granted as part of the Company's annual equity incentive program from its 2020 Plan. The annual grant value awarded to the NEOs, except for Mr. Thomson, is equally split between time-based RSUs and performance-based RSUs. The time-based RSU vesting occurs 33% on each of December 10, 2024, December 10, 2025 and December 10, 2026. The performance-based RSUs are subject to a performance-based vesting threshold with a three-year performance period, which for the December 2023 grant will run from January 1, 2024 to December 31, 2026. For each performance-based RSU, the target payout represents the number of RSUs to be earned by the NEO if the Company's operating margin for the performance period is at least 100% of the average operating margin of a designated peer group. The Company's operating margin performance below this target threshold results in forfeiture of some or all of the performance-based RSUs. The performance-based RSUs earned by the NEO are then subject to time-based vesting, which occurs 50% on December 10, 2027, and December 8, 2028. Dividends on time-based RSUs are paid during the vesting period and for performance-based RSUs are accrued during the performance period and are only paid on earned units. Additional information related to these performance-based RSUs, including a list of companies in the designated peer group, are included in our CD&amp;A. The grant agreements include a provision that allows for the continued vesting of the grant, from the date of separation if certain age and service criteria are met for the NEOs.</w:t>
      </w:r>
    </w:p>
    <w:p>
      <w:pPr>
        <w:spacing w:after="0" w:line="69" w:lineRule="exact"/>
        <w:rPr>
          <w:sz w:val="20"/>
          <w:szCs w:val="20"/>
          <w:color w:val="auto"/>
        </w:rPr>
      </w:pPr>
    </w:p>
    <w:p>
      <w:pPr>
        <w:ind w:left="300" w:right="260" w:hanging="300"/>
        <w:spacing w:after="0" w:line="206" w:lineRule="auto"/>
        <w:tabs>
          <w:tab w:leader="none" w:pos="300" w:val="left"/>
        </w:tabs>
        <w:numPr>
          <w:ilvl w:val="0"/>
          <w:numId w:val="99"/>
        </w:numPr>
        <w:rPr>
          <w:rFonts w:ascii="Arial" w:cs="Arial" w:eastAsia="Arial" w:hAnsi="Arial"/>
          <w:sz w:val="22"/>
          <w:szCs w:val="22"/>
          <w:color w:val="auto"/>
          <w:vertAlign w:val="superscript"/>
        </w:rPr>
      </w:pPr>
      <w:r>
        <w:rPr>
          <w:rFonts w:ascii="Arial" w:cs="Arial" w:eastAsia="Arial" w:hAnsi="Arial"/>
          <w:sz w:val="13"/>
          <w:szCs w:val="13"/>
          <w:color w:val="auto"/>
        </w:rPr>
        <w:t>Represents the grant date fair value of the time-based RSUs and performance-based RSUs granted in 2023 in accordance with FASB ASC Topic 718. The grant date fair value of the awards was measured using the market price per share of Price Group common stock on the date of grant multiplied by the target number of units noted in the table, as this was considered the probable outcome.</w:t>
      </w:r>
    </w:p>
    <w:p>
      <w:pPr>
        <w:spacing w:after="0" w:line="64" w:lineRule="exact"/>
        <w:rPr>
          <w:sz w:val="20"/>
          <w:szCs w:val="20"/>
          <w:color w:val="auto"/>
        </w:rPr>
      </w:pPr>
    </w:p>
    <w:p>
      <w:pPr>
        <w:ind w:left="300" w:right="60" w:hanging="300"/>
        <w:spacing w:after="0" w:line="206" w:lineRule="auto"/>
        <w:tabs>
          <w:tab w:leader="none" w:pos="300" w:val="left"/>
        </w:tabs>
        <w:numPr>
          <w:ilvl w:val="0"/>
          <w:numId w:val="100"/>
        </w:numPr>
        <w:rPr>
          <w:rFonts w:ascii="Arial" w:cs="Arial" w:eastAsia="Arial" w:hAnsi="Arial"/>
          <w:sz w:val="22"/>
          <w:szCs w:val="22"/>
          <w:color w:val="auto"/>
          <w:vertAlign w:val="superscript"/>
        </w:rPr>
      </w:pPr>
      <w:r>
        <w:rPr>
          <w:rFonts w:ascii="Arial" w:cs="Arial" w:eastAsia="Arial" w:hAnsi="Arial"/>
          <w:sz w:val="13"/>
          <w:szCs w:val="13"/>
          <w:color w:val="auto"/>
        </w:rPr>
        <w:t>Represents the mutual fund units awarded to Mr. Thomson in 2023. The mutual fund units award value of $1,600,250 was converted to 126,739 units based on the net asset value of the hypothetical investments on the grant date. The award value will be adjusted up or down in accordance with the basket of hypothetical investments the units are indexed against and settled in cash at the end of the vesting period.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020" w:type="dxa"/>
            <w:vAlign w:val="bottom"/>
          </w:tcPr>
          <w:p>
            <w:pPr>
              <w:ind w:left="9720"/>
              <w:spacing w:after="0"/>
              <w:rPr>
                <w:sz w:val="20"/>
                <w:szCs w:val="20"/>
                <w:color w:val="auto"/>
              </w:rPr>
            </w:pPr>
            <w:r>
              <w:rPr>
                <w:rFonts w:ascii="Times New Roman" w:cs="Times New Roman" w:eastAsia="Times New Roman" w:hAnsi="Times New Roman"/>
                <w:sz w:val="13"/>
                <w:szCs w:val="13"/>
                <w:b w:val="1"/>
                <w:bCs w:val="1"/>
                <w:color w:val="auto"/>
              </w:rPr>
              <w:t xml:space="preserve">2024 </w:t>
            </w:r>
            <w:r>
              <w:rPr>
                <w:rFonts w:ascii="Times New Roman" w:cs="Times New Roman" w:eastAsia="Times New Roman" w:hAnsi="Times New Roman"/>
                <w:sz w:val="13"/>
                <w:szCs w:val="13"/>
                <w:color w:val="auto"/>
              </w:rPr>
              <w:t>Proxy Statement</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244F"/>
              </w:rPr>
              <w:t>65</w:t>
            </w:r>
          </w:p>
        </w:tc>
      </w:tr>
      <w:tr>
        <w:trPr>
          <w:trHeight w:val="385"/>
        </w:trPr>
        <w:tc>
          <w:tcPr>
            <w:tcW w:w="1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3" w:right="339" w:bottom="1440" w:gutter="0" w:footer="0" w:header="0"/>
        </w:sectPr>
      </w:pPr>
    </w:p>
    <w:bookmarkStart w:id="70" w:name="page71"/>
    <w:bookmarkEnd w:id="70"/>
    <w:p>
      <w:pPr>
        <w:spacing w:after="0"/>
        <w:rPr>
          <w:sz w:val="20"/>
          <w:szCs w:val="20"/>
          <w:color w:val="auto"/>
        </w:rPr>
      </w:pPr>
      <w:r>
        <w:rPr>
          <w:rFonts w:ascii="Arial" w:cs="Arial" w:eastAsia="Arial" w:hAnsi="Arial"/>
          <w:sz w:val="17"/>
          <w:szCs w:val="17"/>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244F"/>
        </w:rPr>
        <w:t>Outstanding Equity Awards Table at December 31, 2023</w:t>
      </w:r>
      <w:r>
        <w:rPr>
          <w:rFonts w:ascii="Times New Roman" w:cs="Times New Roman" w:eastAsia="Times New Roman" w:hAnsi="Times New Roman"/>
          <w:sz w:val="49"/>
          <w:szCs w:val="49"/>
          <w:b w:val="1"/>
          <w:bCs w:val="1"/>
          <w:color w:val="00244F"/>
          <w:vertAlign w:val="superscript"/>
        </w:rPr>
        <w:t>1</w:t>
      </w:r>
    </w:p>
    <w:p>
      <w:pPr>
        <w:spacing w:after="0" w:line="78" w:lineRule="exact"/>
        <w:rPr>
          <w:sz w:val="20"/>
          <w:szCs w:val="20"/>
          <w:color w:val="auto"/>
        </w:rPr>
      </w:pPr>
    </w:p>
    <w:p>
      <w:pPr>
        <w:jc w:val="both"/>
        <w:ind w:right="140"/>
        <w:spacing w:after="0" w:line="252" w:lineRule="auto"/>
        <w:rPr>
          <w:sz w:val="20"/>
          <w:szCs w:val="20"/>
          <w:color w:val="auto"/>
        </w:rPr>
      </w:pPr>
      <w:r>
        <w:rPr>
          <w:rFonts w:ascii="Arial" w:cs="Arial" w:eastAsia="Arial" w:hAnsi="Arial"/>
          <w:sz w:val="16"/>
          <w:szCs w:val="16"/>
          <w:color w:val="auto"/>
        </w:rPr>
        <w:t>The following table shows information concerning equity incentive awards outstanding at December 31, 2023, for each NEO. The grant agreements for all unexercisable option awards and unvested stock awards include a provision that allows for continued vesting from the date of separation utilizing a tiered approach with three different age and service criteria, each having separate periods of continued vesting. The provision was modified in 2021 for 2021 grants and thereafter to allow continued vesting for all unvested awards to all associates who meet certain age and service criteria.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ind w:left="60"/>
              <w:spacing w:after="0"/>
              <w:rPr>
                <w:sz w:val="20"/>
                <w:szCs w:val="20"/>
                <w:color w:val="auto"/>
              </w:rPr>
            </w:pPr>
            <w:r>
              <w:rPr>
                <w:rFonts w:ascii="Arial" w:cs="Arial" w:eastAsia="Arial" w:hAnsi="Arial"/>
                <w:sz w:val="12"/>
                <w:szCs w:val="12"/>
                <w:b w:val="1"/>
                <w:bCs w:val="1"/>
                <w:color w:val="auto"/>
              </w:rPr>
              <w:t>OPTION AWARDS</w:t>
            </w:r>
          </w:p>
        </w:tc>
        <w:tc>
          <w:tcPr>
            <w:tcW w:w="880" w:type="dxa"/>
            <w:vAlign w:val="bottom"/>
            <w:tcBorders>
              <w:bottom w:val="single" w:sz="8" w:color="auto"/>
            </w:tcBorders>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4"/>
          </w:tcPr>
          <w:p>
            <w:pPr>
              <w:ind w:left="320"/>
              <w:spacing w:after="0"/>
              <w:rPr>
                <w:sz w:val="20"/>
                <w:szCs w:val="20"/>
                <w:color w:val="auto"/>
              </w:rPr>
            </w:pPr>
            <w:r>
              <w:rPr>
                <w:rFonts w:ascii="Arial" w:cs="Arial" w:eastAsia="Arial" w:hAnsi="Arial"/>
                <w:sz w:val="12"/>
                <w:szCs w:val="12"/>
                <w:b w:val="1"/>
                <w:bCs w:val="1"/>
                <w:color w:val="auto"/>
              </w:rPr>
              <w:t>STOCK AWARDS</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2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Borders>
              <w:right w:val="single" w:sz="8" w:color="auto"/>
            </w:tcBorders>
            <w:gridSpan w:val="2"/>
            <w:vMerge w:val="restart"/>
          </w:tcPr>
          <w:p>
            <w:pPr>
              <w:jc w:val="center"/>
              <w:ind w:right="20"/>
              <w:spacing w:after="0"/>
              <w:rPr>
                <w:sz w:val="20"/>
                <w:szCs w:val="20"/>
                <w:color w:val="auto"/>
              </w:rPr>
            </w:pPr>
            <w:r>
              <w:rPr>
                <w:rFonts w:ascii="Arial" w:cs="Arial" w:eastAsia="Arial" w:hAnsi="Arial"/>
                <w:sz w:val="12"/>
                <w:szCs w:val="12"/>
                <w:b w:val="1"/>
                <w:bCs w:val="1"/>
                <w:color w:val="auto"/>
                <w:w w:val="97"/>
              </w:rPr>
              <w:t>MARKET</w:t>
            </w:r>
          </w:p>
        </w:tc>
        <w:tc>
          <w:tcPr>
            <w:tcW w:w="1040" w:type="dxa"/>
            <w:vAlign w:val="bottom"/>
            <w:tcBorders>
              <w:right w:val="single" w:sz="8" w:color="auto"/>
            </w:tcBorders>
            <w:gridSpan w:val="2"/>
          </w:tcPr>
          <w:p>
            <w:pPr>
              <w:jc w:val="right"/>
              <w:ind w:right="200"/>
              <w:spacing w:after="0" w:line="129" w:lineRule="exact"/>
              <w:rPr>
                <w:sz w:val="20"/>
                <w:szCs w:val="20"/>
                <w:color w:val="auto"/>
              </w:rPr>
            </w:pPr>
            <w:r>
              <w:rPr>
                <w:rFonts w:ascii="Arial" w:cs="Arial" w:eastAsia="Arial" w:hAnsi="Arial"/>
                <w:sz w:val="12"/>
                <w:szCs w:val="12"/>
                <w:b w:val="1"/>
                <w:bCs w:val="1"/>
                <w:color w:val="auto"/>
              </w:rPr>
              <w:t>EQUITY</w:t>
            </w: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2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0"/>
                <w:szCs w:val="10"/>
                <w:color w:val="auto"/>
              </w:rPr>
            </w:pPr>
          </w:p>
        </w:tc>
        <w:tc>
          <w:tcPr>
            <w:tcW w:w="920" w:type="dxa"/>
            <w:vAlign w:val="bottom"/>
            <w:tcBorders>
              <w:right w:val="single" w:sz="8" w:color="auto"/>
            </w:tcBorders>
            <w:gridSpan w:val="2"/>
            <w:vMerge w:val="continue"/>
          </w:tcPr>
          <w:p>
            <w:pPr>
              <w:spacing w:after="0"/>
              <w:rPr>
                <w:sz w:val="10"/>
                <w:szCs w:val="10"/>
                <w:color w:val="auto"/>
              </w:rPr>
            </w:pPr>
          </w:p>
        </w:tc>
        <w:tc>
          <w:tcPr>
            <w:tcW w:w="1040" w:type="dxa"/>
            <w:vAlign w:val="bottom"/>
            <w:tcBorders>
              <w:right w:val="single" w:sz="8" w:color="auto"/>
            </w:tcBorders>
            <w:gridSpan w:val="2"/>
          </w:tcPr>
          <w:p>
            <w:pPr>
              <w:jc w:val="right"/>
              <w:ind w:right="200"/>
              <w:spacing w:after="0" w:line="125" w:lineRule="exact"/>
              <w:rPr>
                <w:sz w:val="20"/>
                <w:szCs w:val="20"/>
                <w:color w:val="auto"/>
              </w:rPr>
            </w:pPr>
            <w:r>
              <w:rPr>
                <w:rFonts w:ascii="Arial" w:cs="Arial" w:eastAsia="Arial" w:hAnsi="Arial"/>
                <w:sz w:val="12"/>
                <w:szCs w:val="12"/>
                <w:b w:val="1"/>
                <w:bCs w:val="1"/>
                <w:color w:val="auto"/>
              </w:rPr>
              <w:t>INCENTIVE</w:t>
            </w:r>
          </w:p>
        </w:tc>
        <w:tc>
          <w:tcPr>
            <w:tcW w:w="38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25"/>
        </w:trPr>
        <w:tc>
          <w:tcPr>
            <w:tcW w:w="22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Borders>
              <w:right w:val="single" w:sz="8" w:color="auto"/>
            </w:tcBorders>
            <w:gridSpan w:val="2"/>
          </w:tcPr>
          <w:p>
            <w:pPr>
              <w:jc w:val="right"/>
              <w:ind w:right="220"/>
              <w:spacing w:after="0" w:line="125" w:lineRule="exact"/>
              <w:rPr>
                <w:sz w:val="20"/>
                <w:szCs w:val="20"/>
                <w:color w:val="auto"/>
              </w:rPr>
            </w:pPr>
            <w:r>
              <w:rPr>
                <w:rFonts w:ascii="Arial" w:cs="Arial" w:eastAsia="Arial" w:hAnsi="Arial"/>
                <w:sz w:val="12"/>
                <w:szCs w:val="12"/>
                <w:b w:val="1"/>
                <w:bCs w:val="1"/>
                <w:color w:val="auto"/>
              </w:rPr>
              <w:t>VALUE OF</w:t>
            </w:r>
          </w:p>
        </w:tc>
        <w:tc>
          <w:tcPr>
            <w:tcW w:w="1040" w:type="dxa"/>
            <w:vAlign w:val="bottom"/>
            <w:tcBorders>
              <w:right w:val="single" w:sz="8" w:color="auto"/>
            </w:tcBorders>
            <w:gridSpan w:val="2"/>
          </w:tcPr>
          <w:p>
            <w:pPr>
              <w:jc w:val="right"/>
              <w:ind w:right="200"/>
              <w:spacing w:after="0" w:line="125" w:lineRule="exact"/>
              <w:rPr>
                <w:sz w:val="20"/>
                <w:szCs w:val="20"/>
                <w:color w:val="auto"/>
              </w:rPr>
            </w:pPr>
            <w:r>
              <w:rPr>
                <w:rFonts w:ascii="Arial" w:cs="Arial" w:eastAsia="Arial" w:hAnsi="Arial"/>
                <w:sz w:val="12"/>
                <w:szCs w:val="12"/>
                <w:b w:val="1"/>
                <w:bCs w:val="1"/>
                <w:color w:val="auto"/>
              </w:rPr>
              <w:t>PLAN</w:t>
            </w:r>
          </w:p>
        </w:tc>
        <w:tc>
          <w:tcPr>
            <w:tcW w:w="3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2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NUMBER OF</w:t>
            </w:r>
          </w:p>
        </w:tc>
        <w:tc>
          <w:tcPr>
            <w:tcW w:w="160" w:type="dxa"/>
            <w:vAlign w:val="bottom"/>
            <w:tcBorders>
              <w:right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gridSpan w:val="2"/>
          </w:tcPr>
          <w:p>
            <w:pPr>
              <w:jc w:val="right"/>
              <w:ind w:right="200"/>
              <w:spacing w:after="0" w:line="125" w:lineRule="exact"/>
              <w:rPr>
                <w:sz w:val="20"/>
                <w:szCs w:val="20"/>
                <w:color w:val="auto"/>
              </w:rPr>
            </w:pPr>
            <w:r>
              <w:rPr>
                <w:rFonts w:ascii="Arial" w:cs="Arial" w:eastAsia="Arial" w:hAnsi="Arial"/>
                <w:sz w:val="12"/>
                <w:szCs w:val="12"/>
                <w:b w:val="1"/>
                <w:bCs w:val="1"/>
                <w:color w:val="auto"/>
              </w:rPr>
              <w:t>OF SHARES</w:t>
            </w:r>
          </w:p>
        </w:tc>
        <w:tc>
          <w:tcPr>
            <w:tcW w:w="280" w:type="dxa"/>
            <w:vAlign w:val="bottom"/>
          </w:tcPr>
          <w:p>
            <w:pPr>
              <w:spacing w:after="0"/>
              <w:rPr>
                <w:sz w:val="10"/>
                <w:szCs w:val="10"/>
                <w:color w:val="auto"/>
              </w:rPr>
            </w:pPr>
          </w:p>
        </w:tc>
        <w:tc>
          <w:tcPr>
            <w:tcW w:w="920" w:type="dxa"/>
            <w:vAlign w:val="bottom"/>
            <w:tcBorders>
              <w:right w:val="single" w:sz="8" w:color="auto"/>
            </w:tcBorders>
            <w:gridSpan w:val="2"/>
          </w:tcPr>
          <w:p>
            <w:pPr>
              <w:jc w:val="center"/>
              <w:spacing w:after="0" w:line="125" w:lineRule="exact"/>
              <w:rPr>
                <w:sz w:val="20"/>
                <w:szCs w:val="20"/>
                <w:color w:val="auto"/>
              </w:rPr>
            </w:pPr>
            <w:r>
              <w:rPr>
                <w:rFonts w:ascii="Arial" w:cs="Arial" w:eastAsia="Arial" w:hAnsi="Arial"/>
                <w:sz w:val="12"/>
                <w:szCs w:val="12"/>
                <w:b w:val="1"/>
                <w:bCs w:val="1"/>
                <w:color w:val="auto"/>
                <w:w w:val="95"/>
              </w:rPr>
              <w:t>SHARES</w:t>
            </w:r>
          </w:p>
        </w:tc>
        <w:tc>
          <w:tcPr>
            <w:tcW w:w="1040" w:type="dxa"/>
            <w:vAlign w:val="bottom"/>
            <w:tcBorders>
              <w:right w:val="single" w:sz="8" w:color="auto"/>
            </w:tcBorders>
            <w:gridSpan w:val="2"/>
          </w:tcPr>
          <w:p>
            <w:pPr>
              <w:jc w:val="right"/>
              <w:ind w:right="200"/>
              <w:spacing w:after="0" w:line="125" w:lineRule="exact"/>
              <w:rPr>
                <w:sz w:val="20"/>
                <w:szCs w:val="20"/>
                <w:color w:val="auto"/>
              </w:rPr>
            </w:pPr>
            <w:r>
              <w:rPr>
                <w:rFonts w:ascii="Arial" w:cs="Arial" w:eastAsia="Arial" w:hAnsi="Arial"/>
                <w:sz w:val="12"/>
                <w:szCs w:val="12"/>
                <w:b w:val="1"/>
                <w:bCs w:val="1"/>
                <w:color w:val="auto"/>
              </w:rPr>
              <w:t>AWARDS:</w:t>
            </w:r>
          </w:p>
        </w:tc>
        <w:tc>
          <w:tcPr>
            <w:tcW w:w="38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INCENTIVE</w:t>
            </w:r>
          </w:p>
        </w:tc>
        <w:tc>
          <w:tcPr>
            <w:tcW w:w="0" w:type="dxa"/>
            <w:vAlign w:val="bottom"/>
          </w:tcPr>
          <w:p>
            <w:pPr>
              <w:spacing w:after="0"/>
              <w:rPr>
                <w:sz w:val="1"/>
                <w:szCs w:val="1"/>
                <w:color w:val="auto"/>
              </w:rPr>
            </w:pPr>
          </w:p>
        </w:tc>
      </w:tr>
      <w:tr>
        <w:trPr>
          <w:trHeight w:val="125"/>
        </w:trPr>
        <w:tc>
          <w:tcPr>
            <w:tcW w:w="22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920" w:type="dxa"/>
            <w:vAlign w:val="bottom"/>
            <w:vMerge w:val="continue"/>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gridSpan w:val="2"/>
          </w:tcPr>
          <w:p>
            <w:pPr>
              <w:jc w:val="right"/>
              <w:ind w:right="200"/>
              <w:spacing w:after="0" w:line="125" w:lineRule="exact"/>
              <w:rPr>
                <w:sz w:val="20"/>
                <w:szCs w:val="20"/>
                <w:color w:val="auto"/>
              </w:rPr>
            </w:pPr>
            <w:r>
              <w:rPr>
                <w:rFonts w:ascii="Arial" w:cs="Arial" w:eastAsia="Arial" w:hAnsi="Arial"/>
                <w:sz w:val="12"/>
                <w:szCs w:val="12"/>
                <w:b w:val="1"/>
                <w:bCs w:val="1"/>
                <w:color w:val="auto"/>
              </w:rPr>
              <w:t>OR UNITS</w:t>
            </w:r>
          </w:p>
        </w:tc>
        <w:tc>
          <w:tcPr>
            <w:tcW w:w="280" w:type="dxa"/>
            <w:vAlign w:val="bottom"/>
          </w:tcPr>
          <w:p>
            <w:pPr>
              <w:spacing w:after="0"/>
              <w:rPr>
                <w:sz w:val="10"/>
                <w:szCs w:val="10"/>
                <w:color w:val="auto"/>
              </w:rPr>
            </w:pPr>
          </w:p>
        </w:tc>
        <w:tc>
          <w:tcPr>
            <w:tcW w:w="920" w:type="dxa"/>
            <w:vAlign w:val="bottom"/>
            <w:tcBorders>
              <w:right w:val="single" w:sz="8" w:color="auto"/>
            </w:tcBorders>
            <w:gridSpan w:val="2"/>
          </w:tcPr>
          <w:p>
            <w:pPr>
              <w:jc w:val="right"/>
              <w:ind w:right="220"/>
              <w:spacing w:after="0" w:line="125" w:lineRule="exact"/>
              <w:rPr>
                <w:sz w:val="20"/>
                <w:szCs w:val="20"/>
                <w:color w:val="auto"/>
              </w:rPr>
            </w:pPr>
            <w:r>
              <w:rPr>
                <w:rFonts w:ascii="Arial" w:cs="Arial" w:eastAsia="Arial" w:hAnsi="Arial"/>
                <w:sz w:val="12"/>
                <w:szCs w:val="12"/>
                <w:b w:val="1"/>
                <w:bCs w:val="1"/>
                <w:color w:val="auto"/>
              </w:rPr>
              <w:t>OR UNITS</w:t>
            </w:r>
          </w:p>
        </w:tc>
        <w:tc>
          <w:tcPr>
            <w:tcW w:w="1040" w:type="dxa"/>
            <w:vAlign w:val="bottom"/>
            <w:tcBorders>
              <w:right w:val="single" w:sz="8" w:color="auto"/>
            </w:tcBorders>
            <w:gridSpan w:val="2"/>
          </w:tcPr>
          <w:p>
            <w:pPr>
              <w:jc w:val="right"/>
              <w:ind w:right="200"/>
              <w:spacing w:after="0" w:line="125" w:lineRule="exact"/>
              <w:rPr>
                <w:sz w:val="20"/>
                <w:szCs w:val="20"/>
                <w:color w:val="auto"/>
              </w:rPr>
            </w:pPr>
            <w:r>
              <w:rPr>
                <w:rFonts w:ascii="Arial" w:cs="Arial" w:eastAsia="Arial" w:hAnsi="Arial"/>
                <w:sz w:val="12"/>
                <w:szCs w:val="12"/>
                <w:b w:val="1"/>
                <w:bCs w:val="1"/>
                <w:color w:val="auto"/>
              </w:rPr>
              <w:t>NUMBER OF</w:t>
            </w:r>
          </w:p>
        </w:tc>
        <w:tc>
          <w:tcPr>
            <w:tcW w:w="1160" w:type="dxa"/>
            <w:vAlign w:val="bottom"/>
            <w:gridSpan w:val="2"/>
          </w:tcPr>
          <w:p>
            <w:pPr>
              <w:jc w:val="right"/>
              <w:spacing w:after="0" w:line="125" w:lineRule="exact"/>
              <w:rPr>
                <w:sz w:val="20"/>
                <w:szCs w:val="20"/>
                <w:color w:val="auto"/>
              </w:rPr>
            </w:pPr>
            <w:r>
              <w:rPr>
                <w:rFonts w:ascii="Arial" w:cs="Arial" w:eastAsia="Arial" w:hAnsi="Arial"/>
                <w:sz w:val="12"/>
                <w:szCs w:val="12"/>
                <w:b w:val="1"/>
                <w:bCs w:val="1"/>
                <w:color w:val="auto"/>
              </w:rPr>
              <w:t>PLAN AWARDS:</w:t>
            </w:r>
          </w:p>
        </w:tc>
        <w:tc>
          <w:tcPr>
            <w:tcW w:w="0" w:type="dxa"/>
            <w:vAlign w:val="bottom"/>
          </w:tcPr>
          <w:p>
            <w:pPr>
              <w:spacing w:after="0"/>
              <w:rPr>
                <w:sz w:val="1"/>
                <w:szCs w:val="1"/>
                <w:color w:val="auto"/>
              </w:rPr>
            </w:pPr>
          </w:p>
        </w:tc>
      </w:tr>
      <w:tr>
        <w:trPr>
          <w:trHeight w:val="125"/>
        </w:trPr>
        <w:tc>
          <w:tcPr>
            <w:tcW w:w="22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92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SECURITIES</w:t>
            </w:r>
          </w:p>
        </w:tc>
        <w:tc>
          <w:tcPr>
            <w:tcW w:w="160" w:type="dxa"/>
            <w:vAlign w:val="bottom"/>
            <w:tcBorders>
              <w:right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gridSpan w:val="2"/>
          </w:tcPr>
          <w:p>
            <w:pPr>
              <w:jc w:val="right"/>
              <w:ind w:right="200"/>
              <w:spacing w:after="0" w:line="125" w:lineRule="exact"/>
              <w:rPr>
                <w:sz w:val="20"/>
                <w:szCs w:val="20"/>
                <w:color w:val="auto"/>
              </w:rPr>
            </w:pPr>
            <w:r>
              <w:rPr>
                <w:rFonts w:ascii="Arial" w:cs="Arial" w:eastAsia="Arial" w:hAnsi="Arial"/>
                <w:sz w:val="12"/>
                <w:szCs w:val="12"/>
                <w:b w:val="1"/>
                <w:bCs w:val="1"/>
                <w:color w:val="auto"/>
              </w:rPr>
              <w:t>OF STOCK</w:t>
            </w:r>
          </w:p>
        </w:tc>
        <w:tc>
          <w:tcPr>
            <w:tcW w:w="280" w:type="dxa"/>
            <w:vAlign w:val="bottom"/>
          </w:tcPr>
          <w:p>
            <w:pPr>
              <w:spacing w:after="0"/>
              <w:rPr>
                <w:sz w:val="10"/>
                <w:szCs w:val="10"/>
                <w:color w:val="auto"/>
              </w:rPr>
            </w:pPr>
          </w:p>
        </w:tc>
        <w:tc>
          <w:tcPr>
            <w:tcW w:w="920" w:type="dxa"/>
            <w:vAlign w:val="bottom"/>
            <w:tcBorders>
              <w:right w:val="single" w:sz="8" w:color="auto"/>
            </w:tcBorders>
            <w:gridSpan w:val="2"/>
          </w:tcPr>
          <w:p>
            <w:pPr>
              <w:jc w:val="right"/>
              <w:ind w:right="220"/>
              <w:spacing w:after="0" w:line="125" w:lineRule="exact"/>
              <w:rPr>
                <w:sz w:val="20"/>
                <w:szCs w:val="20"/>
                <w:color w:val="auto"/>
              </w:rPr>
            </w:pPr>
            <w:r>
              <w:rPr>
                <w:rFonts w:ascii="Arial" w:cs="Arial" w:eastAsia="Arial" w:hAnsi="Arial"/>
                <w:sz w:val="12"/>
                <w:szCs w:val="12"/>
                <w:b w:val="1"/>
                <w:bCs w:val="1"/>
                <w:color w:val="auto"/>
              </w:rPr>
              <w:t>OF STOCK</w:t>
            </w:r>
          </w:p>
        </w:tc>
        <w:tc>
          <w:tcPr>
            <w:tcW w:w="1040" w:type="dxa"/>
            <w:vAlign w:val="bottom"/>
            <w:tcBorders>
              <w:right w:val="single" w:sz="8" w:color="auto"/>
            </w:tcBorders>
            <w:gridSpan w:val="2"/>
          </w:tcPr>
          <w:p>
            <w:pPr>
              <w:jc w:val="right"/>
              <w:ind w:right="200"/>
              <w:spacing w:after="0" w:line="125" w:lineRule="exact"/>
              <w:rPr>
                <w:sz w:val="20"/>
                <w:szCs w:val="20"/>
                <w:color w:val="auto"/>
              </w:rPr>
            </w:pPr>
            <w:r>
              <w:rPr>
                <w:rFonts w:ascii="Arial" w:cs="Arial" w:eastAsia="Arial" w:hAnsi="Arial"/>
                <w:sz w:val="12"/>
                <w:szCs w:val="12"/>
                <w:b w:val="1"/>
                <w:bCs w:val="1"/>
                <w:color w:val="auto"/>
              </w:rPr>
              <w:t>UNEARNED</w:t>
            </w:r>
          </w:p>
        </w:tc>
        <w:tc>
          <w:tcPr>
            <w:tcW w:w="1160" w:type="dxa"/>
            <w:vAlign w:val="bottom"/>
            <w:gridSpan w:val="2"/>
          </w:tcPr>
          <w:p>
            <w:pPr>
              <w:jc w:val="right"/>
              <w:spacing w:after="0" w:line="125" w:lineRule="exact"/>
              <w:rPr>
                <w:sz w:val="20"/>
                <w:szCs w:val="20"/>
                <w:color w:val="auto"/>
              </w:rPr>
            </w:pPr>
            <w:r>
              <w:rPr>
                <w:rFonts w:ascii="Arial" w:cs="Arial" w:eastAsia="Arial" w:hAnsi="Arial"/>
                <w:sz w:val="12"/>
                <w:szCs w:val="12"/>
                <w:b w:val="1"/>
                <w:bCs w:val="1"/>
                <w:color w:val="auto"/>
              </w:rPr>
              <w:t>MARKET VALUE</w:t>
            </w:r>
          </w:p>
        </w:tc>
        <w:tc>
          <w:tcPr>
            <w:tcW w:w="0" w:type="dxa"/>
            <w:vAlign w:val="bottom"/>
          </w:tcPr>
          <w:p>
            <w:pPr>
              <w:spacing w:after="0"/>
              <w:rPr>
                <w:sz w:val="1"/>
                <w:szCs w:val="1"/>
                <w:color w:val="auto"/>
              </w:rPr>
            </w:pPr>
          </w:p>
        </w:tc>
      </w:tr>
      <w:tr>
        <w:trPr>
          <w:trHeight w:val="125"/>
        </w:trPr>
        <w:tc>
          <w:tcPr>
            <w:tcW w:w="22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92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UNDERLYING</w:t>
            </w:r>
          </w:p>
        </w:tc>
        <w:tc>
          <w:tcPr>
            <w:tcW w:w="16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gridSpan w:val="2"/>
            <w:vMerge w:val="restart"/>
          </w:tcPr>
          <w:p>
            <w:pPr>
              <w:jc w:val="right"/>
              <w:ind w:right="220"/>
              <w:spacing w:after="0"/>
              <w:rPr>
                <w:sz w:val="20"/>
                <w:szCs w:val="20"/>
                <w:color w:val="auto"/>
              </w:rPr>
            </w:pPr>
            <w:r>
              <w:rPr>
                <w:rFonts w:ascii="Arial" w:cs="Arial" w:eastAsia="Arial" w:hAnsi="Arial"/>
                <w:sz w:val="12"/>
                <w:szCs w:val="12"/>
                <w:b w:val="1"/>
                <w:bCs w:val="1"/>
                <w:color w:val="auto"/>
              </w:rPr>
              <w:t>OPTION</w:t>
            </w:r>
          </w:p>
        </w:tc>
        <w:tc>
          <w:tcPr>
            <w:tcW w:w="1040" w:type="dxa"/>
            <w:vAlign w:val="bottom"/>
            <w:tcBorders>
              <w:right w:val="single" w:sz="8" w:color="auto"/>
            </w:tcBorders>
            <w:gridSpan w:val="2"/>
            <w:vMerge w:val="restart"/>
          </w:tcPr>
          <w:p>
            <w:pPr>
              <w:jc w:val="right"/>
              <w:ind w:right="220"/>
              <w:spacing w:after="0"/>
              <w:rPr>
                <w:sz w:val="20"/>
                <w:szCs w:val="20"/>
                <w:color w:val="auto"/>
              </w:rPr>
            </w:pPr>
            <w:r>
              <w:rPr>
                <w:rFonts w:ascii="Arial" w:cs="Arial" w:eastAsia="Arial" w:hAnsi="Arial"/>
                <w:sz w:val="12"/>
                <w:szCs w:val="12"/>
                <w:b w:val="1"/>
                <w:bCs w:val="1"/>
                <w:color w:val="auto"/>
              </w:rPr>
              <w:t>OPTION</w:t>
            </w:r>
          </w:p>
        </w:tc>
        <w:tc>
          <w:tcPr>
            <w:tcW w:w="1240" w:type="dxa"/>
            <w:vAlign w:val="bottom"/>
            <w:tcBorders>
              <w:right w:val="single" w:sz="8" w:color="auto"/>
            </w:tcBorders>
            <w:gridSpan w:val="2"/>
          </w:tcPr>
          <w:p>
            <w:pPr>
              <w:jc w:val="right"/>
              <w:ind w:right="200"/>
              <w:spacing w:after="0" w:line="125" w:lineRule="exact"/>
              <w:rPr>
                <w:sz w:val="20"/>
                <w:szCs w:val="20"/>
                <w:color w:val="auto"/>
              </w:rPr>
            </w:pPr>
            <w:r>
              <w:rPr>
                <w:rFonts w:ascii="Arial" w:cs="Arial" w:eastAsia="Arial" w:hAnsi="Arial"/>
                <w:sz w:val="12"/>
                <w:szCs w:val="12"/>
                <w:b w:val="1"/>
                <w:bCs w:val="1"/>
                <w:color w:val="auto"/>
              </w:rPr>
              <w:t>THAT</w:t>
            </w:r>
          </w:p>
        </w:tc>
        <w:tc>
          <w:tcPr>
            <w:tcW w:w="280" w:type="dxa"/>
            <w:vAlign w:val="bottom"/>
          </w:tcPr>
          <w:p>
            <w:pPr>
              <w:spacing w:after="0"/>
              <w:rPr>
                <w:sz w:val="10"/>
                <w:szCs w:val="10"/>
                <w:color w:val="auto"/>
              </w:rPr>
            </w:pPr>
          </w:p>
        </w:tc>
        <w:tc>
          <w:tcPr>
            <w:tcW w:w="920" w:type="dxa"/>
            <w:vAlign w:val="bottom"/>
            <w:tcBorders>
              <w:right w:val="single" w:sz="8" w:color="auto"/>
            </w:tcBorders>
            <w:gridSpan w:val="2"/>
          </w:tcPr>
          <w:p>
            <w:pPr>
              <w:jc w:val="right"/>
              <w:ind w:right="220"/>
              <w:spacing w:after="0" w:line="125" w:lineRule="exact"/>
              <w:rPr>
                <w:sz w:val="20"/>
                <w:szCs w:val="20"/>
                <w:color w:val="auto"/>
              </w:rPr>
            </w:pPr>
            <w:r>
              <w:rPr>
                <w:rFonts w:ascii="Arial" w:cs="Arial" w:eastAsia="Arial" w:hAnsi="Arial"/>
                <w:sz w:val="12"/>
                <w:szCs w:val="12"/>
                <w:b w:val="1"/>
                <w:bCs w:val="1"/>
                <w:color w:val="auto"/>
              </w:rPr>
              <w:t>THAT</w:t>
            </w:r>
          </w:p>
        </w:tc>
        <w:tc>
          <w:tcPr>
            <w:tcW w:w="1040" w:type="dxa"/>
            <w:vAlign w:val="bottom"/>
            <w:tcBorders>
              <w:right w:val="single" w:sz="8" w:color="auto"/>
            </w:tcBorders>
            <w:gridSpan w:val="2"/>
          </w:tcPr>
          <w:p>
            <w:pPr>
              <w:jc w:val="right"/>
              <w:ind w:right="200"/>
              <w:spacing w:after="0" w:line="125" w:lineRule="exact"/>
              <w:rPr>
                <w:sz w:val="20"/>
                <w:szCs w:val="20"/>
                <w:color w:val="auto"/>
              </w:rPr>
            </w:pPr>
            <w:r>
              <w:rPr>
                <w:rFonts w:ascii="Arial" w:cs="Arial" w:eastAsia="Arial" w:hAnsi="Arial"/>
                <w:sz w:val="12"/>
                <w:szCs w:val="12"/>
                <w:b w:val="1"/>
                <w:bCs w:val="1"/>
                <w:color w:val="auto"/>
              </w:rPr>
              <w:t>UNITS</w:t>
            </w:r>
          </w:p>
        </w:tc>
        <w:tc>
          <w:tcPr>
            <w:tcW w:w="1160" w:type="dxa"/>
            <w:vAlign w:val="bottom"/>
            <w:gridSpan w:val="2"/>
          </w:tcPr>
          <w:p>
            <w:pPr>
              <w:jc w:val="right"/>
              <w:spacing w:after="0" w:line="125" w:lineRule="exact"/>
              <w:rPr>
                <w:sz w:val="20"/>
                <w:szCs w:val="20"/>
                <w:color w:val="auto"/>
              </w:rPr>
            </w:pPr>
            <w:r>
              <w:rPr>
                <w:rFonts w:ascii="Arial" w:cs="Arial" w:eastAsia="Arial" w:hAnsi="Arial"/>
                <w:sz w:val="12"/>
                <w:szCs w:val="12"/>
                <w:b w:val="1"/>
                <w:bCs w:val="1"/>
                <w:color w:val="auto"/>
              </w:rPr>
              <w:t>OF UNEARNED</w:t>
            </w:r>
          </w:p>
        </w:tc>
        <w:tc>
          <w:tcPr>
            <w:tcW w:w="0" w:type="dxa"/>
            <w:vAlign w:val="bottom"/>
          </w:tcPr>
          <w:p>
            <w:pPr>
              <w:spacing w:after="0"/>
              <w:rPr>
                <w:sz w:val="1"/>
                <w:szCs w:val="1"/>
                <w:color w:val="auto"/>
              </w:rPr>
            </w:pPr>
          </w:p>
        </w:tc>
      </w:tr>
      <w:tr>
        <w:trPr>
          <w:trHeight w:val="125"/>
        </w:trPr>
        <w:tc>
          <w:tcPr>
            <w:tcW w:w="22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GRANT</w:t>
            </w:r>
          </w:p>
        </w:tc>
        <w:tc>
          <w:tcPr>
            <w:tcW w:w="14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920" w:type="dxa"/>
            <w:vAlign w:val="bottom"/>
          </w:tcPr>
          <w:p>
            <w:pPr>
              <w:jc w:val="right"/>
              <w:spacing w:after="0" w:line="125" w:lineRule="exact"/>
              <w:rPr>
                <w:sz w:val="20"/>
                <w:szCs w:val="20"/>
                <w:color w:val="auto"/>
              </w:rPr>
            </w:pPr>
            <w:r>
              <w:rPr>
                <w:rFonts w:ascii="Arial" w:cs="Arial" w:eastAsia="Arial" w:hAnsi="Arial"/>
                <w:sz w:val="12"/>
                <w:szCs w:val="12"/>
                <w:b w:val="1"/>
                <w:bCs w:val="1"/>
                <w:color w:val="auto"/>
                <w:w w:val="99"/>
              </w:rPr>
              <w:t>UNEXERCISED</w:t>
            </w:r>
          </w:p>
        </w:tc>
        <w:tc>
          <w:tcPr>
            <w:tcW w:w="16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gridSpan w:val="2"/>
            <w:vMerge w:val="continue"/>
          </w:tcPr>
          <w:p>
            <w:pPr>
              <w:spacing w:after="0"/>
              <w:rPr>
                <w:sz w:val="10"/>
                <w:szCs w:val="10"/>
                <w:color w:val="auto"/>
              </w:rPr>
            </w:pPr>
          </w:p>
        </w:tc>
        <w:tc>
          <w:tcPr>
            <w:tcW w:w="1040" w:type="dxa"/>
            <w:vAlign w:val="bottom"/>
            <w:tcBorders>
              <w:right w:val="single" w:sz="8" w:color="auto"/>
            </w:tcBorders>
            <w:gridSpan w:val="2"/>
            <w:vMerge w:val="continue"/>
          </w:tcPr>
          <w:p>
            <w:pPr>
              <w:spacing w:after="0"/>
              <w:rPr>
                <w:sz w:val="10"/>
                <w:szCs w:val="10"/>
                <w:color w:val="auto"/>
              </w:rPr>
            </w:pPr>
          </w:p>
        </w:tc>
        <w:tc>
          <w:tcPr>
            <w:tcW w:w="1240" w:type="dxa"/>
            <w:vAlign w:val="bottom"/>
            <w:tcBorders>
              <w:right w:val="single" w:sz="8" w:color="auto"/>
            </w:tcBorders>
            <w:gridSpan w:val="2"/>
          </w:tcPr>
          <w:p>
            <w:pPr>
              <w:jc w:val="right"/>
              <w:ind w:right="200"/>
              <w:spacing w:after="0" w:line="125" w:lineRule="exact"/>
              <w:rPr>
                <w:sz w:val="20"/>
                <w:szCs w:val="20"/>
                <w:color w:val="auto"/>
              </w:rPr>
            </w:pPr>
            <w:r>
              <w:rPr>
                <w:rFonts w:ascii="Arial" w:cs="Arial" w:eastAsia="Arial" w:hAnsi="Arial"/>
                <w:sz w:val="12"/>
                <w:szCs w:val="12"/>
                <w:b w:val="1"/>
                <w:bCs w:val="1"/>
                <w:color w:val="auto"/>
              </w:rPr>
              <w:t>HAVE NOT</w:t>
            </w:r>
          </w:p>
        </w:tc>
        <w:tc>
          <w:tcPr>
            <w:tcW w:w="280" w:type="dxa"/>
            <w:vAlign w:val="bottom"/>
          </w:tcPr>
          <w:p>
            <w:pPr>
              <w:spacing w:after="0"/>
              <w:rPr>
                <w:sz w:val="10"/>
                <w:szCs w:val="10"/>
                <w:color w:val="auto"/>
              </w:rPr>
            </w:pPr>
          </w:p>
        </w:tc>
        <w:tc>
          <w:tcPr>
            <w:tcW w:w="920" w:type="dxa"/>
            <w:vAlign w:val="bottom"/>
            <w:tcBorders>
              <w:right w:val="single" w:sz="8" w:color="auto"/>
            </w:tcBorders>
            <w:gridSpan w:val="2"/>
          </w:tcPr>
          <w:p>
            <w:pPr>
              <w:jc w:val="right"/>
              <w:ind w:right="220"/>
              <w:spacing w:after="0" w:line="125" w:lineRule="exact"/>
              <w:rPr>
                <w:sz w:val="20"/>
                <w:szCs w:val="20"/>
                <w:color w:val="auto"/>
              </w:rPr>
            </w:pPr>
            <w:r>
              <w:rPr>
                <w:rFonts w:ascii="Arial" w:cs="Arial" w:eastAsia="Arial" w:hAnsi="Arial"/>
                <w:sz w:val="12"/>
                <w:szCs w:val="12"/>
                <w:b w:val="1"/>
                <w:bCs w:val="1"/>
                <w:color w:val="auto"/>
              </w:rPr>
              <w:t>HAVE NOT</w:t>
            </w:r>
          </w:p>
        </w:tc>
        <w:tc>
          <w:tcPr>
            <w:tcW w:w="1040" w:type="dxa"/>
            <w:vAlign w:val="bottom"/>
            <w:tcBorders>
              <w:right w:val="single" w:sz="8" w:color="auto"/>
            </w:tcBorders>
            <w:gridSpan w:val="2"/>
          </w:tcPr>
          <w:p>
            <w:pPr>
              <w:jc w:val="right"/>
              <w:ind w:right="200"/>
              <w:spacing w:after="0" w:line="125" w:lineRule="exact"/>
              <w:rPr>
                <w:sz w:val="20"/>
                <w:szCs w:val="20"/>
                <w:color w:val="auto"/>
              </w:rPr>
            </w:pPr>
            <w:r>
              <w:rPr>
                <w:rFonts w:ascii="Arial" w:cs="Arial" w:eastAsia="Arial" w:hAnsi="Arial"/>
                <w:sz w:val="12"/>
                <w:szCs w:val="12"/>
                <w:b w:val="1"/>
                <w:bCs w:val="1"/>
                <w:color w:val="auto"/>
              </w:rPr>
              <w:t>THAT HAVE</w:t>
            </w:r>
          </w:p>
        </w:tc>
        <w:tc>
          <w:tcPr>
            <w:tcW w:w="38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UNITS THAT</w:t>
            </w:r>
          </w:p>
        </w:tc>
        <w:tc>
          <w:tcPr>
            <w:tcW w:w="0" w:type="dxa"/>
            <w:vAlign w:val="bottom"/>
          </w:tcPr>
          <w:p>
            <w:pPr>
              <w:spacing w:after="0"/>
              <w:rPr>
                <w:sz w:val="1"/>
                <w:szCs w:val="1"/>
                <w:color w:val="auto"/>
              </w:rPr>
            </w:pPr>
          </w:p>
        </w:tc>
      </w:tr>
      <w:tr>
        <w:trPr>
          <w:trHeight w:val="125"/>
        </w:trPr>
        <w:tc>
          <w:tcPr>
            <w:tcW w:w="22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8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92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OPTIONS:</w:t>
            </w:r>
          </w:p>
        </w:tc>
        <w:tc>
          <w:tcPr>
            <w:tcW w:w="16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gridSpan w:val="2"/>
          </w:tcPr>
          <w:p>
            <w:pPr>
              <w:jc w:val="right"/>
              <w:ind w:right="220"/>
              <w:spacing w:after="0" w:line="125" w:lineRule="exact"/>
              <w:rPr>
                <w:sz w:val="20"/>
                <w:szCs w:val="20"/>
                <w:color w:val="auto"/>
              </w:rPr>
            </w:pPr>
            <w:r>
              <w:rPr>
                <w:rFonts w:ascii="Arial" w:cs="Arial" w:eastAsia="Arial" w:hAnsi="Arial"/>
                <w:sz w:val="12"/>
                <w:szCs w:val="12"/>
                <w:b w:val="1"/>
                <w:bCs w:val="1"/>
                <w:color w:val="auto"/>
              </w:rPr>
              <w:t>EXERCISE</w:t>
            </w:r>
          </w:p>
        </w:tc>
        <w:tc>
          <w:tcPr>
            <w:tcW w:w="1040" w:type="dxa"/>
            <w:vAlign w:val="bottom"/>
            <w:tcBorders>
              <w:right w:val="single" w:sz="8" w:color="auto"/>
            </w:tcBorders>
            <w:gridSpan w:val="2"/>
          </w:tcPr>
          <w:p>
            <w:pPr>
              <w:jc w:val="right"/>
              <w:ind w:right="220"/>
              <w:spacing w:after="0" w:line="125" w:lineRule="exact"/>
              <w:rPr>
                <w:sz w:val="20"/>
                <w:szCs w:val="20"/>
                <w:color w:val="auto"/>
              </w:rPr>
            </w:pPr>
            <w:r>
              <w:rPr>
                <w:rFonts w:ascii="Arial" w:cs="Arial" w:eastAsia="Arial" w:hAnsi="Arial"/>
                <w:sz w:val="12"/>
                <w:szCs w:val="12"/>
                <w:b w:val="1"/>
                <w:bCs w:val="1"/>
                <w:color w:val="auto"/>
              </w:rPr>
              <w:t>EXPIRATION</w:t>
            </w:r>
          </w:p>
        </w:tc>
        <w:tc>
          <w:tcPr>
            <w:tcW w:w="1240" w:type="dxa"/>
            <w:vAlign w:val="bottom"/>
            <w:tcBorders>
              <w:right w:val="single" w:sz="8" w:color="auto"/>
            </w:tcBorders>
            <w:gridSpan w:val="2"/>
          </w:tcPr>
          <w:p>
            <w:pPr>
              <w:jc w:val="center"/>
              <w:ind w:left="295"/>
              <w:spacing w:after="0" w:line="125" w:lineRule="exact"/>
              <w:rPr>
                <w:sz w:val="20"/>
                <w:szCs w:val="20"/>
                <w:color w:val="auto"/>
              </w:rPr>
            </w:pPr>
            <w:r>
              <w:rPr>
                <w:rFonts w:ascii="Arial" w:cs="Arial" w:eastAsia="Arial" w:hAnsi="Arial"/>
                <w:sz w:val="12"/>
                <w:szCs w:val="12"/>
                <w:b w:val="1"/>
                <w:bCs w:val="1"/>
                <w:color w:val="auto"/>
                <w:w w:val="99"/>
              </w:rPr>
              <w:t>VESTED</w:t>
            </w:r>
          </w:p>
        </w:tc>
        <w:tc>
          <w:tcPr>
            <w:tcW w:w="280" w:type="dxa"/>
            <w:vAlign w:val="bottom"/>
          </w:tcPr>
          <w:p>
            <w:pPr>
              <w:spacing w:after="0"/>
              <w:rPr>
                <w:sz w:val="10"/>
                <w:szCs w:val="10"/>
                <w:color w:val="auto"/>
              </w:rPr>
            </w:pPr>
          </w:p>
        </w:tc>
        <w:tc>
          <w:tcPr>
            <w:tcW w:w="920" w:type="dxa"/>
            <w:vAlign w:val="bottom"/>
            <w:tcBorders>
              <w:right w:val="single" w:sz="8" w:color="auto"/>
            </w:tcBorders>
            <w:gridSpan w:val="2"/>
          </w:tcPr>
          <w:p>
            <w:pPr>
              <w:jc w:val="center"/>
              <w:spacing w:after="0" w:line="125" w:lineRule="exact"/>
              <w:rPr>
                <w:sz w:val="20"/>
                <w:szCs w:val="20"/>
                <w:color w:val="auto"/>
              </w:rPr>
            </w:pPr>
            <w:r>
              <w:rPr>
                <w:rFonts w:ascii="Arial" w:cs="Arial" w:eastAsia="Arial" w:hAnsi="Arial"/>
                <w:sz w:val="12"/>
                <w:szCs w:val="12"/>
                <w:b w:val="1"/>
                <w:bCs w:val="1"/>
                <w:color w:val="auto"/>
                <w:w w:val="95"/>
              </w:rPr>
              <w:t>VESTED</w:t>
            </w:r>
          </w:p>
        </w:tc>
        <w:tc>
          <w:tcPr>
            <w:tcW w:w="1040" w:type="dxa"/>
            <w:vAlign w:val="bottom"/>
            <w:tcBorders>
              <w:right w:val="single" w:sz="8" w:color="auto"/>
            </w:tcBorders>
            <w:gridSpan w:val="2"/>
          </w:tcPr>
          <w:p>
            <w:pPr>
              <w:jc w:val="right"/>
              <w:ind w:right="200"/>
              <w:spacing w:after="0" w:line="125" w:lineRule="exact"/>
              <w:rPr>
                <w:sz w:val="20"/>
                <w:szCs w:val="20"/>
                <w:color w:val="auto"/>
              </w:rPr>
            </w:pPr>
            <w:r>
              <w:rPr>
                <w:rFonts w:ascii="Arial" w:cs="Arial" w:eastAsia="Arial" w:hAnsi="Arial"/>
                <w:sz w:val="12"/>
                <w:szCs w:val="12"/>
                <w:b w:val="1"/>
                <w:bCs w:val="1"/>
                <w:color w:val="auto"/>
              </w:rPr>
              <w:t>NOT VESTED</w:t>
            </w:r>
          </w:p>
        </w:tc>
        <w:tc>
          <w:tcPr>
            <w:tcW w:w="38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HAVE NOT</w:t>
            </w:r>
          </w:p>
        </w:tc>
        <w:tc>
          <w:tcPr>
            <w:tcW w:w="0" w:type="dxa"/>
            <w:vAlign w:val="bottom"/>
          </w:tcPr>
          <w:p>
            <w:pPr>
              <w:spacing w:after="0"/>
              <w:rPr>
                <w:sz w:val="1"/>
                <w:szCs w:val="1"/>
                <w:color w:val="auto"/>
              </w:rPr>
            </w:pPr>
          </w:p>
        </w:tc>
      </w:tr>
      <w:tr>
        <w:trPr>
          <w:trHeight w:val="205"/>
        </w:trPr>
        <w:tc>
          <w:tcPr>
            <w:tcW w:w="224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NAME</w:t>
            </w:r>
          </w:p>
        </w:tc>
        <w:tc>
          <w:tcPr>
            <w:tcW w:w="140" w:type="dxa"/>
            <w:vAlign w:val="bottom"/>
            <w:tcBorders>
              <w:right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EXERCISABLE</w:t>
            </w:r>
          </w:p>
        </w:tc>
        <w:tc>
          <w:tcPr>
            <w:tcW w:w="160" w:type="dxa"/>
            <w:vAlign w:val="bottom"/>
            <w:tcBorders>
              <w:right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PRICE</w:t>
            </w:r>
          </w:p>
        </w:tc>
        <w:tc>
          <w:tcPr>
            <w:tcW w:w="160" w:type="dxa"/>
            <w:vAlign w:val="bottom"/>
            <w:tcBorders>
              <w:right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DATE</w:t>
            </w:r>
          </w:p>
        </w:tc>
        <w:tc>
          <w:tcPr>
            <w:tcW w:w="160" w:type="dxa"/>
            <w:vAlign w:val="bottom"/>
            <w:tcBorders>
              <w:right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160" w:type="dxa"/>
            <w:vAlign w:val="bottom"/>
            <w:tcBorders>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2</w:t>
            </w:r>
          </w:p>
        </w:tc>
        <w:tc>
          <w:tcPr>
            <w:tcW w:w="160" w:type="dxa"/>
            <w:vAlign w:val="bottom"/>
            <w:tcBorders>
              <w:right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160" w:type="dxa"/>
            <w:vAlign w:val="bottom"/>
            <w:tcBorders>
              <w:right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2"/>
                <w:szCs w:val="12"/>
                <w:b w:val="1"/>
                <w:bCs w:val="1"/>
                <w:color w:val="auto"/>
                <w:w w:val="98"/>
              </w:rPr>
              <w:t>VESTED ($)</w:t>
            </w:r>
            <w:r>
              <w:rPr>
                <w:rFonts w:ascii="Arial" w:cs="Arial" w:eastAsia="Arial" w:hAnsi="Arial"/>
                <w:sz w:val="19"/>
                <w:szCs w:val="19"/>
                <w:b w:val="1"/>
                <w:bCs w:val="1"/>
                <w:color w:val="auto"/>
                <w:w w:val="98"/>
                <w:vertAlign w:val="superscript"/>
              </w:rPr>
              <w:t>2</w:t>
            </w:r>
          </w:p>
        </w:tc>
        <w:tc>
          <w:tcPr>
            <w:tcW w:w="0" w:type="dxa"/>
            <w:vAlign w:val="bottom"/>
          </w:tcPr>
          <w:p>
            <w:pPr>
              <w:spacing w:after="0"/>
              <w:rPr>
                <w:sz w:val="1"/>
                <w:szCs w:val="1"/>
                <w:color w:val="auto"/>
              </w:rPr>
            </w:pPr>
          </w:p>
        </w:tc>
      </w:tr>
      <w:tr>
        <w:trPr>
          <w:trHeight w:val="191"/>
        </w:trPr>
        <w:tc>
          <w:tcPr>
            <w:tcW w:w="2240" w:type="dxa"/>
            <w:vAlign w:val="bottom"/>
          </w:tcPr>
          <w:p>
            <w:pPr>
              <w:ind w:left="60"/>
              <w:spacing w:after="0"/>
              <w:rPr>
                <w:sz w:val="20"/>
                <w:szCs w:val="20"/>
                <w:color w:val="auto"/>
              </w:rPr>
            </w:pPr>
            <w:r>
              <w:rPr>
                <w:rFonts w:ascii="Arial" w:cs="Arial" w:eastAsia="Arial" w:hAnsi="Arial"/>
                <w:sz w:val="13"/>
                <w:szCs w:val="13"/>
                <w:b w:val="1"/>
                <w:bCs w:val="1"/>
                <w:color w:val="00254F"/>
              </w:rPr>
              <w:t>Robert W. Sharps</w:t>
            </w:r>
          </w:p>
        </w:tc>
        <w:tc>
          <w:tcPr>
            <w:tcW w:w="14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2/19/2015</w:t>
            </w:r>
          </w:p>
        </w:tc>
        <w:tc>
          <w:tcPr>
            <w:tcW w:w="140" w:type="dxa"/>
            <w:vAlign w:val="bottom"/>
          </w:tcPr>
          <w:p>
            <w:pPr>
              <w:spacing w:after="0"/>
              <w:rPr>
                <w:sz w:val="16"/>
                <w:szCs w:val="16"/>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1,254</w:t>
            </w:r>
          </w:p>
        </w:tc>
        <w:tc>
          <w:tcPr>
            <w:tcW w:w="1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$79.71</w:t>
            </w:r>
          </w:p>
        </w:tc>
        <w:tc>
          <w:tcPr>
            <w:tcW w:w="1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2/19/2025</w:t>
            </w:r>
          </w:p>
        </w:tc>
        <w:tc>
          <w:tcPr>
            <w:tcW w:w="160" w:type="dxa"/>
            <w:vAlign w:val="bottom"/>
          </w:tcPr>
          <w:p>
            <w:pPr>
              <w:spacing w:after="0"/>
              <w:rPr>
                <w:sz w:val="16"/>
                <w:szCs w:val="16"/>
                <w:color w:val="auto"/>
              </w:rPr>
            </w:pPr>
          </w:p>
        </w:tc>
        <w:tc>
          <w:tcPr>
            <w:tcW w:w="1080" w:type="dxa"/>
            <w:vAlign w:val="bottom"/>
            <w:tcBorders>
              <w:bottom w:val="single" w:sz="8" w:color="auto"/>
            </w:tcBorders>
          </w:tcPr>
          <w:p>
            <w:pPr>
              <w:jc w:val="center"/>
              <w:ind w:left="475"/>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left="116"/>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8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3"/>
        </w:trPr>
        <w:tc>
          <w:tcPr>
            <w:tcW w:w="2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12/11/2018</w:t>
            </w:r>
          </w:p>
        </w:tc>
        <w:tc>
          <w:tcPr>
            <w:tcW w:w="14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Borders>
              <w:bottom w:val="single" w:sz="8" w:color="auto"/>
            </w:tcBorders>
          </w:tcPr>
          <w:p>
            <w:pPr>
              <w:jc w:val="right"/>
              <w:ind w:right="35"/>
              <w:spacing w:after="0" w:line="244" w:lineRule="exact"/>
              <w:rPr>
                <w:sz w:val="20"/>
                <w:szCs w:val="20"/>
                <w:color w:val="auto"/>
              </w:rPr>
            </w:pPr>
            <w:r>
              <w:rPr>
                <w:rFonts w:ascii="Arial" w:cs="Arial" w:eastAsia="Arial" w:hAnsi="Arial"/>
                <w:sz w:val="13"/>
                <w:szCs w:val="13"/>
                <w:color w:val="auto"/>
              </w:rPr>
              <w:t>8,911</w:t>
            </w:r>
            <w:r>
              <w:rPr>
                <w:rFonts w:ascii="Times New Roman" w:cs="Times New Roman" w:eastAsia="Times New Roman" w:hAnsi="Times New Roman"/>
                <w:sz w:val="22"/>
                <w:szCs w:val="22"/>
                <w:color w:val="auto"/>
                <w:vertAlign w:val="superscript"/>
              </w:rPr>
              <w:t>3a</w:t>
            </w:r>
          </w:p>
        </w:tc>
        <w:tc>
          <w:tcPr>
            <w:tcW w:w="160" w:type="dxa"/>
            <w:vAlign w:val="bottom"/>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36"/>
              <w:spacing w:after="0" w:line="243" w:lineRule="exact"/>
              <w:rPr>
                <w:sz w:val="20"/>
                <w:szCs w:val="20"/>
                <w:color w:val="auto"/>
              </w:rPr>
            </w:pPr>
            <w:r>
              <w:rPr>
                <w:rFonts w:ascii="Arial" w:cs="Arial" w:eastAsia="Arial" w:hAnsi="Arial"/>
                <w:sz w:val="13"/>
                <w:szCs w:val="13"/>
                <w:color w:val="auto"/>
              </w:rPr>
              <w:t>959,626</w:t>
            </w:r>
            <w:r>
              <w:rPr>
                <w:rFonts w:ascii="Arial" w:cs="Arial" w:eastAsia="Arial" w:hAnsi="Arial"/>
                <w:sz w:val="22"/>
                <w:szCs w:val="22"/>
                <w:color w:val="auto"/>
                <w:vertAlign w:val="superscript"/>
              </w:rPr>
              <w:t>3a</w:t>
            </w:r>
          </w:p>
        </w:tc>
        <w:tc>
          <w:tcPr>
            <w:tcW w:w="160" w:type="dxa"/>
            <w:vAlign w:val="bottom"/>
          </w:tcPr>
          <w:p>
            <w:pPr>
              <w:spacing w:after="0"/>
              <w:rPr>
                <w:sz w:val="21"/>
                <w:szCs w:val="21"/>
                <w:color w:val="auto"/>
              </w:rPr>
            </w:pPr>
          </w:p>
        </w:tc>
        <w:tc>
          <w:tcPr>
            <w:tcW w:w="8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2"/>
        </w:trPr>
        <w:tc>
          <w:tcPr>
            <w:tcW w:w="2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12/3/2019</w:t>
            </w:r>
          </w:p>
        </w:tc>
        <w:tc>
          <w:tcPr>
            <w:tcW w:w="14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Borders>
              <w:bottom w:val="single" w:sz="8" w:color="auto"/>
            </w:tcBorders>
          </w:tcPr>
          <w:p>
            <w:pPr>
              <w:jc w:val="right"/>
              <w:ind w:right="35"/>
              <w:spacing w:after="0" w:line="243" w:lineRule="exact"/>
              <w:rPr>
                <w:sz w:val="20"/>
                <w:szCs w:val="20"/>
                <w:color w:val="auto"/>
              </w:rPr>
            </w:pPr>
            <w:r>
              <w:rPr>
                <w:rFonts w:ascii="Arial" w:cs="Arial" w:eastAsia="Arial" w:hAnsi="Arial"/>
                <w:sz w:val="13"/>
                <w:szCs w:val="13"/>
                <w:color w:val="auto"/>
              </w:rPr>
              <w:t>10,245</w:t>
            </w:r>
            <w:r>
              <w:rPr>
                <w:rFonts w:ascii="Times New Roman" w:cs="Times New Roman" w:eastAsia="Times New Roman" w:hAnsi="Times New Roman"/>
                <w:sz w:val="22"/>
                <w:szCs w:val="22"/>
                <w:color w:val="auto"/>
                <w:vertAlign w:val="superscript"/>
              </w:rPr>
              <w:t>3b</w:t>
            </w:r>
          </w:p>
        </w:tc>
        <w:tc>
          <w:tcPr>
            <w:tcW w:w="160" w:type="dxa"/>
            <w:vAlign w:val="bottom"/>
          </w:tcPr>
          <w:p>
            <w:pPr>
              <w:spacing w:after="0"/>
              <w:rPr>
                <w:sz w:val="21"/>
                <w:szCs w:val="21"/>
                <w:color w:val="auto"/>
              </w:rPr>
            </w:pPr>
          </w:p>
        </w:tc>
        <w:tc>
          <w:tcPr>
            <w:tcW w:w="1040" w:type="dxa"/>
            <w:vAlign w:val="bottom"/>
            <w:tcBorders>
              <w:bottom w:val="single" w:sz="8" w:color="auto"/>
            </w:tcBorders>
            <w:gridSpan w:val="2"/>
          </w:tcPr>
          <w:p>
            <w:pPr>
              <w:jc w:val="right"/>
              <w:ind w:right="36"/>
              <w:spacing w:after="0" w:line="243" w:lineRule="exact"/>
              <w:rPr>
                <w:sz w:val="20"/>
                <w:szCs w:val="20"/>
                <w:color w:val="auto"/>
              </w:rPr>
            </w:pPr>
            <w:r>
              <w:rPr>
                <w:rFonts w:ascii="Arial" w:cs="Arial" w:eastAsia="Arial" w:hAnsi="Arial"/>
                <w:sz w:val="13"/>
                <w:szCs w:val="13"/>
                <w:color w:val="auto"/>
              </w:rPr>
              <w:t>$1,103,284</w:t>
            </w:r>
            <w:r>
              <w:rPr>
                <w:rFonts w:ascii="Arial" w:cs="Arial" w:eastAsia="Arial" w:hAnsi="Arial"/>
                <w:sz w:val="22"/>
                <w:szCs w:val="22"/>
                <w:color w:val="auto"/>
                <w:vertAlign w:val="superscript"/>
              </w:rPr>
              <w:t>3b</w:t>
            </w:r>
          </w:p>
        </w:tc>
        <w:tc>
          <w:tcPr>
            <w:tcW w:w="160" w:type="dxa"/>
            <w:vAlign w:val="bottom"/>
          </w:tcPr>
          <w:p>
            <w:pPr>
              <w:spacing w:after="0"/>
              <w:rPr>
                <w:sz w:val="21"/>
                <w:szCs w:val="21"/>
                <w:color w:val="auto"/>
              </w:rPr>
            </w:pPr>
          </w:p>
        </w:tc>
        <w:tc>
          <w:tcPr>
            <w:tcW w:w="8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2"/>
        </w:trPr>
        <w:tc>
          <w:tcPr>
            <w:tcW w:w="2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12/8/2020</w:t>
            </w:r>
          </w:p>
        </w:tc>
        <w:tc>
          <w:tcPr>
            <w:tcW w:w="14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Borders>
              <w:bottom w:val="single" w:sz="8" w:color="auto"/>
            </w:tcBorders>
          </w:tcPr>
          <w:p>
            <w:pPr>
              <w:jc w:val="center"/>
              <w:ind w:left="475"/>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center"/>
              <w:ind w:left="116"/>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88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13"/>
                <w:szCs w:val="13"/>
                <w:color w:val="auto"/>
              </w:rPr>
              <w:t>18,118</w:t>
            </w:r>
            <w:r>
              <w:rPr>
                <w:rFonts w:ascii="Arial" w:cs="Arial" w:eastAsia="Arial" w:hAnsi="Arial"/>
                <w:sz w:val="22"/>
                <w:szCs w:val="22"/>
                <w:color w:val="auto"/>
                <w:vertAlign w:val="superscript"/>
              </w:rPr>
              <w:t>4a</w:t>
            </w:r>
          </w:p>
        </w:tc>
        <w:tc>
          <w:tcPr>
            <w:tcW w:w="160" w:type="dxa"/>
            <w:vAlign w:val="bottom"/>
          </w:tcPr>
          <w:p>
            <w:pPr>
              <w:spacing w:after="0"/>
              <w:rPr>
                <w:sz w:val="21"/>
                <w:szCs w:val="21"/>
                <w:color w:val="auto"/>
              </w:rPr>
            </w:pPr>
          </w:p>
        </w:tc>
        <w:tc>
          <w:tcPr>
            <w:tcW w:w="1160" w:type="dxa"/>
            <w:vAlign w:val="bottom"/>
            <w:tcBorders>
              <w:bottom w:val="single" w:sz="8" w:color="auto"/>
            </w:tcBorders>
            <w:gridSpan w:val="2"/>
          </w:tcPr>
          <w:p>
            <w:pPr>
              <w:jc w:val="right"/>
              <w:ind w:right="35"/>
              <w:spacing w:after="0" w:line="243" w:lineRule="exact"/>
              <w:rPr>
                <w:sz w:val="20"/>
                <w:szCs w:val="20"/>
                <w:color w:val="auto"/>
              </w:rPr>
            </w:pPr>
            <w:r>
              <w:rPr>
                <w:rFonts w:ascii="Arial" w:cs="Arial" w:eastAsia="Arial" w:hAnsi="Arial"/>
                <w:sz w:val="13"/>
                <w:szCs w:val="13"/>
                <w:color w:val="auto"/>
              </w:rPr>
              <w:t>$ 1,951,127</w:t>
            </w:r>
            <w:r>
              <w:rPr>
                <w:rFonts w:ascii="Arial" w:cs="Arial" w:eastAsia="Arial" w:hAnsi="Arial"/>
                <w:sz w:val="22"/>
                <w:szCs w:val="22"/>
                <w:color w:val="auto"/>
                <w:vertAlign w:val="superscript"/>
              </w:rPr>
              <w:t>4a</w:t>
            </w:r>
          </w:p>
        </w:tc>
        <w:tc>
          <w:tcPr>
            <w:tcW w:w="0" w:type="dxa"/>
            <w:vAlign w:val="bottom"/>
          </w:tcPr>
          <w:p>
            <w:pPr>
              <w:spacing w:after="0"/>
              <w:rPr>
                <w:sz w:val="1"/>
                <w:szCs w:val="1"/>
                <w:color w:val="auto"/>
              </w:rPr>
            </w:pPr>
          </w:p>
        </w:tc>
      </w:tr>
      <w:tr>
        <w:trPr>
          <w:trHeight w:val="242"/>
        </w:trPr>
        <w:tc>
          <w:tcPr>
            <w:tcW w:w="2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12/7/2021</w:t>
            </w:r>
          </w:p>
        </w:tc>
        <w:tc>
          <w:tcPr>
            <w:tcW w:w="14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Borders>
              <w:bottom w:val="single" w:sz="8" w:color="auto"/>
            </w:tcBorders>
          </w:tcPr>
          <w:p>
            <w:pPr>
              <w:jc w:val="right"/>
              <w:ind w:right="35"/>
              <w:spacing w:after="0" w:line="243" w:lineRule="exact"/>
              <w:rPr>
                <w:sz w:val="20"/>
                <w:szCs w:val="20"/>
                <w:color w:val="auto"/>
              </w:rPr>
            </w:pPr>
            <w:r>
              <w:rPr>
                <w:rFonts w:ascii="Arial" w:cs="Arial" w:eastAsia="Arial" w:hAnsi="Arial"/>
                <w:sz w:val="13"/>
                <w:szCs w:val="13"/>
                <w:color w:val="auto"/>
              </w:rPr>
              <w:t>5,591</w:t>
            </w:r>
            <w:r>
              <w:rPr>
                <w:rFonts w:ascii="Times New Roman" w:cs="Times New Roman" w:eastAsia="Times New Roman" w:hAnsi="Times New Roman"/>
                <w:sz w:val="22"/>
                <w:szCs w:val="22"/>
                <w:color w:val="auto"/>
                <w:vertAlign w:val="superscript"/>
              </w:rPr>
              <w:t>5a</w:t>
            </w:r>
          </w:p>
        </w:tc>
        <w:tc>
          <w:tcPr>
            <w:tcW w:w="160" w:type="dxa"/>
            <w:vAlign w:val="bottom"/>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36"/>
              <w:spacing w:after="0" w:line="243" w:lineRule="exact"/>
              <w:rPr>
                <w:sz w:val="20"/>
                <w:szCs w:val="20"/>
                <w:color w:val="auto"/>
              </w:rPr>
            </w:pPr>
            <w:r>
              <w:rPr>
                <w:rFonts w:ascii="Arial" w:cs="Arial" w:eastAsia="Arial" w:hAnsi="Arial"/>
                <w:sz w:val="13"/>
                <w:szCs w:val="13"/>
                <w:color w:val="auto"/>
              </w:rPr>
              <w:t>602,095</w:t>
            </w:r>
            <w:r>
              <w:rPr>
                <w:rFonts w:ascii="Arial" w:cs="Arial" w:eastAsia="Arial" w:hAnsi="Arial"/>
                <w:sz w:val="22"/>
                <w:szCs w:val="22"/>
                <w:color w:val="auto"/>
                <w:vertAlign w:val="superscript"/>
              </w:rPr>
              <w:t>5a</w:t>
            </w:r>
          </w:p>
        </w:tc>
        <w:tc>
          <w:tcPr>
            <w:tcW w:w="160" w:type="dxa"/>
            <w:vAlign w:val="bottom"/>
          </w:tcPr>
          <w:p>
            <w:pPr>
              <w:spacing w:after="0"/>
              <w:rPr>
                <w:sz w:val="21"/>
                <w:szCs w:val="21"/>
                <w:color w:val="auto"/>
              </w:rPr>
            </w:pPr>
          </w:p>
        </w:tc>
        <w:tc>
          <w:tcPr>
            <w:tcW w:w="88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13"/>
                <w:szCs w:val="13"/>
                <w:color w:val="auto"/>
              </w:rPr>
              <w:t>16,772</w:t>
            </w:r>
            <w:r>
              <w:rPr>
                <w:rFonts w:ascii="Arial" w:cs="Arial" w:eastAsia="Arial" w:hAnsi="Arial"/>
                <w:sz w:val="22"/>
                <w:szCs w:val="22"/>
                <w:color w:val="auto"/>
                <w:vertAlign w:val="superscript"/>
              </w:rPr>
              <w:t>4b</w:t>
            </w:r>
          </w:p>
        </w:tc>
        <w:tc>
          <w:tcPr>
            <w:tcW w:w="160" w:type="dxa"/>
            <w:vAlign w:val="bottom"/>
          </w:tcPr>
          <w:p>
            <w:pPr>
              <w:spacing w:after="0"/>
              <w:rPr>
                <w:sz w:val="21"/>
                <w:szCs w:val="21"/>
                <w:color w:val="auto"/>
              </w:rPr>
            </w:pPr>
          </w:p>
        </w:tc>
        <w:tc>
          <w:tcPr>
            <w:tcW w:w="1160" w:type="dxa"/>
            <w:vAlign w:val="bottom"/>
            <w:tcBorders>
              <w:bottom w:val="single" w:sz="8" w:color="auto"/>
            </w:tcBorders>
            <w:gridSpan w:val="2"/>
          </w:tcPr>
          <w:p>
            <w:pPr>
              <w:jc w:val="right"/>
              <w:ind w:right="35"/>
              <w:spacing w:after="0" w:line="243" w:lineRule="exact"/>
              <w:rPr>
                <w:sz w:val="20"/>
                <w:szCs w:val="20"/>
                <w:color w:val="auto"/>
              </w:rPr>
            </w:pPr>
            <w:r>
              <w:rPr>
                <w:rFonts w:ascii="Arial" w:cs="Arial" w:eastAsia="Arial" w:hAnsi="Arial"/>
                <w:sz w:val="13"/>
                <w:szCs w:val="13"/>
                <w:color w:val="auto"/>
              </w:rPr>
              <w:t>$ 1,806,177</w:t>
            </w:r>
            <w:r>
              <w:rPr>
                <w:rFonts w:ascii="Arial" w:cs="Arial" w:eastAsia="Arial" w:hAnsi="Arial"/>
                <w:sz w:val="22"/>
                <w:szCs w:val="22"/>
                <w:color w:val="auto"/>
                <w:vertAlign w:val="superscript"/>
              </w:rPr>
              <w:t>4b</w:t>
            </w:r>
          </w:p>
        </w:tc>
        <w:tc>
          <w:tcPr>
            <w:tcW w:w="0" w:type="dxa"/>
            <w:vAlign w:val="bottom"/>
          </w:tcPr>
          <w:p>
            <w:pPr>
              <w:spacing w:after="0"/>
              <w:rPr>
                <w:sz w:val="1"/>
                <w:szCs w:val="1"/>
                <w:color w:val="auto"/>
              </w:rPr>
            </w:pPr>
          </w:p>
        </w:tc>
      </w:tr>
      <w:tr>
        <w:trPr>
          <w:trHeight w:val="242"/>
        </w:trPr>
        <w:tc>
          <w:tcPr>
            <w:tcW w:w="2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12/6/2022</w:t>
            </w:r>
          </w:p>
        </w:tc>
        <w:tc>
          <w:tcPr>
            <w:tcW w:w="14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Borders>
              <w:bottom w:val="single" w:sz="8" w:color="auto"/>
            </w:tcBorders>
          </w:tcPr>
          <w:p>
            <w:pPr>
              <w:jc w:val="right"/>
              <w:ind w:right="35"/>
              <w:spacing w:after="0" w:line="243" w:lineRule="exact"/>
              <w:rPr>
                <w:sz w:val="20"/>
                <w:szCs w:val="20"/>
                <w:color w:val="auto"/>
              </w:rPr>
            </w:pPr>
            <w:r>
              <w:rPr>
                <w:rFonts w:ascii="Arial" w:cs="Arial" w:eastAsia="Arial" w:hAnsi="Arial"/>
                <w:sz w:val="13"/>
                <w:szCs w:val="13"/>
                <w:color w:val="auto"/>
              </w:rPr>
              <w:t>14,836</w:t>
            </w:r>
            <w:r>
              <w:rPr>
                <w:rFonts w:ascii="Times New Roman" w:cs="Times New Roman" w:eastAsia="Times New Roman" w:hAnsi="Times New Roman"/>
                <w:sz w:val="22"/>
                <w:szCs w:val="22"/>
                <w:color w:val="auto"/>
                <w:vertAlign w:val="superscript"/>
              </w:rPr>
              <w:t>5b</w:t>
            </w:r>
          </w:p>
        </w:tc>
        <w:tc>
          <w:tcPr>
            <w:tcW w:w="160" w:type="dxa"/>
            <w:vAlign w:val="bottom"/>
          </w:tcPr>
          <w:p>
            <w:pPr>
              <w:spacing w:after="0"/>
              <w:rPr>
                <w:sz w:val="21"/>
                <w:szCs w:val="21"/>
                <w:color w:val="auto"/>
              </w:rPr>
            </w:pPr>
          </w:p>
        </w:tc>
        <w:tc>
          <w:tcPr>
            <w:tcW w:w="1040" w:type="dxa"/>
            <w:vAlign w:val="bottom"/>
            <w:tcBorders>
              <w:bottom w:val="single" w:sz="8" w:color="auto"/>
            </w:tcBorders>
            <w:gridSpan w:val="2"/>
          </w:tcPr>
          <w:p>
            <w:pPr>
              <w:jc w:val="right"/>
              <w:ind w:right="36"/>
              <w:spacing w:after="0" w:line="243" w:lineRule="exact"/>
              <w:rPr>
                <w:sz w:val="20"/>
                <w:szCs w:val="20"/>
                <w:color w:val="auto"/>
              </w:rPr>
            </w:pPr>
            <w:r>
              <w:rPr>
                <w:rFonts w:ascii="Arial" w:cs="Arial" w:eastAsia="Arial" w:hAnsi="Arial"/>
                <w:sz w:val="13"/>
                <w:szCs w:val="13"/>
                <w:color w:val="auto"/>
              </w:rPr>
              <w:t>$1,597,689</w:t>
            </w:r>
            <w:r>
              <w:rPr>
                <w:rFonts w:ascii="Arial" w:cs="Arial" w:eastAsia="Arial" w:hAnsi="Arial"/>
                <w:sz w:val="22"/>
                <w:szCs w:val="22"/>
                <w:color w:val="auto"/>
                <w:vertAlign w:val="superscript"/>
              </w:rPr>
              <w:t>5b</w:t>
            </w:r>
          </w:p>
        </w:tc>
        <w:tc>
          <w:tcPr>
            <w:tcW w:w="160" w:type="dxa"/>
            <w:vAlign w:val="bottom"/>
          </w:tcPr>
          <w:p>
            <w:pPr>
              <w:spacing w:after="0"/>
              <w:rPr>
                <w:sz w:val="21"/>
                <w:szCs w:val="21"/>
                <w:color w:val="auto"/>
              </w:rPr>
            </w:pPr>
          </w:p>
        </w:tc>
        <w:tc>
          <w:tcPr>
            <w:tcW w:w="88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13"/>
                <w:szCs w:val="13"/>
                <w:color w:val="auto"/>
              </w:rPr>
              <w:t>22,254</w:t>
            </w:r>
            <w:r>
              <w:rPr>
                <w:rFonts w:ascii="Arial" w:cs="Arial" w:eastAsia="Arial" w:hAnsi="Arial"/>
                <w:sz w:val="22"/>
                <w:szCs w:val="22"/>
                <w:color w:val="auto"/>
                <w:vertAlign w:val="superscript"/>
              </w:rPr>
              <w:t>4c</w:t>
            </w:r>
          </w:p>
        </w:tc>
        <w:tc>
          <w:tcPr>
            <w:tcW w:w="160" w:type="dxa"/>
            <w:vAlign w:val="bottom"/>
          </w:tcPr>
          <w:p>
            <w:pPr>
              <w:spacing w:after="0"/>
              <w:rPr>
                <w:sz w:val="21"/>
                <w:szCs w:val="21"/>
                <w:color w:val="auto"/>
              </w:rPr>
            </w:pPr>
          </w:p>
        </w:tc>
        <w:tc>
          <w:tcPr>
            <w:tcW w:w="1160" w:type="dxa"/>
            <w:vAlign w:val="bottom"/>
            <w:tcBorders>
              <w:bottom w:val="single" w:sz="8" w:color="auto"/>
            </w:tcBorders>
            <w:gridSpan w:val="2"/>
          </w:tcPr>
          <w:p>
            <w:pPr>
              <w:jc w:val="right"/>
              <w:ind w:right="35"/>
              <w:spacing w:after="0" w:line="243" w:lineRule="exact"/>
              <w:rPr>
                <w:sz w:val="20"/>
                <w:szCs w:val="20"/>
                <w:color w:val="auto"/>
              </w:rPr>
            </w:pPr>
            <w:r>
              <w:rPr>
                <w:rFonts w:ascii="Arial" w:cs="Arial" w:eastAsia="Arial" w:hAnsi="Arial"/>
                <w:sz w:val="13"/>
                <w:szCs w:val="13"/>
                <w:color w:val="auto"/>
              </w:rPr>
              <w:t>$ 2,396,533</w:t>
            </w:r>
            <w:r>
              <w:rPr>
                <w:rFonts w:ascii="Arial" w:cs="Arial" w:eastAsia="Arial" w:hAnsi="Arial"/>
                <w:sz w:val="22"/>
                <w:szCs w:val="22"/>
                <w:color w:val="auto"/>
                <w:vertAlign w:val="superscript"/>
              </w:rPr>
              <w:t>4c</w:t>
            </w:r>
          </w:p>
        </w:tc>
        <w:tc>
          <w:tcPr>
            <w:tcW w:w="0" w:type="dxa"/>
            <w:vAlign w:val="bottom"/>
          </w:tcPr>
          <w:p>
            <w:pPr>
              <w:spacing w:after="0"/>
              <w:rPr>
                <w:sz w:val="1"/>
                <w:szCs w:val="1"/>
                <w:color w:val="auto"/>
              </w:rPr>
            </w:pPr>
          </w:p>
        </w:tc>
      </w:tr>
      <w:tr>
        <w:trPr>
          <w:trHeight w:val="242"/>
        </w:trPr>
        <w:tc>
          <w:tcPr>
            <w:tcW w:w="2240" w:type="dxa"/>
            <w:vAlign w:val="bottom"/>
            <w:tcBorders>
              <w:bottom w:val="single" w:sz="8" w:color="939598"/>
            </w:tcBorders>
          </w:tcPr>
          <w:p>
            <w:pPr>
              <w:spacing w:after="0"/>
              <w:rPr>
                <w:sz w:val="21"/>
                <w:szCs w:val="21"/>
                <w:color w:val="auto"/>
              </w:rPr>
            </w:pPr>
          </w:p>
        </w:tc>
        <w:tc>
          <w:tcPr>
            <w:tcW w:w="140" w:type="dxa"/>
            <w:vAlign w:val="bottom"/>
            <w:tcBorders>
              <w:bottom w:val="single" w:sz="8" w:color="E7E7E8"/>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12/5/2023</w:t>
            </w:r>
          </w:p>
        </w:tc>
        <w:tc>
          <w:tcPr>
            <w:tcW w:w="140" w:type="dxa"/>
            <w:vAlign w:val="bottom"/>
            <w:tcBorders>
              <w:bottom w:val="single" w:sz="8" w:color="E7E7E8"/>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E7E7E8"/>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0" w:type="dxa"/>
            <w:vAlign w:val="bottom"/>
            <w:tcBorders>
              <w:bottom w:val="single" w:sz="8" w:color="E7E7E8"/>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0" w:type="dxa"/>
            <w:vAlign w:val="bottom"/>
            <w:tcBorders>
              <w:bottom w:val="single" w:sz="8" w:color="E7E7E8"/>
            </w:tcBorders>
          </w:tcPr>
          <w:p>
            <w:pPr>
              <w:spacing w:after="0"/>
              <w:rPr>
                <w:sz w:val="21"/>
                <w:szCs w:val="21"/>
                <w:color w:val="auto"/>
              </w:rPr>
            </w:pPr>
          </w:p>
        </w:tc>
        <w:tc>
          <w:tcPr>
            <w:tcW w:w="1080" w:type="dxa"/>
            <w:vAlign w:val="bottom"/>
            <w:tcBorders>
              <w:bottom w:val="single" w:sz="8" w:color="auto"/>
            </w:tcBorders>
          </w:tcPr>
          <w:p>
            <w:pPr>
              <w:jc w:val="right"/>
              <w:ind w:right="15"/>
              <w:spacing w:after="0" w:line="243" w:lineRule="exact"/>
              <w:rPr>
                <w:sz w:val="20"/>
                <w:szCs w:val="20"/>
                <w:color w:val="auto"/>
              </w:rPr>
            </w:pPr>
            <w:r>
              <w:rPr>
                <w:rFonts w:ascii="Arial" w:cs="Arial" w:eastAsia="Arial" w:hAnsi="Arial"/>
                <w:sz w:val="13"/>
                <w:szCs w:val="13"/>
                <w:color w:val="auto"/>
              </w:rPr>
              <w:t>25,361</w:t>
            </w:r>
            <w:r>
              <w:rPr>
                <w:rFonts w:ascii="Arial" w:cs="Arial" w:eastAsia="Arial" w:hAnsi="Arial"/>
                <w:sz w:val="22"/>
                <w:szCs w:val="22"/>
                <w:color w:val="auto"/>
                <w:vertAlign w:val="superscript"/>
              </w:rPr>
              <w:t>5c</w:t>
            </w:r>
          </w:p>
        </w:tc>
        <w:tc>
          <w:tcPr>
            <w:tcW w:w="160" w:type="dxa"/>
            <w:vAlign w:val="bottom"/>
            <w:tcBorders>
              <w:bottom w:val="single" w:sz="8" w:color="E7E7E8"/>
            </w:tcBorders>
          </w:tcPr>
          <w:p>
            <w:pPr>
              <w:spacing w:after="0"/>
              <w:rPr>
                <w:sz w:val="21"/>
                <w:szCs w:val="21"/>
                <w:color w:val="auto"/>
              </w:rPr>
            </w:pPr>
          </w:p>
        </w:tc>
        <w:tc>
          <w:tcPr>
            <w:tcW w:w="1040" w:type="dxa"/>
            <w:vAlign w:val="bottom"/>
            <w:tcBorders>
              <w:bottom w:val="single" w:sz="8" w:color="auto"/>
            </w:tcBorders>
            <w:gridSpan w:val="2"/>
          </w:tcPr>
          <w:p>
            <w:pPr>
              <w:jc w:val="right"/>
              <w:ind w:right="36"/>
              <w:spacing w:after="0" w:line="243" w:lineRule="exact"/>
              <w:rPr>
                <w:sz w:val="20"/>
                <w:szCs w:val="20"/>
                <w:color w:val="auto"/>
              </w:rPr>
            </w:pPr>
            <w:r>
              <w:rPr>
                <w:rFonts w:ascii="Arial" w:cs="Arial" w:eastAsia="Arial" w:hAnsi="Arial"/>
                <w:sz w:val="13"/>
                <w:szCs w:val="13"/>
                <w:color w:val="auto"/>
              </w:rPr>
              <w:t>$2,731,126</w:t>
            </w:r>
            <w:r>
              <w:rPr>
                <w:rFonts w:ascii="Arial" w:cs="Arial" w:eastAsia="Arial" w:hAnsi="Arial"/>
                <w:sz w:val="22"/>
                <w:szCs w:val="22"/>
                <w:color w:val="auto"/>
                <w:vertAlign w:val="superscript"/>
              </w:rPr>
              <w:t>5c</w:t>
            </w:r>
          </w:p>
        </w:tc>
        <w:tc>
          <w:tcPr>
            <w:tcW w:w="160" w:type="dxa"/>
            <w:vAlign w:val="bottom"/>
            <w:tcBorders>
              <w:bottom w:val="single" w:sz="8" w:color="E7E7E8"/>
            </w:tcBorders>
          </w:tcPr>
          <w:p>
            <w:pPr>
              <w:spacing w:after="0"/>
              <w:rPr>
                <w:sz w:val="21"/>
                <w:szCs w:val="21"/>
                <w:color w:val="auto"/>
              </w:rPr>
            </w:pPr>
          </w:p>
        </w:tc>
        <w:tc>
          <w:tcPr>
            <w:tcW w:w="88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13"/>
                <w:szCs w:val="13"/>
                <w:color w:val="auto"/>
              </w:rPr>
              <w:t>25,361</w:t>
            </w:r>
            <w:r>
              <w:rPr>
                <w:rFonts w:ascii="Arial" w:cs="Arial" w:eastAsia="Arial" w:hAnsi="Arial"/>
                <w:sz w:val="22"/>
                <w:szCs w:val="22"/>
                <w:color w:val="auto"/>
                <w:vertAlign w:val="superscript"/>
              </w:rPr>
              <w:t>4d</w:t>
            </w:r>
          </w:p>
        </w:tc>
        <w:tc>
          <w:tcPr>
            <w:tcW w:w="160" w:type="dxa"/>
            <w:vAlign w:val="bottom"/>
            <w:tcBorders>
              <w:bottom w:val="single" w:sz="8" w:color="E7E7E8"/>
            </w:tcBorders>
          </w:tcPr>
          <w:p>
            <w:pPr>
              <w:spacing w:after="0"/>
              <w:rPr>
                <w:sz w:val="21"/>
                <w:szCs w:val="21"/>
                <w:color w:val="auto"/>
              </w:rPr>
            </w:pPr>
          </w:p>
        </w:tc>
        <w:tc>
          <w:tcPr>
            <w:tcW w:w="1160" w:type="dxa"/>
            <w:vAlign w:val="bottom"/>
            <w:tcBorders>
              <w:bottom w:val="single" w:sz="8" w:color="auto"/>
            </w:tcBorders>
            <w:gridSpan w:val="2"/>
          </w:tcPr>
          <w:p>
            <w:pPr>
              <w:jc w:val="right"/>
              <w:ind w:right="35"/>
              <w:spacing w:after="0" w:line="243" w:lineRule="exact"/>
              <w:rPr>
                <w:sz w:val="20"/>
                <w:szCs w:val="20"/>
                <w:color w:val="auto"/>
              </w:rPr>
            </w:pPr>
            <w:r>
              <w:rPr>
                <w:rFonts w:ascii="Arial" w:cs="Arial" w:eastAsia="Arial" w:hAnsi="Arial"/>
                <w:sz w:val="13"/>
                <w:szCs w:val="13"/>
                <w:color w:val="auto"/>
              </w:rPr>
              <w:t>$ 2,731,126</w:t>
            </w:r>
            <w:r>
              <w:rPr>
                <w:rFonts w:ascii="Arial" w:cs="Arial" w:eastAsia="Arial" w:hAnsi="Arial"/>
                <w:sz w:val="22"/>
                <w:szCs w:val="22"/>
                <w:color w:val="auto"/>
                <w:vertAlign w:val="superscript"/>
              </w:rPr>
              <w:t>4d</w:t>
            </w:r>
          </w:p>
        </w:tc>
        <w:tc>
          <w:tcPr>
            <w:tcW w:w="0" w:type="dxa"/>
            <w:vAlign w:val="bottom"/>
          </w:tcPr>
          <w:p>
            <w:pPr>
              <w:spacing w:after="0"/>
              <w:rPr>
                <w:sz w:val="1"/>
                <w:szCs w:val="1"/>
                <w:color w:val="auto"/>
              </w:rPr>
            </w:pPr>
          </w:p>
        </w:tc>
      </w:tr>
      <w:tr>
        <w:trPr>
          <w:trHeight w:val="242"/>
        </w:trPr>
        <w:tc>
          <w:tcPr>
            <w:tcW w:w="2240" w:type="dxa"/>
            <w:vAlign w:val="bottom"/>
            <w:tcBorders>
              <w:bottom w:val="single" w:sz="8" w:color="E7E7E8"/>
            </w:tcBorders>
            <w:shd w:val="clear" w:color="auto" w:fill="E7E7E8"/>
          </w:tcPr>
          <w:p>
            <w:pPr>
              <w:ind w:left="60"/>
              <w:spacing w:after="0"/>
              <w:rPr>
                <w:sz w:val="20"/>
                <w:szCs w:val="20"/>
                <w:color w:val="auto"/>
              </w:rPr>
            </w:pPr>
            <w:r>
              <w:rPr>
                <w:rFonts w:ascii="Arial" w:cs="Arial" w:eastAsia="Arial" w:hAnsi="Arial"/>
                <w:sz w:val="13"/>
                <w:szCs w:val="13"/>
                <w:b w:val="1"/>
                <w:bCs w:val="1"/>
                <w:color w:val="00254F"/>
              </w:rPr>
              <w:t>Jennifer B. Dardis</w:t>
            </w:r>
          </w:p>
        </w:tc>
        <w:tc>
          <w:tcPr>
            <w:tcW w:w="140" w:type="dxa"/>
            <w:vAlign w:val="bottom"/>
            <w:tcBorders>
              <w:bottom w:val="single" w:sz="8" w:color="E7E7E8"/>
              <w:right w:val="single" w:sz="8" w:color="E7E7E8"/>
            </w:tcBorders>
            <w:shd w:val="clear" w:color="auto" w:fill="E7E7E8"/>
          </w:tcPr>
          <w:p>
            <w:pPr>
              <w:spacing w:after="0"/>
              <w:rPr>
                <w:sz w:val="21"/>
                <w:szCs w:val="21"/>
                <w:color w:val="auto"/>
              </w:rPr>
            </w:pPr>
          </w:p>
        </w:tc>
        <w:tc>
          <w:tcPr>
            <w:tcW w:w="8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12/3/2019</w:t>
            </w:r>
          </w:p>
        </w:tc>
        <w:tc>
          <w:tcPr>
            <w:tcW w:w="140" w:type="dxa"/>
            <w:vAlign w:val="bottom"/>
            <w:tcBorders>
              <w:bottom w:val="single" w:sz="8" w:color="E7E7E8"/>
            </w:tcBorders>
            <w:shd w:val="clear" w:color="auto" w:fill="E7E7E8"/>
          </w:tcPr>
          <w:p>
            <w:pPr>
              <w:spacing w:after="0"/>
              <w:rPr>
                <w:sz w:val="21"/>
                <w:szCs w:val="21"/>
                <w:color w:val="auto"/>
              </w:rPr>
            </w:pPr>
          </w:p>
        </w:tc>
        <w:tc>
          <w:tcPr>
            <w:tcW w:w="40" w:type="dxa"/>
            <w:vAlign w:val="bottom"/>
            <w:tcBorders>
              <w:bottom w:val="single" w:sz="8" w:color="auto"/>
              <w:right w:val="single" w:sz="8" w:color="E7E7E8"/>
            </w:tcBorders>
            <w:shd w:val="clear" w:color="auto" w:fill="E7E7E8"/>
          </w:tcPr>
          <w:p>
            <w:pPr>
              <w:spacing w:after="0"/>
              <w:rPr>
                <w:sz w:val="21"/>
                <w:szCs w:val="21"/>
                <w:color w:val="auto"/>
              </w:rPr>
            </w:pPr>
          </w:p>
        </w:tc>
        <w:tc>
          <w:tcPr>
            <w:tcW w:w="9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E7E7E8"/>
              <w:right w:val="single" w:sz="8" w:color="E7E7E8"/>
            </w:tcBorders>
            <w:shd w:val="clear" w:color="auto" w:fill="E7E7E8"/>
          </w:tcPr>
          <w:p>
            <w:pPr>
              <w:spacing w:after="0"/>
              <w:rPr>
                <w:sz w:val="21"/>
                <w:szCs w:val="21"/>
                <w:color w:val="auto"/>
              </w:rPr>
            </w:pPr>
          </w:p>
        </w:tc>
        <w:tc>
          <w:tcPr>
            <w:tcW w:w="880" w:type="dxa"/>
            <w:vAlign w:val="bottom"/>
            <w:tcBorders>
              <w:bottom w:val="single" w:sz="8" w:color="auto"/>
            </w:tcBorders>
            <w:shd w:val="clear" w:color="auto" w:fill="E7E7E8"/>
          </w:tcPr>
          <w:p>
            <w:pPr>
              <w:spacing w:after="0"/>
              <w:rPr>
                <w:sz w:val="21"/>
                <w:szCs w:val="21"/>
                <w:color w:val="auto"/>
              </w:rPr>
            </w:pPr>
          </w:p>
        </w:tc>
        <w:tc>
          <w:tcPr>
            <w:tcW w:w="160" w:type="dxa"/>
            <w:vAlign w:val="bottom"/>
            <w:tcBorders>
              <w:bottom w:val="single" w:sz="8" w:color="E7E7E8"/>
              <w:right w:val="single" w:sz="8" w:color="E7E7E8"/>
            </w:tcBorders>
            <w:shd w:val="clear" w:color="auto" w:fill="E7E7E8"/>
          </w:tcPr>
          <w:p>
            <w:pPr>
              <w:spacing w:after="0"/>
              <w:rPr>
                <w:sz w:val="21"/>
                <w:szCs w:val="21"/>
                <w:color w:val="auto"/>
              </w:rPr>
            </w:pPr>
          </w:p>
        </w:tc>
        <w:tc>
          <w:tcPr>
            <w:tcW w:w="880" w:type="dxa"/>
            <w:vAlign w:val="bottom"/>
            <w:tcBorders>
              <w:bottom w:val="single" w:sz="8" w:color="auto"/>
            </w:tcBorders>
            <w:shd w:val="clear" w:color="auto" w:fill="E7E7E8"/>
          </w:tcPr>
          <w:p>
            <w:pPr>
              <w:spacing w:after="0"/>
              <w:rPr>
                <w:sz w:val="21"/>
                <w:szCs w:val="21"/>
                <w:color w:val="auto"/>
              </w:rPr>
            </w:pPr>
          </w:p>
        </w:tc>
        <w:tc>
          <w:tcPr>
            <w:tcW w:w="160" w:type="dxa"/>
            <w:vAlign w:val="bottom"/>
            <w:tcBorders>
              <w:bottom w:val="single" w:sz="8" w:color="E7E7E8"/>
              <w:right w:val="single" w:sz="8" w:color="E7E7E8"/>
            </w:tcBorders>
            <w:shd w:val="clear" w:color="auto" w:fill="E7E7E8"/>
          </w:tcPr>
          <w:p>
            <w:pPr>
              <w:spacing w:after="0"/>
              <w:rPr>
                <w:sz w:val="21"/>
                <w:szCs w:val="21"/>
                <w:color w:val="auto"/>
              </w:rPr>
            </w:pPr>
          </w:p>
        </w:tc>
        <w:tc>
          <w:tcPr>
            <w:tcW w:w="1080" w:type="dxa"/>
            <w:vAlign w:val="bottom"/>
            <w:tcBorders>
              <w:bottom w:val="single" w:sz="8" w:color="auto"/>
            </w:tcBorders>
            <w:shd w:val="clear" w:color="auto" w:fill="E7E7E8"/>
          </w:tcPr>
          <w:p>
            <w:pPr>
              <w:jc w:val="right"/>
              <w:ind w:right="15"/>
              <w:spacing w:after="0" w:line="243" w:lineRule="exact"/>
              <w:rPr>
                <w:sz w:val="20"/>
                <w:szCs w:val="20"/>
                <w:color w:val="auto"/>
              </w:rPr>
            </w:pPr>
            <w:r>
              <w:rPr>
                <w:rFonts w:ascii="Arial" w:cs="Arial" w:eastAsia="Arial" w:hAnsi="Arial"/>
                <w:sz w:val="13"/>
                <w:szCs w:val="13"/>
                <w:color w:val="auto"/>
              </w:rPr>
              <w:t>745</w:t>
            </w:r>
            <w:r>
              <w:rPr>
                <w:rFonts w:ascii="Arial" w:cs="Arial" w:eastAsia="Arial" w:hAnsi="Arial"/>
                <w:sz w:val="22"/>
                <w:szCs w:val="22"/>
                <w:color w:val="auto"/>
                <w:vertAlign w:val="superscript"/>
              </w:rPr>
              <w:t>5a</w:t>
            </w:r>
          </w:p>
        </w:tc>
        <w:tc>
          <w:tcPr>
            <w:tcW w:w="160" w:type="dxa"/>
            <w:vAlign w:val="bottom"/>
            <w:tcBorders>
              <w:bottom w:val="single" w:sz="8" w:color="E7E7E8"/>
              <w:right w:val="single" w:sz="8" w:color="E7E7E8"/>
            </w:tcBorders>
            <w:shd w:val="clear" w:color="auto" w:fill="E7E7E8"/>
          </w:tcPr>
          <w:p>
            <w:pPr>
              <w:spacing w:after="0"/>
              <w:rPr>
                <w:sz w:val="21"/>
                <w:szCs w:val="21"/>
                <w:color w:val="auto"/>
              </w:rPr>
            </w:pPr>
          </w:p>
        </w:tc>
        <w:tc>
          <w:tcPr>
            <w:tcW w:w="2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E7E7E8"/>
          </w:tcPr>
          <w:p>
            <w:pPr>
              <w:jc w:val="right"/>
              <w:ind w:right="36"/>
              <w:spacing w:after="0" w:line="243" w:lineRule="exact"/>
              <w:rPr>
                <w:sz w:val="20"/>
                <w:szCs w:val="20"/>
                <w:color w:val="auto"/>
              </w:rPr>
            </w:pPr>
            <w:r>
              <w:rPr>
                <w:rFonts w:ascii="Arial" w:cs="Arial" w:eastAsia="Arial" w:hAnsi="Arial"/>
                <w:sz w:val="13"/>
                <w:szCs w:val="13"/>
                <w:color w:val="auto"/>
              </w:rPr>
              <w:t>80,229</w:t>
            </w:r>
            <w:r>
              <w:rPr>
                <w:rFonts w:ascii="Arial" w:cs="Arial" w:eastAsia="Arial" w:hAnsi="Arial"/>
                <w:sz w:val="22"/>
                <w:szCs w:val="22"/>
                <w:color w:val="auto"/>
                <w:vertAlign w:val="superscript"/>
              </w:rPr>
              <w:t>5a</w:t>
            </w:r>
          </w:p>
        </w:tc>
        <w:tc>
          <w:tcPr>
            <w:tcW w:w="160" w:type="dxa"/>
            <w:vAlign w:val="bottom"/>
            <w:tcBorders>
              <w:bottom w:val="single" w:sz="8" w:color="E7E7E8"/>
              <w:right w:val="single" w:sz="8" w:color="E7E7E8"/>
            </w:tcBorders>
            <w:shd w:val="clear" w:color="auto" w:fill="E7E7E8"/>
          </w:tcPr>
          <w:p>
            <w:pPr>
              <w:spacing w:after="0"/>
              <w:rPr>
                <w:sz w:val="21"/>
                <w:szCs w:val="21"/>
                <w:color w:val="auto"/>
              </w:rPr>
            </w:pPr>
          </w:p>
        </w:tc>
        <w:tc>
          <w:tcPr>
            <w:tcW w:w="880" w:type="dxa"/>
            <w:vAlign w:val="bottom"/>
            <w:tcBorders>
              <w:bottom w:val="single" w:sz="8" w:color="auto"/>
            </w:tcBorders>
            <w:shd w:val="clear" w:color="auto" w:fill="E7E7E8"/>
          </w:tcPr>
          <w:p>
            <w:pPr>
              <w:jc w:val="right"/>
              <w:ind w:right="116"/>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E7E7E8"/>
              <w:right w:val="single" w:sz="8" w:color="E7E7E8"/>
            </w:tcBorders>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780" w:type="dxa"/>
            <w:vAlign w:val="bottom"/>
            <w:tcBorders>
              <w:bottom w:val="single" w:sz="8" w:color="auto"/>
            </w:tcBorders>
            <w:shd w:val="clear" w:color="auto" w:fill="E7E7E8"/>
          </w:tcPr>
          <w:p>
            <w:pPr>
              <w:jc w:val="right"/>
              <w:ind w:right="15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2"/>
        </w:trPr>
        <w:tc>
          <w:tcPr>
            <w:tcW w:w="2240" w:type="dxa"/>
            <w:vAlign w:val="bottom"/>
            <w:tcBorders>
              <w:bottom w:val="single" w:sz="8" w:color="E7E7E8"/>
            </w:tcBorders>
            <w:shd w:val="clear" w:color="auto" w:fill="E7E7E8"/>
          </w:tcPr>
          <w:p>
            <w:pPr>
              <w:spacing w:after="0"/>
              <w:rPr>
                <w:sz w:val="21"/>
                <w:szCs w:val="21"/>
                <w:color w:val="auto"/>
              </w:rPr>
            </w:pPr>
          </w:p>
        </w:tc>
        <w:tc>
          <w:tcPr>
            <w:tcW w:w="140" w:type="dxa"/>
            <w:vAlign w:val="bottom"/>
            <w:tcBorders>
              <w:bottom w:val="single" w:sz="8" w:color="E7E7E8"/>
              <w:right w:val="single" w:sz="8" w:color="E7E7E8"/>
            </w:tcBorders>
            <w:shd w:val="clear" w:color="auto" w:fill="E7E7E8"/>
          </w:tcPr>
          <w:p>
            <w:pPr>
              <w:spacing w:after="0"/>
              <w:rPr>
                <w:sz w:val="21"/>
                <w:szCs w:val="21"/>
                <w:color w:val="auto"/>
              </w:rPr>
            </w:pPr>
          </w:p>
        </w:tc>
        <w:tc>
          <w:tcPr>
            <w:tcW w:w="8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12/8/2020</w:t>
            </w:r>
          </w:p>
        </w:tc>
        <w:tc>
          <w:tcPr>
            <w:tcW w:w="140" w:type="dxa"/>
            <w:vAlign w:val="bottom"/>
            <w:tcBorders>
              <w:bottom w:val="single" w:sz="8" w:color="E7E7E8"/>
            </w:tcBorders>
            <w:shd w:val="clear" w:color="auto" w:fill="E7E7E8"/>
          </w:tcPr>
          <w:p>
            <w:pPr>
              <w:spacing w:after="0"/>
              <w:rPr>
                <w:sz w:val="21"/>
                <w:szCs w:val="21"/>
                <w:color w:val="auto"/>
              </w:rPr>
            </w:pPr>
          </w:p>
        </w:tc>
        <w:tc>
          <w:tcPr>
            <w:tcW w:w="40" w:type="dxa"/>
            <w:vAlign w:val="bottom"/>
            <w:tcBorders>
              <w:bottom w:val="single" w:sz="8" w:color="auto"/>
              <w:right w:val="single" w:sz="8" w:color="E7E7E8"/>
            </w:tcBorders>
            <w:shd w:val="clear" w:color="auto" w:fill="E7E7E8"/>
          </w:tcPr>
          <w:p>
            <w:pPr>
              <w:spacing w:after="0"/>
              <w:rPr>
                <w:sz w:val="21"/>
                <w:szCs w:val="21"/>
                <w:color w:val="auto"/>
              </w:rPr>
            </w:pPr>
          </w:p>
        </w:tc>
        <w:tc>
          <w:tcPr>
            <w:tcW w:w="9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E7E7E8"/>
              <w:right w:val="single" w:sz="8" w:color="E7E7E8"/>
            </w:tcBorders>
            <w:shd w:val="clear" w:color="auto" w:fill="E7E7E8"/>
          </w:tcPr>
          <w:p>
            <w:pPr>
              <w:spacing w:after="0"/>
              <w:rPr>
                <w:sz w:val="21"/>
                <w:szCs w:val="21"/>
                <w:color w:val="auto"/>
              </w:rPr>
            </w:pPr>
          </w:p>
        </w:tc>
        <w:tc>
          <w:tcPr>
            <w:tcW w:w="880" w:type="dxa"/>
            <w:vAlign w:val="bottom"/>
            <w:tcBorders>
              <w:bottom w:val="single" w:sz="8" w:color="auto"/>
            </w:tcBorders>
            <w:shd w:val="clear" w:color="auto" w:fill="E7E7E8"/>
          </w:tcPr>
          <w:p>
            <w:pPr>
              <w:spacing w:after="0"/>
              <w:rPr>
                <w:sz w:val="21"/>
                <w:szCs w:val="21"/>
                <w:color w:val="auto"/>
              </w:rPr>
            </w:pPr>
          </w:p>
        </w:tc>
        <w:tc>
          <w:tcPr>
            <w:tcW w:w="160" w:type="dxa"/>
            <w:vAlign w:val="bottom"/>
            <w:tcBorders>
              <w:bottom w:val="single" w:sz="8" w:color="E7E7E8"/>
              <w:right w:val="single" w:sz="8" w:color="E7E7E8"/>
            </w:tcBorders>
            <w:shd w:val="clear" w:color="auto" w:fill="E7E7E8"/>
          </w:tcPr>
          <w:p>
            <w:pPr>
              <w:spacing w:after="0"/>
              <w:rPr>
                <w:sz w:val="21"/>
                <w:szCs w:val="21"/>
                <w:color w:val="auto"/>
              </w:rPr>
            </w:pPr>
          </w:p>
        </w:tc>
        <w:tc>
          <w:tcPr>
            <w:tcW w:w="880" w:type="dxa"/>
            <w:vAlign w:val="bottom"/>
            <w:tcBorders>
              <w:bottom w:val="single" w:sz="8" w:color="auto"/>
            </w:tcBorders>
            <w:shd w:val="clear" w:color="auto" w:fill="E7E7E8"/>
          </w:tcPr>
          <w:p>
            <w:pPr>
              <w:spacing w:after="0"/>
              <w:rPr>
                <w:sz w:val="21"/>
                <w:szCs w:val="21"/>
                <w:color w:val="auto"/>
              </w:rPr>
            </w:pPr>
          </w:p>
        </w:tc>
        <w:tc>
          <w:tcPr>
            <w:tcW w:w="160" w:type="dxa"/>
            <w:vAlign w:val="bottom"/>
            <w:tcBorders>
              <w:bottom w:val="single" w:sz="8" w:color="E7E7E8"/>
              <w:right w:val="single" w:sz="8" w:color="E7E7E8"/>
            </w:tcBorders>
            <w:shd w:val="clear" w:color="auto" w:fill="E7E7E8"/>
          </w:tcPr>
          <w:p>
            <w:pPr>
              <w:spacing w:after="0"/>
              <w:rPr>
                <w:sz w:val="21"/>
                <w:szCs w:val="21"/>
                <w:color w:val="auto"/>
              </w:rPr>
            </w:pPr>
          </w:p>
        </w:tc>
        <w:tc>
          <w:tcPr>
            <w:tcW w:w="1080" w:type="dxa"/>
            <w:vAlign w:val="bottom"/>
            <w:tcBorders>
              <w:bottom w:val="single" w:sz="8" w:color="auto"/>
            </w:tcBorders>
            <w:shd w:val="clear" w:color="auto" w:fill="E7E7E8"/>
          </w:tcPr>
          <w:p>
            <w:pPr>
              <w:jc w:val="right"/>
              <w:ind w:right="15"/>
              <w:spacing w:after="0" w:line="243" w:lineRule="exact"/>
              <w:rPr>
                <w:sz w:val="20"/>
                <w:szCs w:val="20"/>
                <w:color w:val="auto"/>
              </w:rPr>
            </w:pPr>
            <w:r>
              <w:rPr>
                <w:rFonts w:ascii="Arial" w:cs="Arial" w:eastAsia="Arial" w:hAnsi="Arial"/>
                <w:sz w:val="13"/>
                <w:szCs w:val="13"/>
                <w:color w:val="auto"/>
              </w:rPr>
              <w:t>1,306</w:t>
            </w:r>
            <w:r>
              <w:rPr>
                <w:rFonts w:ascii="Arial" w:cs="Arial" w:eastAsia="Arial" w:hAnsi="Arial"/>
                <w:sz w:val="22"/>
                <w:szCs w:val="22"/>
                <w:color w:val="auto"/>
                <w:vertAlign w:val="superscript"/>
              </w:rPr>
              <w:t>5b</w:t>
            </w:r>
          </w:p>
        </w:tc>
        <w:tc>
          <w:tcPr>
            <w:tcW w:w="160" w:type="dxa"/>
            <w:vAlign w:val="bottom"/>
            <w:tcBorders>
              <w:bottom w:val="single" w:sz="8" w:color="E7E7E8"/>
              <w:right w:val="single" w:sz="8" w:color="E7E7E8"/>
            </w:tcBorders>
            <w:shd w:val="clear" w:color="auto" w:fill="E7E7E8"/>
          </w:tcPr>
          <w:p>
            <w:pPr>
              <w:spacing w:after="0"/>
              <w:rPr>
                <w:sz w:val="21"/>
                <w:szCs w:val="21"/>
                <w:color w:val="auto"/>
              </w:rPr>
            </w:pPr>
          </w:p>
        </w:tc>
        <w:tc>
          <w:tcPr>
            <w:tcW w:w="2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E7E7E8"/>
          </w:tcPr>
          <w:p>
            <w:pPr>
              <w:jc w:val="right"/>
              <w:ind w:right="36"/>
              <w:spacing w:after="0" w:line="243" w:lineRule="exact"/>
              <w:rPr>
                <w:sz w:val="20"/>
                <w:szCs w:val="20"/>
                <w:color w:val="auto"/>
              </w:rPr>
            </w:pPr>
            <w:r>
              <w:rPr>
                <w:rFonts w:ascii="Arial" w:cs="Arial" w:eastAsia="Arial" w:hAnsi="Arial"/>
                <w:sz w:val="13"/>
                <w:szCs w:val="13"/>
                <w:color w:val="auto"/>
              </w:rPr>
              <w:t>140,643</w:t>
            </w:r>
            <w:r>
              <w:rPr>
                <w:rFonts w:ascii="Arial" w:cs="Arial" w:eastAsia="Arial" w:hAnsi="Arial"/>
                <w:sz w:val="22"/>
                <w:szCs w:val="22"/>
                <w:color w:val="auto"/>
                <w:vertAlign w:val="superscript"/>
              </w:rPr>
              <w:t>5b</w:t>
            </w:r>
          </w:p>
        </w:tc>
        <w:tc>
          <w:tcPr>
            <w:tcW w:w="160" w:type="dxa"/>
            <w:vAlign w:val="bottom"/>
            <w:tcBorders>
              <w:bottom w:val="single" w:sz="8" w:color="E7E7E8"/>
              <w:right w:val="single" w:sz="8" w:color="E7E7E8"/>
            </w:tcBorders>
            <w:shd w:val="clear" w:color="auto" w:fill="E7E7E8"/>
          </w:tcPr>
          <w:p>
            <w:pPr>
              <w:spacing w:after="0"/>
              <w:rPr>
                <w:sz w:val="21"/>
                <w:szCs w:val="21"/>
                <w:color w:val="auto"/>
              </w:rPr>
            </w:pPr>
          </w:p>
        </w:tc>
        <w:tc>
          <w:tcPr>
            <w:tcW w:w="880" w:type="dxa"/>
            <w:vAlign w:val="bottom"/>
            <w:tcBorders>
              <w:bottom w:val="single" w:sz="8" w:color="auto"/>
            </w:tcBorders>
            <w:shd w:val="clear" w:color="auto" w:fill="E7E7E8"/>
          </w:tcPr>
          <w:p>
            <w:pPr>
              <w:jc w:val="right"/>
              <w:ind w:right="116"/>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E7E7E8"/>
              <w:right w:val="single" w:sz="8" w:color="E7E7E8"/>
            </w:tcBorders>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780" w:type="dxa"/>
            <w:vAlign w:val="bottom"/>
            <w:tcBorders>
              <w:bottom w:val="single" w:sz="8" w:color="auto"/>
            </w:tcBorders>
            <w:shd w:val="clear" w:color="auto" w:fill="E7E7E8"/>
          </w:tcPr>
          <w:p>
            <w:pPr>
              <w:jc w:val="right"/>
              <w:ind w:right="15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2"/>
        </w:trPr>
        <w:tc>
          <w:tcPr>
            <w:tcW w:w="2240" w:type="dxa"/>
            <w:vAlign w:val="bottom"/>
            <w:tcBorders>
              <w:bottom w:val="single" w:sz="8" w:color="E7E7E8"/>
            </w:tcBorders>
            <w:shd w:val="clear" w:color="auto" w:fill="E7E7E8"/>
          </w:tcPr>
          <w:p>
            <w:pPr>
              <w:spacing w:after="0"/>
              <w:rPr>
                <w:sz w:val="21"/>
                <w:szCs w:val="21"/>
                <w:color w:val="auto"/>
              </w:rPr>
            </w:pPr>
          </w:p>
        </w:tc>
        <w:tc>
          <w:tcPr>
            <w:tcW w:w="140" w:type="dxa"/>
            <w:vAlign w:val="bottom"/>
            <w:tcBorders>
              <w:bottom w:val="single" w:sz="8" w:color="E7E7E8"/>
              <w:right w:val="single" w:sz="8" w:color="E7E7E8"/>
            </w:tcBorders>
            <w:shd w:val="clear" w:color="auto" w:fill="E7E7E8"/>
          </w:tcPr>
          <w:p>
            <w:pPr>
              <w:spacing w:after="0"/>
              <w:rPr>
                <w:sz w:val="21"/>
                <w:szCs w:val="21"/>
                <w:color w:val="auto"/>
              </w:rPr>
            </w:pPr>
          </w:p>
        </w:tc>
        <w:tc>
          <w:tcPr>
            <w:tcW w:w="8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12/7/2021</w:t>
            </w:r>
          </w:p>
        </w:tc>
        <w:tc>
          <w:tcPr>
            <w:tcW w:w="140" w:type="dxa"/>
            <w:vAlign w:val="bottom"/>
            <w:tcBorders>
              <w:bottom w:val="single" w:sz="8" w:color="E7E7E8"/>
            </w:tcBorders>
            <w:shd w:val="clear" w:color="auto" w:fill="E7E7E8"/>
          </w:tcPr>
          <w:p>
            <w:pPr>
              <w:spacing w:after="0"/>
              <w:rPr>
                <w:sz w:val="21"/>
                <w:szCs w:val="21"/>
                <w:color w:val="auto"/>
              </w:rPr>
            </w:pPr>
          </w:p>
        </w:tc>
        <w:tc>
          <w:tcPr>
            <w:tcW w:w="40" w:type="dxa"/>
            <w:vAlign w:val="bottom"/>
            <w:tcBorders>
              <w:bottom w:val="single" w:sz="8" w:color="auto"/>
              <w:right w:val="single" w:sz="8" w:color="E7E7E8"/>
            </w:tcBorders>
            <w:shd w:val="clear" w:color="auto" w:fill="E7E7E8"/>
          </w:tcPr>
          <w:p>
            <w:pPr>
              <w:spacing w:after="0"/>
              <w:rPr>
                <w:sz w:val="21"/>
                <w:szCs w:val="21"/>
                <w:color w:val="auto"/>
              </w:rPr>
            </w:pPr>
          </w:p>
        </w:tc>
        <w:tc>
          <w:tcPr>
            <w:tcW w:w="9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E7E7E8"/>
              <w:right w:val="single" w:sz="8" w:color="E7E7E8"/>
            </w:tcBorders>
            <w:shd w:val="clear" w:color="auto" w:fill="E7E7E8"/>
          </w:tcPr>
          <w:p>
            <w:pPr>
              <w:spacing w:after="0"/>
              <w:rPr>
                <w:sz w:val="21"/>
                <w:szCs w:val="21"/>
                <w:color w:val="auto"/>
              </w:rPr>
            </w:pPr>
          </w:p>
        </w:tc>
        <w:tc>
          <w:tcPr>
            <w:tcW w:w="880" w:type="dxa"/>
            <w:vAlign w:val="bottom"/>
            <w:tcBorders>
              <w:bottom w:val="single" w:sz="8" w:color="auto"/>
            </w:tcBorders>
            <w:shd w:val="clear" w:color="auto" w:fill="E7E7E8"/>
          </w:tcPr>
          <w:p>
            <w:pPr>
              <w:spacing w:after="0"/>
              <w:rPr>
                <w:sz w:val="21"/>
                <w:szCs w:val="21"/>
                <w:color w:val="auto"/>
              </w:rPr>
            </w:pPr>
          </w:p>
        </w:tc>
        <w:tc>
          <w:tcPr>
            <w:tcW w:w="160" w:type="dxa"/>
            <w:vAlign w:val="bottom"/>
            <w:tcBorders>
              <w:bottom w:val="single" w:sz="8" w:color="E7E7E8"/>
              <w:right w:val="single" w:sz="8" w:color="E7E7E8"/>
            </w:tcBorders>
            <w:shd w:val="clear" w:color="auto" w:fill="E7E7E8"/>
          </w:tcPr>
          <w:p>
            <w:pPr>
              <w:spacing w:after="0"/>
              <w:rPr>
                <w:sz w:val="21"/>
                <w:szCs w:val="21"/>
                <w:color w:val="auto"/>
              </w:rPr>
            </w:pPr>
          </w:p>
        </w:tc>
        <w:tc>
          <w:tcPr>
            <w:tcW w:w="880" w:type="dxa"/>
            <w:vAlign w:val="bottom"/>
            <w:tcBorders>
              <w:bottom w:val="single" w:sz="8" w:color="auto"/>
            </w:tcBorders>
            <w:shd w:val="clear" w:color="auto" w:fill="E7E7E8"/>
          </w:tcPr>
          <w:p>
            <w:pPr>
              <w:spacing w:after="0"/>
              <w:rPr>
                <w:sz w:val="21"/>
                <w:szCs w:val="21"/>
                <w:color w:val="auto"/>
              </w:rPr>
            </w:pPr>
          </w:p>
        </w:tc>
        <w:tc>
          <w:tcPr>
            <w:tcW w:w="160" w:type="dxa"/>
            <w:vAlign w:val="bottom"/>
            <w:tcBorders>
              <w:bottom w:val="single" w:sz="8" w:color="E7E7E8"/>
              <w:right w:val="single" w:sz="8" w:color="E7E7E8"/>
            </w:tcBorders>
            <w:shd w:val="clear" w:color="auto" w:fill="E7E7E8"/>
          </w:tcPr>
          <w:p>
            <w:pPr>
              <w:spacing w:after="0"/>
              <w:rPr>
                <w:sz w:val="21"/>
                <w:szCs w:val="21"/>
                <w:color w:val="auto"/>
              </w:rPr>
            </w:pPr>
          </w:p>
        </w:tc>
        <w:tc>
          <w:tcPr>
            <w:tcW w:w="1080" w:type="dxa"/>
            <w:vAlign w:val="bottom"/>
            <w:tcBorders>
              <w:bottom w:val="single" w:sz="8" w:color="auto"/>
            </w:tcBorders>
            <w:shd w:val="clear" w:color="auto" w:fill="E7E7E8"/>
          </w:tcPr>
          <w:p>
            <w:pPr>
              <w:jc w:val="right"/>
              <w:ind w:right="15"/>
              <w:spacing w:after="0" w:line="243" w:lineRule="exact"/>
              <w:rPr>
                <w:sz w:val="20"/>
                <w:szCs w:val="20"/>
                <w:color w:val="auto"/>
              </w:rPr>
            </w:pPr>
            <w:r>
              <w:rPr>
                <w:rFonts w:ascii="Arial" w:cs="Arial" w:eastAsia="Arial" w:hAnsi="Arial"/>
                <w:sz w:val="13"/>
                <w:szCs w:val="13"/>
                <w:color w:val="auto"/>
              </w:rPr>
              <w:t>980</w:t>
            </w:r>
            <w:r>
              <w:rPr>
                <w:rFonts w:ascii="Arial" w:cs="Arial" w:eastAsia="Arial" w:hAnsi="Arial"/>
                <w:sz w:val="22"/>
                <w:szCs w:val="22"/>
                <w:color w:val="auto"/>
                <w:vertAlign w:val="superscript"/>
              </w:rPr>
              <w:t>5a</w:t>
            </w:r>
          </w:p>
        </w:tc>
        <w:tc>
          <w:tcPr>
            <w:tcW w:w="160" w:type="dxa"/>
            <w:vAlign w:val="bottom"/>
            <w:tcBorders>
              <w:bottom w:val="single" w:sz="8" w:color="E7E7E8"/>
              <w:right w:val="single" w:sz="8" w:color="E7E7E8"/>
            </w:tcBorders>
            <w:shd w:val="clear" w:color="auto" w:fill="E7E7E8"/>
          </w:tcPr>
          <w:p>
            <w:pPr>
              <w:spacing w:after="0"/>
              <w:rPr>
                <w:sz w:val="21"/>
                <w:szCs w:val="21"/>
                <w:color w:val="auto"/>
              </w:rPr>
            </w:pPr>
          </w:p>
        </w:tc>
        <w:tc>
          <w:tcPr>
            <w:tcW w:w="2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E7E7E8"/>
          </w:tcPr>
          <w:p>
            <w:pPr>
              <w:jc w:val="right"/>
              <w:ind w:right="36"/>
              <w:spacing w:after="0" w:line="243" w:lineRule="exact"/>
              <w:rPr>
                <w:sz w:val="20"/>
                <w:szCs w:val="20"/>
                <w:color w:val="auto"/>
              </w:rPr>
            </w:pPr>
            <w:r>
              <w:rPr>
                <w:rFonts w:ascii="Arial" w:cs="Arial" w:eastAsia="Arial" w:hAnsi="Arial"/>
                <w:sz w:val="13"/>
                <w:szCs w:val="13"/>
                <w:color w:val="auto"/>
              </w:rPr>
              <w:t>105,536</w:t>
            </w:r>
            <w:r>
              <w:rPr>
                <w:rFonts w:ascii="Arial" w:cs="Arial" w:eastAsia="Arial" w:hAnsi="Arial"/>
                <w:sz w:val="22"/>
                <w:szCs w:val="22"/>
                <w:color w:val="auto"/>
                <w:vertAlign w:val="superscript"/>
              </w:rPr>
              <w:t>5a</w:t>
            </w:r>
          </w:p>
        </w:tc>
        <w:tc>
          <w:tcPr>
            <w:tcW w:w="160" w:type="dxa"/>
            <w:vAlign w:val="bottom"/>
            <w:tcBorders>
              <w:bottom w:val="single" w:sz="8" w:color="E7E7E8"/>
              <w:right w:val="single" w:sz="8" w:color="E7E7E8"/>
            </w:tcBorders>
            <w:shd w:val="clear" w:color="auto" w:fill="E7E7E8"/>
          </w:tcPr>
          <w:p>
            <w:pPr>
              <w:spacing w:after="0"/>
              <w:rPr>
                <w:sz w:val="21"/>
                <w:szCs w:val="21"/>
                <w:color w:val="auto"/>
              </w:rPr>
            </w:pPr>
          </w:p>
        </w:tc>
        <w:tc>
          <w:tcPr>
            <w:tcW w:w="880" w:type="dxa"/>
            <w:vAlign w:val="bottom"/>
            <w:tcBorders>
              <w:bottom w:val="single" w:sz="8" w:color="auto"/>
            </w:tcBorders>
            <w:shd w:val="clear" w:color="auto" w:fill="E7E7E8"/>
          </w:tcPr>
          <w:p>
            <w:pPr>
              <w:jc w:val="right"/>
              <w:spacing w:after="0" w:line="243" w:lineRule="exact"/>
              <w:rPr>
                <w:sz w:val="20"/>
                <w:szCs w:val="20"/>
                <w:color w:val="auto"/>
              </w:rPr>
            </w:pPr>
            <w:r>
              <w:rPr>
                <w:rFonts w:ascii="Arial" w:cs="Arial" w:eastAsia="Arial" w:hAnsi="Arial"/>
                <w:sz w:val="13"/>
                <w:szCs w:val="13"/>
                <w:color w:val="auto"/>
              </w:rPr>
              <w:t>2,939</w:t>
            </w:r>
            <w:r>
              <w:rPr>
                <w:rFonts w:ascii="Arial" w:cs="Arial" w:eastAsia="Arial" w:hAnsi="Arial"/>
                <w:sz w:val="22"/>
                <w:szCs w:val="22"/>
                <w:color w:val="auto"/>
                <w:vertAlign w:val="superscript"/>
              </w:rPr>
              <w:t>4b</w:t>
            </w:r>
          </w:p>
        </w:tc>
        <w:tc>
          <w:tcPr>
            <w:tcW w:w="160" w:type="dxa"/>
            <w:vAlign w:val="bottom"/>
            <w:tcBorders>
              <w:bottom w:val="single" w:sz="8" w:color="E7E7E8"/>
              <w:right w:val="single" w:sz="8" w:color="E7E7E8"/>
            </w:tcBorders>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E7E7E8"/>
          </w:tcPr>
          <w:p>
            <w:pPr>
              <w:jc w:val="right"/>
              <w:ind w:right="35"/>
              <w:spacing w:after="0" w:line="243" w:lineRule="exact"/>
              <w:rPr>
                <w:sz w:val="20"/>
                <w:szCs w:val="20"/>
                <w:color w:val="auto"/>
              </w:rPr>
            </w:pPr>
            <w:r>
              <w:rPr>
                <w:rFonts w:ascii="Arial" w:cs="Arial" w:eastAsia="Arial" w:hAnsi="Arial"/>
                <w:sz w:val="13"/>
                <w:szCs w:val="13"/>
                <w:color w:val="auto"/>
              </w:rPr>
              <w:t>316,501</w:t>
            </w:r>
            <w:r>
              <w:rPr>
                <w:rFonts w:ascii="Arial" w:cs="Arial" w:eastAsia="Arial" w:hAnsi="Arial"/>
                <w:sz w:val="22"/>
                <w:szCs w:val="22"/>
                <w:color w:val="auto"/>
                <w:vertAlign w:val="superscript"/>
              </w:rPr>
              <w:t>4b</w:t>
            </w:r>
          </w:p>
        </w:tc>
        <w:tc>
          <w:tcPr>
            <w:tcW w:w="0" w:type="dxa"/>
            <w:vAlign w:val="bottom"/>
          </w:tcPr>
          <w:p>
            <w:pPr>
              <w:spacing w:after="0"/>
              <w:rPr>
                <w:sz w:val="1"/>
                <w:szCs w:val="1"/>
                <w:color w:val="auto"/>
              </w:rPr>
            </w:pPr>
          </w:p>
        </w:tc>
      </w:tr>
      <w:tr>
        <w:trPr>
          <w:trHeight w:val="242"/>
        </w:trPr>
        <w:tc>
          <w:tcPr>
            <w:tcW w:w="2240" w:type="dxa"/>
            <w:vAlign w:val="bottom"/>
            <w:tcBorders>
              <w:bottom w:val="single" w:sz="8" w:color="E7E7E8"/>
            </w:tcBorders>
            <w:shd w:val="clear" w:color="auto" w:fill="E7E7E8"/>
          </w:tcPr>
          <w:p>
            <w:pPr>
              <w:spacing w:after="0"/>
              <w:rPr>
                <w:sz w:val="21"/>
                <w:szCs w:val="21"/>
                <w:color w:val="auto"/>
              </w:rPr>
            </w:pPr>
          </w:p>
        </w:tc>
        <w:tc>
          <w:tcPr>
            <w:tcW w:w="140" w:type="dxa"/>
            <w:vAlign w:val="bottom"/>
            <w:tcBorders>
              <w:bottom w:val="single" w:sz="8" w:color="E7E7E8"/>
              <w:right w:val="single" w:sz="8" w:color="E7E7E8"/>
            </w:tcBorders>
            <w:shd w:val="clear" w:color="auto" w:fill="E7E7E8"/>
          </w:tcPr>
          <w:p>
            <w:pPr>
              <w:spacing w:after="0"/>
              <w:rPr>
                <w:sz w:val="21"/>
                <w:szCs w:val="21"/>
                <w:color w:val="auto"/>
              </w:rPr>
            </w:pPr>
          </w:p>
        </w:tc>
        <w:tc>
          <w:tcPr>
            <w:tcW w:w="8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12/6/2022</w:t>
            </w:r>
          </w:p>
        </w:tc>
        <w:tc>
          <w:tcPr>
            <w:tcW w:w="140" w:type="dxa"/>
            <w:vAlign w:val="bottom"/>
            <w:tcBorders>
              <w:bottom w:val="single" w:sz="8" w:color="E7E7E8"/>
            </w:tcBorders>
            <w:shd w:val="clear" w:color="auto" w:fill="E7E7E8"/>
          </w:tcPr>
          <w:p>
            <w:pPr>
              <w:spacing w:after="0"/>
              <w:rPr>
                <w:sz w:val="21"/>
                <w:szCs w:val="21"/>
                <w:color w:val="auto"/>
              </w:rPr>
            </w:pPr>
          </w:p>
        </w:tc>
        <w:tc>
          <w:tcPr>
            <w:tcW w:w="40" w:type="dxa"/>
            <w:vAlign w:val="bottom"/>
            <w:tcBorders>
              <w:bottom w:val="single" w:sz="8" w:color="auto"/>
              <w:right w:val="single" w:sz="8" w:color="E7E7E8"/>
            </w:tcBorders>
            <w:shd w:val="clear" w:color="auto" w:fill="E7E7E8"/>
          </w:tcPr>
          <w:p>
            <w:pPr>
              <w:spacing w:after="0"/>
              <w:rPr>
                <w:sz w:val="21"/>
                <w:szCs w:val="21"/>
                <w:color w:val="auto"/>
              </w:rPr>
            </w:pPr>
          </w:p>
        </w:tc>
        <w:tc>
          <w:tcPr>
            <w:tcW w:w="9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E7E7E8"/>
              <w:right w:val="single" w:sz="8" w:color="E7E7E8"/>
            </w:tcBorders>
            <w:shd w:val="clear" w:color="auto" w:fill="E7E7E8"/>
          </w:tcPr>
          <w:p>
            <w:pPr>
              <w:spacing w:after="0"/>
              <w:rPr>
                <w:sz w:val="21"/>
                <w:szCs w:val="21"/>
                <w:color w:val="auto"/>
              </w:rPr>
            </w:pPr>
          </w:p>
        </w:tc>
        <w:tc>
          <w:tcPr>
            <w:tcW w:w="880" w:type="dxa"/>
            <w:vAlign w:val="bottom"/>
            <w:tcBorders>
              <w:bottom w:val="single" w:sz="8" w:color="auto"/>
            </w:tcBorders>
            <w:shd w:val="clear" w:color="auto" w:fill="E7E7E8"/>
          </w:tcPr>
          <w:p>
            <w:pPr>
              <w:spacing w:after="0"/>
              <w:rPr>
                <w:sz w:val="21"/>
                <w:szCs w:val="21"/>
                <w:color w:val="auto"/>
              </w:rPr>
            </w:pPr>
          </w:p>
        </w:tc>
        <w:tc>
          <w:tcPr>
            <w:tcW w:w="160" w:type="dxa"/>
            <w:vAlign w:val="bottom"/>
            <w:tcBorders>
              <w:bottom w:val="single" w:sz="8" w:color="E7E7E8"/>
              <w:right w:val="single" w:sz="8" w:color="E7E7E8"/>
            </w:tcBorders>
            <w:shd w:val="clear" w:color="auto" w:fill="E7E7E8"/>
          </w:tcPr>
          <w:p>
            <w:pPr>
              <w:spacing w:after="0"/>
              <w:rPr>
                <w:sz w:val="21"/>
                <w:szCs w:val="21"/>
                <w:color w:val="auto"/>
              </w:rPr>
            </w:pPr>
          </w:p>
        </w:tc>
        <w:tc>
          <w:tcPr>
            <w:tcW w:w="880" w:type="dxa"/>
            <w:vAlign w:val="bottom"/>
            <w:tcBorders>
              <w:bottom w:val="single" w:sz="8" w:color="auto"/>
            </w:tcBorders>
            <w:shd w:val="clear" w:color="auto" w:fill="E7E7E8"/>
          </w:tcPr>
          <w:p>
            <w:pPr>
              <w:spacing w:after="0"/>
              <w:rPr>
                <w:sz w:val="21"/>
                <w:szCs w:val="21"/>
                <w:color w:val="auto"/>
              </w:rPr>
            </w:pPr>
          </w:p>
        </w:tc>
        <w:tc>
          <w:tcPr>
            <w:tcW w:w="160" w:type="dxa"/>
            <w:vAlign w:val="bottom"/>
            <w:tcBorders>
              <w:bottom w:val="single" w:sz="8" w:color="E7E7E8"/>
              <w:right w:val="single" w:sz="8" w:color="E7E7E8"/>
            </w:tcBorders>
            <w:shd w:val="clear" w:color="auto" w:fill="E7E7E8"/>
          </w:tcPr>
          <w:p>
            <w:pPr>
              <w:spacing w:after="0"/>
              <w:rPr>
                <w:sz w:val="21"/>
                <w:szCs w:val="21"/>
                <w:color w:val="auto"/>
              </w:rPr>
            </w:pPr>
          </w:p>
        </w:tc>
        <w:tc>
          <w:tcPr>
            <w:tcW w:w="1080" w:type="dxa"/>
            <w:vAlign w:val="bottom"/>
            <w:tcBorders>
              <w:bottom w:val="single" w:sz="8" w:color="auto"/>
            </w:tcBorders>
            <w:shd w:val="clear" w:color="auto" w:fill="E7E7E8"/>
          </w:tcPr>
          <w:p>
            <w:pPr>
              <w:jc w:val="right"/>
              <w:ind w:right="15"/>
              <w:spacing w:after="0" w:line="243" w:lineRule="exact"/>
              <w:rPr>
                <w:sz w:val="20"/>
                <w:szCs w:val="20"/>
                <w:color w:val="auto"/>
              </w:rPr>
            </w:pPr>
            <w:r>
              <w:rPr>
                <w:rFonts w:ascii="Arial" w:cs="Arial" w:eastAsia="Arial" w:hAnsi="Arial"/>
                <w:sz w:val="13"/>
                <w:szCs w:val="13"/>
                <w:color w:val="auto"/>
              </w:rPr>
              <w:t>3,709</w:t>
            </w:r>
            <w:r>
              <w:rPr>
                <w:rFonts w:ascii="Arial" w:cs="Arial" w:eastAsia="Arial" w:hAnsi="Arial"/>
                <w:sz w:val="22"/>
                <w:szCs w:val="22"/>
                <w:color w:val="auto"/>
                <w:vertAlign w:val="superscript"/>
              </w:rPr>
              <w:t>5b</w:t>
            </w:r>
          </w:p>
        </w:tc>
        <w:tc>
          <w:tcPr>
            <w:tcW w:w="160" w:type="dxa"/>
            <w:vAlign w:val="bottom"/>
            <w:tcBorders>
              <w:bottom w:val="single" w:sz="8" w:color="E7E7E8"/>
              <w:right w:val="single" w:sz="8" w:color="E7E7E8"/>
            </w:tcBorders>
            <w:shd w:val="clear" w:color="auto" w:fill="E7E7E8"/>
          </w:tcPr>
          <w:p>
            <w:pPr>
              <w:spacing w:after="0"/>
              <w:rPr>
                <w:sz w:val="21"/>
                <w:szCs w:val="21"/>
                <w:color w:val="auto"/>
              </w:rPr>
            </w:pPr>
          </w:p>
        </w:tc>
        <w:tc>
          <w:tcPr>
            <w:tcW w:w="2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E7E7E8"/>
          </w:tcPr>
          <w:p>
            <w:pPr>
              <w:jc w:val="right"/>
              <w:ind w:right="36"/>
              <w:spacing w:after="0" w:line="243" w:lineRule="exact"/>
              <w:rPr>
                <w:sz w:val="20"/>
                <w:szCs w:val="20"/>
                <w:color w:val="auto"/>
              </w:rPr>
            </w:pPr>
            <w:r>
              <w:rPr>
                <w:rFonts w:ascii="Arial" w:cs="Arial" w:eastAsia="Arial" w:hAnsi="Arial"/>
                <w:sz w:val="13"/>
                <w:szCs w:val="13"/>
                <w:color w:val="auto"/>
              </w:rPr>
              <w:t>399,422</w:t>
            </w:r>
            <w:r>
              <w:rPr>
                <w:rFonts w:ascii="Arial" w:cs="Arial" w:eastAsia="Arial" w:hAnsi="Arial"/>
                <w:sz w:val="22"/>
                <w:szCs w:val="22"/>
                <w:color w:val="auto"/>
                <w:vertAlign w:val="superscript"/>
              </w:rPr>
              <w:t>5b</w:t>
            </w:r>
          </w:p>
        </w:tc>
        <w:tc>
          <w:tcPr>
            <w:tcW w:w="160" w:type="dxa"/>
            <w:vAlign w:val="bottom"/>
            <w:tcBorders>
              <w:bottom w:val="single" w:sz="8" w:color="E7E7E8"/>
              <w:right w:val="single" w:sz="8" w:color="E7E7E8"/>
            </w:tcBorders>
            <w:shd w:val="clear" w:color="auto" w:fill="E7E7E8"/>
          </w:tcPr>
          <w:p>
            <w:pPr>
              <w:spacing w:after="0"/>
              <w:rPr>
                <w:sz w:val="21"/>
                <w:szCs w:val="21"/>
                <w:color w:val="auto"/>
              </w:rPr>
            </w:pPr>
          </w:p>
        </w:tc>
        <w:tc>
          <w:tcPr>
            <w:tcW w:w="880" w:type="dxa"/>
            <w:vAlign w:val="bottom"/>
            <w:tcBorders>
              <w:bottom w:val="single" w:sz="8" w:color="auto"/>
            </w:tcBorders>
            <w:shd w:val="clear" w:color="auto" w:fill="E7E7E8"/>
          </w:tcPr>
          <w:p>
            <w:pPr>
              <w:jc w:val="right"/>
              <w:spacing w:after="0" w:line="243" w:lineRule="exact"/>
              <w:rPr>
                <w:sz w:val="20"/>
                <w:szCs w:val="20"/>
                <w:color w:val="auto"/>
              </w:rPr>
            </w:pPr>
            <w:r>
              <w:rPr>
                <w:rFonts w:ascii="Arial" w:cs="Arial" w:eastAsia="Arial" w:hAnsi="Arial"/>
                <w:sz w:val="13"/>
                <w:szCs w:val="13"/>
                <w:color w:val="auto"/>
              </w:rPr>
              <w:t>5,564</w:t>
            </w:r>
            <w:r>
              <w:rPr>
                <w:rFonts w:ascii="Arial" w:cs="Arial" w:eastAsia="Arial" w:hAnsi="Arial"/>
                <w:sz w:val="22"/>
                <w:szCs w:val="22"/>
                <w:color w:val="auto"/>
                <w:vertAlign w:val="superscript"/>
              </w:rPr>
              <w:t>4c</w:t>
            </w:r>
          </w:p>
        </w:tc>
        <w:tc>
          <w:tcPr>
            <w:tcW w:w="160" w:type="dxa"/>
            <w:vAlign w:val="bottom"/>
            <w:tcBorders>
              <w:bottom w:val="single" w:sz="8" w:color="E7E7E8"/>
              <w:right w:val="single" w:sz="8" w:color="E7E7E8"/>
            </w:tcBorders>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E7E7E8"/>
          </w:tcPr>
          <w:p>
            <w:pPr>
              <w:jc w:val="right"/>
              <w:ind w:right="35"/>
              <w:spacing w:after="0" w:line="243" w:lineRule="exact"/>
              <w:rPr>
                <w:sz w:val="20"/>
                <w:szCs w:val="20"/>
                <w:color w:val="auto"/>
              </w:rPr>
            </w:pPr>
            <w:r>
              <w:rPr>
                <w:rFonts w:ascii="Arial" w:cs="Arial" w:eastAsia="Arial" w:hAnsi="Arial"/>
                <w:sz w:val="13"/>
                <w:szCs w:val="13"/>
                <w:color w:val="auto"/>
              </w:rPr>
              <w:t>599,187</w:t>
            </w:r>
            <w:r>
              <w:rPr>
                <w:rFonts w:ascii="Arial" w:cs="Arial" w:eastAsia="Arial" w:hAnsi="Arial"/>
                <w:sz w:val="22"/>
                <w:szCs w:val="22"/>
                <w:color w:val="auto"/>
                <w:vertAlign w:val="superscript"/>
              </w:rPr>
              <w:t>4c</w:t>
            </w:r>
          </w:p>
        </w:tc>
        <w:tc>
          <w:tcPr>
            <w:tcW w:w="0" w:type="dxa"/>
            <w:vAlign w:val="bottom"/>
          </w:tcPr>
          <w:p>
            <w:pPr>
              <w:spacing w:after="0"/>
              <w:rPr>
                <w:sz w:val="1"/>
                <w:szCs w:val="1"/>
                <w:color w:val="auto"/>
              </w:rPr>
            </w:pPr>
          </w:p>
        </w:tc>
      </w:tr>
      <w:tr>
        <w:trPr>
          <w:trHeight w:val="242"/>
        </w:trPr>
        <w:tc>
          <w:tcPr>
            <w:tcW w:w="2240" w:type="dxa"/>
            <w:vAlign w:val="bottom"/>
            <w:tcBorders>
              <w:bottom w:val="single" w:sz="8" w:color="808080"/>
            </w:tcBorders>
            <w:shd w:val="clear" w:color="auto" w:fill="E7E7E8"/>
          </w:tcPr>
          <w:p>
            <w:pPr>
              <w:spacing w:after="0"/>
              <w:rPr>
                <w:sz w:val="21"/>
                <w:szCs w:val="21"/>
                <w:color w:val="auto"/>
              </w:rPr>
            </w:pPr>
          </w:p>
        </w:tc>
        <w:tc>
          <w:tcPr>
            <w:tcW w:w="140" w:type="dxa"/>
            <w:vAlign w:val="bottom"/>
            <w:tcBorders>
              <w:right w:val="single" w:sz="8" w:color="E7E7E8"/>
            </w:tcBorders>
            <w:shd w:val="clear" w:color="auto" w:fill="E7E7E8"/>
          </w:tcPr>
          <w:p>
            <w:pPr>
              <w:spacing w:after="0"/>
              <w:rPr>
                <w:sz w:val="21"/>
                <w:szCs w:val="21"/>
                <w:color w:val="auto"/>
              </w:rPr>
            </w:pPr>
          </w:p>
        </w:tc>
        <w:tc>
          <w:tcPr>
            <w:tcW w:w="8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12/5/2023</w:t>
            </w:r>
          </w:p>
        </w:tc>
        <w:tc>
          <w:tcPr>
            <w:tcW w:w="140" w:type="dxa"/>
            <w:vAlign w:val="bottom"/>
            <w:shd w:val="clear" w:color="auto" w:fill="E7E7E8"/>
          </w:tcPr>
          <w:p>
            <w:pPr>
              <w:spacing w:after="0"/>
              <w:rPr>
                <w:sz w:val="21"/>
                <w:szCs w:val="21"/>
                <w:color w:val="auto"/>
              </w:rPr>
            </w:pPr>
          </w:p>
        </w:tc>
        <w:tc>
          <w:tcPr>
            <w:tcW w:w="40" w:type="dxa"/>
            <w:vAlign w:val="bottom"/>
            <w:tcBorders>
              <w:bottom w:val="single" w:sz="8" w:color="auto"/>
              <w:right w:val="single" w:sz="8" w:color="E7E7E8"/>
            </w:tcBorders>
            <w:shd w:val="clear" w:color="auto" w:fill="E7E7E8"/>
          </w:tcPr>
          <w:p>
            <w:pPr>
              <w:spacing w:after="0"/>
              <w:rPr>
                <w:sz w:val="21"/>
                <w:szCs w:val="21"/>
                <w:color w:val="auto"/>
              </w:rPr>
            </w:pPr>
          </w:p>
        </w:tc>
        <w:tc>
          <w:tcPr>
            <w:tcW w:w="9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right w:val="single" w:sz="8" w:color="E7E7E8"/>
            </w:tcBorders>
            <w:shd w:val="clear" w:color="auto" w:fill="E7E7E8"/>
          </w:tcPr>
          <w:p>
            <w:pPr>
              <w:spacing w:after="0"/>
              <w:rPr>
                <w:sz w:val="21"/>
                <w:szCs w:val="21"/>
                <w:color w:val="auto"/>
              </w:rPr>
            </w:pPr>
          </w:p>
        </w:tc>
        <w:tc>
          <w:tcPr>
            <w:tcW w:w="880" w:type="dxa"/>
            <w:vAlign w:val="bottom"/>
            <w:tcBorders>
              <w:bottom w:val="single" w:sz="8" w:color="auto"/>
            </w:tcBorders>
            <w:shd w:val="clear" w:color="auto" w:fill="E7E7E8"/>
          </w:tcPr>
          <w:p>
            <w:pPr>
              <w:spacing w:after="0"/>
              <w:rPr>
                <w:sz w:val="21"/>
                <w:szCs w:val="21"/>
                <w:color w:val="auto"/>
              </w:rPr>
            </w:pPr>
          </w:p>
        </w:tc>
        <w:tc>
          <w:tcPr>
            <w:tcW w:w="160" w:type="dxa"/>
            <w:vAlign w:val="bottom"/>
            <w:tcBorders>
              <w:right w:val="single" w:sz="8" w:color="E7E7E8"/>
            </w:tcBorders>
            <w:shd w:val="clear" w:color="auto" w:fill="E7E7E8"/>
          </w:tcPr>
          <w:p>
            <w:pPr>
              <w:spacing w:after="0"/>
              <w:rPr>
                <w:sz w:val="21"/>
                <w:szCs w:val="21"/>
                <w:color w:val="auto"/>
              </w:rPr>
            </w:pPr>
          </w:p>
        </w:tc>
        <w:tc>
          <w:tcPr>
            <w:tcW w:w="880" w:type="dxa"/>
            <w:vAlign w:val="bottom"/>
            <w:tcBorders>
              <w:bottom w:val="single" w:sz="8" w:color="auto"/>
            </w:tcBorders>
            <w:shd w:val="clear" w:color="auto" w:fill="E7E7E8"/>
          </w:tcPr>
          <w:p>
            <w:pPr>
              <w:spacing w:after="0"/>
              <w:rPr>
                <w:sz w:val="21"/>
                <w:szCs w:val="21"/>
                <w:color w:val="auto"/>
              </w:rPr>
            </w:pPr>
          </w:p>
        </w:tc>
        <w:tc>
          <w:tcPr>
            <w:tcW w:w="160" w:type="dxa"/>
            <w:vAlign w:val="bottom"/>
            <w:tcBorders>
              <w:right w:val="single" w:sz="8" w:color="E7E7E8"/>
            </w:tcBorders>
            <w:shd w:val="clear" w:color="auto" w:fill="E7E7E8"/>
          </w:tcPr>
          <w:p>
            <w:pPr>
              <w:spacing w:after="0"/>
              <w:rPr>
                <w:sz w:val="21"/>
                <w:szCs w:val="21"/>
                <w:color w:val="auto"/>
              </w:rPr>
            </w:pPr>
          </w:p>
        </w:tc>
        <w:tc>
          <w:tcPr>
            <w:tcW w:w="1080" w:type="dxa"/>
            <w:vAlign w:val="bottom"/>
            <w:tcBorders>
              <w:bottom w:val="single" w:sz="8" w:color="auto"/>
            </w:tcBorders>
            <w:shd w:val="clear" w:color="auto" w:fill="E7E7E8"/>
          </w:tcPr>
          <w:p>
            <w:pPr>
              <w:jc w:val="right"/>
              <w:ind w:right="15"/>
              <w:spacing w:after="0" w:line="243" w:lineRule="exact"/>
              <w:rPr>
                <w:sz w:val="20"/>
                <w:szCs w:val="20"/>
                <w:color w:val="auto"/>
              </w:rPr>
            </w:pPr>
            <w:r>
              <w:rPr>
                <w:rFonts w:ascii="Arial" w:cs="Arial" w:eastAsia="Arial" w:hAnsi="Arial"/>
                <w:sz w:val="13"/>
                <w:szCs w:val="13"/>
                <w:color w:val="auto"/>
              </w:rPr>
              <w:t>6,341</w:t>
            </w:r>
            <w:r>
              <w:rPr>
                <w:rFonts w:ascii="Arial" w:cs="Arial" w:eastAsia="Arial" w:hAnsi="Arial"/>
                <w:sz w:val="22"/>
                <w:szCs w:val="22"/>
                <w:color w:val="auto"/>
                <w:vertAlign w:val="superscript"/>
              </w:rPr>
              <w:t>5c</w:t>
            </w:r>
          </w:p>
        </w:tc>
        <w:tc>
          <w:tcPr>
            <w:tcW w:w="160" w:type="dxa"/>
            <w:vAlign w:val="bottom"/>
            <w:tcBorders>
              <w:right w:val="single" w:sz="8" w:color="E7E7E8"/>
            </w:tcBorders>
            <w:shd w:val="clear" w:color="auto" w:fill="E7E7E8"/>
          </w:tcPr>
          <w:p>
            <w:pPr>
              <w:spacing w:after="0"/>
              <w:rPr>
                <w:sz w:val="21"/>
                <w:szCs w:val="21"/>
                <w:color w:val="auto"/>
              </w:rPr>
            </w:pPr>
          </w:p>
        </w:tc>
        <w:tc>
          <w:tcPr>
            <w:tcW w:w="2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E7E7E8"/>
          </w:tcPr>
          <w:p>
            <w:pPr>
              <w:jc w:val="right"/>
              <w:ind w:right="36"/>
              <w:spacing w:after="0" w:line="243" w:lineRule="exact"/>
              <w:rPr>
                <w:sz w:val="20"/>
                <w:szCs w:val="20"/>
                <w:color w:val="auto"/>
              </w:rPr>
            </w:pPr>
            <w:r>
              <w:rPr>
                <w:rFonts w:ascii="Arial" w:cs="Arial" w:eastAsia="Arial" w:hAnsi="Arial"/>
                <w:sz w:val="13"/>
                <w:szCs w:val="13"/>
                <w:color w:val="auto"/>
              </w:rPr>
              <w:t>682,862</w:t>
            </w:r>
            <w:r>
              <w:rPr>
                <w:rFonts w:ascii="Arial" w:cs="Arial" w:eastAsia="Arial" w:hAnsi="Arial"/>
                <w:sz w:val="22"/>
                <w:szCs w:val="22"/>
                <w:color w:val="auto"/>
                <w:vertAlign w:val="superscript"/>
              </w:rPr>
              <w:t>5c</w:t>
            </w:r>
          </w:p>
        </w:tc>
        <w:tc>
          <w:tcPr>
            <w:tcW w:w="160" w:type="dxa"/>
            <w:vAlign w:val="bottom"/>
            <w:tcBorders>
              <w:right w:val="single" w:sz="8" w:color="E7E7E8"/>
            </w:tcBorders>
            <w:shd w:val="clear" w:color="auto" w:fill="E7E7E8"/>
          </w:tcPr>
          <w:p>
            <w:pPr>
              <w:spacing w:after="0"/>
              <w:rPr>
                <w:sz w:val="21"/>
                <w:szCs w:val="21"/>
                <w:color w:val="auto"/>
              </w:rPr>
            </w:pPr>
          </w:p>
        </w:tc>
        <w:tc>
          <w:tcPr>
            <w:tcW w:w="880" w:type="dxa"/>
            <w:vAlign w:val="bottom"/>
            <w:tcBorders>
              <w:bottom w:val="single" w:sz="8" w:color="auto"/>
            </w:tcBorders>
            <w:shd w:val="clear" w:color="auto" w:fill="E7E7E8"/>
          </w:tcPr>
          <w:p>
            <w:pPr>
              <w:jc w:val="right"/>
              <w:spacing w:after="0" w:line="243" w:lineRule="exact"/>
              <w:rPr>
                <w:sz w:val="20"/>
                <w:szCs w:val="20"/>
                <w:color w:val="auto"/>
              </w:rPr>
            </w:pPr>
            <w:r>
              <w:rPr>
                <w:rFonts w:ascii="Arial" w:cs="Arial" w:eastAsia="Arial" w:hAnsi="Arial"/>
                <w:sz w:val="13"/>
                <w:szCs w:val="13"/>
                <w:color w:val="auto"/>
              </w:rPr>
              <w:t>6,341</w:t>
            </w:r>
            <w:r>
              <w:rPr>
                <w:rFonts w:ascii="Arial" w:cs="Arial" w:eastAsia="Arial" w:hAnsi="Arial"/>
                <w:sz w:val="22"/>
                <w:szCs w:val="22"/>
                <w:color w:val="auto"/>
                <w:vertAlign w:val="superscript"/>
              </w:rPr>
              <w:t>4d</w:t>
            </w:r>
          </w:p>
        </w:tc>
        <w:tc>
          <w:tcPr>
            <w:tcW w:w="160" w:type="dxa"/>
            <w:vAlign w:val="bottom"/>
            <w:tcBorders>
              <w:right w:val="single" w:sz="8" w:color="E7E7E8"/>
            </w:tcBorders>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E7E7E8"/>
          </w:tcPr>
          <w:p>
            <w:pPr>
              <w:jc w:val="right"/>
              <w:ind w:right="35"/>
              <w:spacing w:after="0" w:line="243" w:lineRule="exact"/>
              <w:rPr>
                <w:sz w:val="20"/>
                <w:szCs w:val="20"/>
                <w:color w:val="auto"/>
              </w:rPr>
            </w:pPr>
            <w:r>
              <w:rPr>
                <w:rFonts w:ascii="Arial" w:cs="Arial" w:eastAsia="Arial" w:hAnsi="Arial"/>
                <w:sz w:val="13"/>
                <w:szCs w:val="13"/>
                <w:color w:val="auto"/>
              </w:rPr>
              <w:t>682,862</w:t>
            </w:r>
            <w:r>
              <w:rPr>
                <w:rFonts w:ascii="Arial" w:cs="Arial" w:eastAsia="Arial" w:hAnsi="Arial"/>
                <w:sz w:val="22"/>
                <w:szCs w:val="22"/>
                <w:color w:val="auto"/>
                <w:vertAlign w:val="superscript"/>
              </w:rPr>
              <w:t>4d</w:t>
            </w:r>
          </w:p>
        </w:tc>
        <w:tc>
          <w:tcPr>
            <w:tcW w:w="0" w:type="dxa"/>
            <w:vAlign w:val="bottom"/>
          </w:tcPr>
          <w:p>
            <w:pPr>
              <w:spacing w:after="0"/>
              <w:rPr>
                <w:sz w:val="1"/>
                <w:szCs w:val="1"/>
                <w:color w:val="auto"/>
              </w:rPr>
            </w:pPr>
          </w:p>
        </w:tc>
      </w:tr>
      <w:tr>
        <w:trPr>
          <w:trHeight w:val="191"/>
        </w:trPr>
        <w:tc>
          <w:tcPr>
            <w:tcW w:w="2240" w:type="dxa"/>
            <w:vAlign w:val="bottom"/>
          </w:tcPr>
          <w:p>
            <w:pPr>
              <w:ind w:left="60"/>
              <w:spacing w:after="0"/>
              <w:rPr>
                <w:sz w:val="20"/>
                <w:szCs w:val="20"/>
                <w:color w:val="auto"/>
              </w:rPr>
            </w:pPr>
            <w:r>
              <w:rPr>
                <w:rFonts w:ascii="Arial" w:cs="Arial" w:eastAsia="Arial" w:hAnsi="Arial"/>
                <w:sz w:val="13"/>
                <w:szCs w:val="13"/>
                <w:b w:val="1"/>
                <w:bCs w:val="1"/>
                <w:color w:val="00254F"/>
              </w:rPr>
              <w:t>Justin Thomson</w:t>
            </w:r>
          </w:p>
        </w:tc>
        <w:tc>
          <w:tcPr>
            <w:tcW w:w="14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9/9/2014</w:t>
            </w:r>
          </w:p>
        </w:tc>
        <w:tc>
          <w:tcPr>
            <w:tcW w:w="140" w:type="dxa"/>
            <w:vAlign w:val="bottom"/>
          </w:tcPr>
          <w:p>
            <w:pPr>
              <w:spacing w:after="0"/>
              <w:rPr>
                <w:sz w:val="16"/>
                <w:szCs w:val="16"/>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11,969</w:t>
            </w:r>
          </w:p>
        </w:tc>
        <w:tc>
          <w:tcPr>
            <w:tcW w:w="1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$77.24</w:t>
            </w:r>
          </w:p>
        </w:tc>
        <w:tc>
          <w:tcPr>
            <w:tcW w:w="1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9/9/2024</w:t>
            </w:r>
          </w:p>
        </w:tc>
        <w:tc>
          <w:tcPr>
            <w:tcW w:w="160" w:type="dxa"/>
            <w:vAlign w:val="bottom"/>
          </w:tcPr>
          <w:p>
            <w:pPr>
              <w:spacing w:after="0"/>
              <w:rPr>
                <w:sz w:val="16"/>
                <w:szCs w:val="16"/>
                <w:color w:val="auto"/>
              </w:rPr>
            </w:pPr>
          </w:p>
        </w:tc>
        <w:tc>
          <w:tcPr>
            <w:tcW w:w="1080" w:type="dxa"/>
            <w:vAlign w:val="bottom"/>
            <w:tcBorders>
              <w:bottom w:val="single" w:sz="8" w:color="auto"/>
            </w:tcBorders>
          </w:tcPr>
          <w:p>
            <w:pPr>
              <w:jc w:val="center"/>
              <w:ind w:left="475"/>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left="116"/>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8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2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2/19/2015</w:t>
            </w:r>
          </w:p>
        </w:tc>
        <w:tc>
          <w:tcPr>
            <w:tcW w:w="140" w:type="dxa"/>
            <w:vAlign w:val="bottom"/>
          </w:tcPr>
          <w:p>
            <w:pPr>
              <w:spacing w:after="0"/>
              <w:rPr>
                <w:sz w:val="16"/>
                <w:szCs w:val="16"/>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13,530</w:t>
            </w:r>
          </w:p>
        </w:tc>
        <w:tc>
          <w:tcPr>
            <w:tcW w:w="1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$79.71</w:t>
            </w:r>
          </w:p>
        </w:tc>
        <w:tc>
          <w:tcPr>
            <w:tcW w:w="1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2/19/2025</w:t>
            </w:r>
          </w:p>
        </w:tc>
        <w:tc>
          <w:tcPr>
            <w:tcW w:w="160" w:type="dxa"/>
            <w:vAlign w:val="bottom"/>
          </w:tcPr>
          <w:p>
            <w:pPr>
              <w:spacing w:after="0"/>
              <w:rPr>
                <w:sz w:val="16"/>
                <w:szCs w:val="16"/>
                <w:color w:val="auto"/>
              </w:rPr>
            </w:pPr>
          </w:p>
        </w:tc>
        <w:tc>
          <w:tcPr>
            <w:tcW w:w="1080" w:type="dxa"/>
            <w:vAlign w:val="bottom"/>
            <w:tcBorders>
              <w:bottom w:val="single" w:sz="8" w:color="auto"/>
            </w:tcBorders>
          </w:tcPr>
          <w:p>
            <w:pPr>
              <w:jc w:val="center"/>
              <w:ind w:left="475"/>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left="116"/>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8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2"/>
        </w:trPr>
        <w:tc>
          <w:tcPr>
            <w:tcW w:w="2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9/10/2015</w:t>
            </w:r>
          </w:p>
        </w:tc>
        <w:tc>
          <w:tcPr>
            <w:tcW w:w="140" w:type="dxa"/>
            <w:vAlign w:val="bottom"/>
          </w:tcPr>
          <w:p>
            <w:pPr>
              <w:spacing w:after="0"/>
              <w:rPr>
                <w:sz w:val="16"/>
                <w:szCs w:val="16"/>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13,201</w:t>
            </w:r>
          </w:p>
        </w:tc>
        <w:tc>
          <w:tcPr>
            <w:tcW w:w="1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$69.84</w:t>
            </w:r>
          </w:p>
        </w:tc>
        <w:tc>
          <w:tcPr>
            <w:tcW w:w="1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9/10/2025</w:t>
            </w:r>
          </w:p>
        </w:tc>
        <w:tc>
          <w:tcPr>
            <w:tcW w:w="160" w:type="dxa"/>
            <w:vAlign w:val="bottom"/>
          </w:tcPr>
          <w:p>
            <w:pPr>
              <w:spacing w:after="0"/>
              <w:rPr>
                <w:sz w:val="16"/>
                <w:szCs w:val="16"/>
                <w:color w:val="auto"/>
              </w:rPr>
            </w:pPr>
          </w:p>
        </w:tc>
        <w:tc>
          <w:tcPr>
            <w:tcW w:w="1080" w:type="dxa"/>
            <w:vAlign w:val="bottom"/>
            <w:tcBorders>
              <w:bottom w:val="single" w:sz="8" w:color="auto"/>
            </w:tcBorders>
          </w:tcPr>
          <w:p>
            <w:pPr>
              <w:jc w:val="center"/>
              <w:ind w:left="475"/>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left="116"/>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8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6"/>
        </w:trPr>
        <w:tc>
          <w:tcPr>
            <w:tcW w:w="2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12/3/2019</w:t>
            </w:r>
          </w:p>
        </w:tc>
        <w:tc>
          <w:tcPr>
            <w:tcW w:w="14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Borders>
              <w:bottom w:val="single" w:sz="8" w:color="auto"/>
            </w:tcBorders>
          </w:tcPr>
          <w:p>
            <w:pPr>
              <w:jc w:val="right"/>
              <w:ind w:right="35"/>
              <w:spacing w:after="0" w:line="246" w:lineRule="exact"/>
              <w:rPr>
                <w:sz w:val="20"/>
                <w:szCs w:val="20"/>
                <w:color w:val="auto"/>
              </w:rPr>
            </w:pPr>
            <w:r>
              <w:rPr>
                <w:rFonts w:ascii="Arial" w:cs="Arial" w:eastAsia="Arial" w:hAnsi="Arial"/>
                <w:sz w:val="13"/>
                <w:szCs w:val="13"/>
                <w:color w:val="auto"/>
              </w:rPr>
              <w:t>3,254</w:t>
            </w:r>
            <w:r>
              <w:rPr>
                <w:rFonts w:ascii="Times New Roman" w:cs="Times New Roman" w:eastAsia="Times New Roman" w:hAnsi="Times New Roman"/>
                <w:sz w:val="22"/>
                <w:szCs w:val="22"/>
                <w:color w:val="auto"/>
                <w:vertAlign w:val="superscript"/>
              </w:rPr>
              <w:t>5a</w:t>
            </w:r>
          </w:p>
        </w:tc>
        <w:tc>
          <w:tcPr>
            <w:tcW w:w="160" w:type="dxa"/>
            <w:vAlign w:val="bottom"/>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36"/>
              <w:spacing w:after="0" w:line="246" w:lineRule="exact"/>
              <w:rPr>
                <w:sz w:val="20"/>
                <w:szCs w:val="20"/>
                <w:color w:val="auto"/>
              </w:rPr>
            </w:pPr>
            <w:r>
              <w:rPr>
                <w:rFonts w:ascii="Arial" w:cs="Arial" w:eastAsia="Arial" w:hAnsi="Arial"/>
                <w:sz w:val="13"/>
                <w:szCs w:val="13"/>
                <w:color w:val="auto"/>
              </w:rPr>
              <w:t>350,423</w:t>
            </w:r>
            <w:r>
              <w:rPr>
                <w:rFonts w:ascii="Arial" w:cs="Arial" w:eastAsia="Arial" w:hAnsi="Arial"/>
                <w:sz w:val="22"/>
                <w:szCs w:val="22"/>
                <w:color w:val="auto"/>
                <w:vertAlign w:val="superscript"/>
              </w:rPr>
              <w:t>5a</w:t>
            </w:r>
          </w:p>
        </w:tc>
        <w:tc>
          <w:tcPr>
            <w:tcW w:w="160" w:type="dxa"/>
            <w:vAlign w:val="bottom"/>
          </w:tcPr>
          <w:p>
            <w:pPr>
              <w:spacing w:after="0"/>
              <w:rPr>
                <w:sz w:val="21"/>
                <w:szCs w:val="21"/>
                <w:color w:val="auto"/>
              </w:rPr>
            </w:pPr>
          </w:p>
        </w:tc>
        <w:tc>
          <w:tcPr>
            <w:tcW w:w="8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2"/>
        </w:trPr>
        <w:tc>
          <w:tcPr>
            <w:tcW w:w="2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12/8/2020</w:t>
            </w:r>
          </w:p>
        </w:tc>
        <w:tc>
          <w:tcPr>
            <w:tcW w:w="14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Borders>
              <w:bottom w:val="single" w:sz="8" w:color="auto"/>
            </w:tcBorders>
          </w:tcPr>
          <w:p>
            <w:pPr>
              <w:jc w:val="right"/>
              <w:ind w:right="35"/>
              <w:spacing w:after="0" w:line="243" w:lineRule="exact"/>
              <w:rPr>
                <w:sz w:val="20"/>
                <w:szCs w:val="20"/>
                <w:color w:val="auto"/>
              </w:rPr>
            </w:pPr>
            <w:r>
              <w:rPr>
                <w:rFonts w:ascii="Arial" w:cs="Arial" w:eastAsia="Arial" w:hAnsi="Arial"/>
                <w:sz w:val="13"/>
                <w:szCs w:val="13"/>
                <w:color w:val="auto"/>
              </w:rPr>
              <w:t>6,006</w:t>
            </w:r>
            <w:r>
              <w:rPr>
                <w:rFonts w:ascii="Times New Roman" w:cs="Times New Roman" w:eastAsia="Times New Roman" w:hAnsi="Times New Roman"/>
                <w:sz w:val="22"/>
                <w:szCs w:val="22"/>
                <w:color w:val="auto"/>
                <w:vertAlign w:val="superscript"/>
              </w:rPr>
              <w:t>5b</w:t>
            </w:r>
          </w:p>
        </w:tc>
        <w:tc>
          <w:tcPr>
            <w:tcW w:w="160" w:type="dxa"/>
            <w:vAlign w:val="bottom"/>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36"/>
              <w:spacing w:after="0" w:line="243" w:lineRule="exact"/>
              <w:rPr>
                <w:sz w:val="20"/>
                <w:szCs w:val="20"/>
                <w:color w:val="auto"/>
              </w:rPr>
            </w:pPr>
            <w:r>
              <w:rPr>
                <w:rFonts w:ascii="Arial" w:cs="Arial" w:eastAsia="Arial" w:hAnsi="Arial"/>
                <w:sz w:val="13"/>
                <w:szCs w:val="13"/>
                <w:color w:val="auto"/>
              </w:rPr>
              <w:t>646,786</w:t>
            </w:r>
            <w:r>
              <w:rPr>
                <w:rFonts w:ascii="Arial" w:cs="Arial" w:eastAsia="Arial" w:hAnsi="Arial"/>
                <w:sz w:val="22"/>
                <w:szCs w:val="22"/>
                <w:color w:val="auto"/>
                <w:vertAlign w:val="superscript"/>
              </w:rPr>
              <w:t>5b</w:t>
            </w:r>
          </w:p>
        </w:tc>
        <w:tc>
          <w:tcPr>
            <w:tcW w:w="160" w:type="dxa"/>
            <w:vAlign w:val="bottom"/>
          </w:tcPr>
          <w:p>
            <w:pPr>
              <w:spacing w:after="0"/>
              <w:rPr>
                <w:sz w:val="21"/>
                <w:szCs w:val="21"/>
                <w:color w:val="auto"/>
              </w:rPr>
            </w:pPr>
          </w:p>
        </w:tc>
        <w:tc>
          <w:tcPr>
            <w:tcW w:w="8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2"/>
        </w:trPr>
        <w:tc>
          <w:tcPr>
            <w:tcW w:w="2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12/7/2021</w:t>
            </w:r>
          </w:p>
        </w:tc>
        <w:tc>
          <w:tcPr>
            <w:tcW w:w="14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Borders>
              <w:bottom w:val="single" w:sz="8" w:color="auto"/>
            </w:tcBorders>
          </w:tcPr>
          <w:p>
            <w:pPr>
              <w:jc w:val="right"/>
              <w:ind w:right="35"/>
              <w:spacing w:after="0" w:line="243" w:lineRule="exact"/>
              <w:rPr>
                <w:sz w:val="20"/>
                <w:szCs w:val="20"/>
                <w:color w:val="auto"/>
              </w:rPr>
            </w:pPr>
            <w:r>
              <w:rPr>
                <w:rFonts w:ascii="Arial" w:cs="Arial" w:eastAsia="Arial" w:hAnsi="Arial"/>
                <w:sz w:val="13"/>
                <w:szCs w:val="13"/>
                <w:color w:val="auto"/>
              </w:rPr>
              <w:t>2,326</w:t>
            </w:r>
            <w:r>
              <w:rPr>
                <w:rFonts w:ascii="Times New Roman" w:cs="Times New Roman" w:eastAsia="Times New Roman" w:hAnsi="Times New Roman"/>
                <w:sz w:val="22"/>
                <w:szCs w:val="22"/>
                <w:color w:val="auto"/>
                <w:vertAlign w:val="superscript"/>
              </w:rPr>
              <w:t>5a</w:t>
            </w:r>
          </w:p>
        </w:tc>
        <w:tc>
          <w:tcPr>
            <w:tcW w:w="160" w:type="dxa"/>
            <w:vAlign w:val="bottom"/>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36"/>
              <w:spacing w:after="0" w:line="243" w:lineRule="exact"/>
              <w:rPr>
                <w:sz w:val="20"/>
                <w:szCs w:val="20"/>
                <w:color w:val="auto"/>
              </w:rPr>
            </w:pPr>
            <w:r>
              <w:rPr>
                <w:rFonts w:ascii="Arial" w:cs="Arial" w:eastAsia="Arial" w:hAnsi="Arial"/>
                <w:sz w:val="13"/>
                <w:szCs w:val="13"/>
                <w:color w:val="auto"/>
              </w:rPr>
              <w:t>250,487</w:t>
            </w:r>
            <w:r>
              <w:rPr>
                <w:rFonts w:ascii="Arial" w:cs="Arial" w:eastAsia="Arial" w:hAnsi="Arial"/>
                <w:sz w:val="22"/>
                <w:szCs w:val="22"/>
                <w:color w:val="auto"/>
                <w:vertAlign w:val="superscript"/>
              </w:rPr>
              <w:t>5a</w:t>
            </w:r>
          </w:p>
        </w:tc>
        <w:tc>
          <w:tcPr>
            <w:tcW w:w="160" w:type="dxa"/>
            <w:vAlign w:val="bottom"/>
          </w:tcPr>
          <w:p>
            <w:pPr>
              <w:spacing w:after="0"/>
              <w:rPr>
                <w:sz w:val="21"/>
                <w:szCs w:val="21"/>
                <w:color w:val="auto"/>
              </w:rPr>
            </w:pPr>
          </w:p>
        </w:tc>
        <w:tc>
          <w:tcPr>
            <w:tcW w:w="88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13"/>
                <w:szCs w:val="13"/>
                <w:color w:val="auto"/>
              </w:rPr>
              <w:t>6,978</w:t>
            </w:r>
            <w:r>
              <w:rPr>
                <w:rFonts w:ascii="Arial" w:cs="Arial" w:eastAsia="Arial" w:hAnsi="Arial"/>
                <w:sz w:val="22"/>
                <w:szCs w:val="22"/>
                <w:color w:val="auto"/>
                <w:vertAlign w:val="superscript"/>
              </w:rPr>
              <w:t>4b</w:t>
            </w:r>
          </w:p>
        </w:tc>
        <w:tc>
          <w:tcPr>
            <w:tcW w:w="160" w:type="dxa"/>
            <w:vAlign w:val="bottom"/>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5"/>
              <w:spacing w:after="0" w:line="243" w:lineRule="exact"/>
              <w:rPr>
                <w:sz w:val="20"/>
                <w:szCs w:val="20"/>
                <w:color w:val="auto"/>
              </w:rPr>
            </w:pPr>
            <w:r>
              <w:rPr>
                <w:rFonts w:ascii="Arial" w:cs="Arial" w:eastAsia="Arial" w:hAnsi="Arial"/>
                <w:sz w:val="13"/>
                <w:szCs w:val="13"/>
                <w:color w:val="auto"/>
              </w:rPr>
              <w:t>751,461</w:t>
            </w:r>
            <w:r>
              <w:rPr>
                <w:rFonts w:ascii="Arial" w:cs="Arial" w:eastAsia="Arial" w:hAnsi="Arial"/>
                <w:sz w:val="22"/>
                <w:szCs w:val="22"/>
                <w:color w:val="auto"/>
                <w:vertAlign w:val="superscript"/>
              </w:rPr>
              <w:t>4b</w:t>
            </w:r>
          </w:p>
        </w:tc>
        <w:tc>
          <w:tcPr>
            <w:tcW w:w="0" w:type="dxa"/>
            <w:vAlign w:val="bottom"/>
          </w:tcPr>
          <w:p>
            <w:pPr>
              <w:spacing w:after="0"/>
              <w:rPr>
                <w:sz w:val="1"/>
                <w:szCs w:val="1"/>
                <w:color w:val="auto"/>
              </w:rPr>
            </w:pPr>
          </w:p>
        </w:tc>
      </w:tr>
      <w:tr>
        <w:trPr>
          <w:trHeight w:val="242"/>
        </w:trPr>
        <w:tc>
          <w:tcPr>
            <w:tcW w:w="2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12/6/2022</w:t>
            </w:r>
          </w:p>
        </w:tc>
        <w:tc>
          <w:tcPr>
            <w:tcW w:w="14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Borders>
              <w:bottom w:val="single" w:sz="8" w:color="auto"/>
            </w:tcBorders>
          </w:tcPr>
          <w:p>
            <w:pPr>
              <w:jc w:val="center"/>
              <w:ind w:left="475"/>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center"/>
              <w:ind w:left="116"/>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88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13"/>
                <w:szCs w:val="13"/>
                <w:color w:val="auto"/>
              </w:rPr>
              <w:t>15,813</w:t>
            </w:r>
            <w:r>
              <w:rPr>
                <w:rFonts w:ascii="Arial" w:cs="Arial" w:eastAsia="Arial" w:hAnsi="Arial"/>
                <w:sz w:val="22"/>
                <w:szCs w:val="22"/>
                <w:color w:val="auto"/>
                <w:vertAlign w:val="superscript"/>
              </w:rPr>
              <w:t>4c</w:t>
            </w:r>
          </w:p>
        </w:tc>
        <w:tc>
          <w:tcPr>
            <w:tcW w:w="160" w:type="dxa"/>
            <w:vAlign w:val="bottom"/>
          </w:tcPr>
          <w:p>
            <w:pPr>
              <w:spacing w:after="0"/>
              <w:rPr>
                <w:sz w:val="21"/>
                <w:szCs w:val="21"/>
                <w:color w:val="auto"/>
              </w:rPr>
            </w:pPr>
          </w:p>
        </w:tc>
        <w:tc>
          <w:tcPr>
            <w:tcW w:w="1160" w:type="dxa"/>
            <w:vAlign w:val="bottom"/>
            <w:tcBorders>
              <w:bottom w:val="single" w:sz="8" w:color="auto"/>
            </w:tcBorders>
            <w:gridSpan w:val="2"/>
          </w:tcPr>
          <w:p>
            <w:pPr>
              <w:jc w:val="right"/>
              <w:ind w:right="35"/>
              <w:spacing w:after="0" w:line="243" w:lineRule="exact"/>
              <w:rPr>
                <w:sz w:val="20"/>
                <w:szCs w:val="20"/>
                <w:color w:val="auto"/>
              </w:rPr>
            </w:pPr>
            <w:r>
              <w:rPr>
                <w:rFonts w:ascii="Arial" w:cs="Arial" w:eastAsia="Arial" w:hAnsi="Arial"/>
                <w:sz w:val="13"/>
                <w:szCs w:val="13"/>
                <w:color w:val="auto"/>
              </w:rPr>
              <w:t>$ 1,702,902</w:t>
            </w:r>
            <w:r>
              <w:rPr>
                <w:rFonts w:ascii="Arial" w:cs="Arial" w:eastAsia="Arial" w:hAnsi="Arial"/>
                <w:sz w:val="22"/>
                <w:szCs w:val="22"/>
                <w:color w:val="auto"/>
                <w:vertAlign w:val="superscript"/>
              </w:rPr>
              <w:t>4c</w:t>
            </w:r>
          </w:p>
        </w:tc>
        <w:tc>
          <w:tcPr>
            <w:tcW w:w="0" w:type="dxa"/>
            <w:vAlign w:val="bottom"/>
          </w:tcPr>
          <w:p>
            <w:pPr>
              <w:spacing w:after="0"/>
              <w:rPr>
                <w:sz w:val="1"/>
                <w:szCs w:val="1"/>
                <w:color w:val="auto"/>
              </w:rPr>
            </w:pPr>
          </w:p>
        </w:tc>
      </w:tr>
      <w:tr>
        <w:trPr>
          <w:trHeight w:val="242"/>
        </w:trPr>
        <w:tc>
          <w:tcPr>
            <w:tcW w:w="2240" w:type="dxa"/>
            <w:vAlign w:val="bottom"/>
            <w:tcBorders>
              <w:bottom w:val="single" w:sz="8" w:color="939598"/>
            </w:tcBorders>
          </w:tcPr>
          <w:p>
            <w:pPr>
              <w:spacing w:after="0"/>
              <w:rPr>
                <w:sz w:val="21"/>
                <w:szCs w:val="21"/>
                <w:color w:val="auto"/>
              </w:rPr>
            </w:pPr>
          </w:p>
        </w:tc>
        <w:tc>
          <w:tcPr>
            <w:tcW w:w="140" w:type="dxa"/>
            <w:vAlign w:val="bottom"/>
            <w:tcBorders>
              <w:bottom w:val="single" w:sz="8" w:color="E7E7E8"/>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12/5/2023</w:t>
            </w:r>
          </w:p>
        </w:tc>
        <w:tc>
          <w:tcPr>
            <w:tcW w:w="140" w:type="dxa"/>
            <w:vAlign w:val="bottom"/>
            <w:tcBorders>
              <w:bottom w:val="single" w:sz="8" w:color="E7E7E8"/>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E7E7E8"/>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0" w:type="dxa"/>
            <w:vAlign w:val="bottom"/>
            <w:tcBorders>
              <w:bottom w:val="single" w:sz="8" w:color="E7E7E8"/>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0" w:type="dxa"/>
            <w:vAlign w:val="bottom"/>
            <w:tcBorders>
              <w:bottom w:val="single" w:sz="8" w:color="E7E7E8"/>
            </w:tcBorders>
          </w:tcPr>
          <w:p>
            <w:pPr>
              <w:spacing w:after="0"/>
              <w:rPr>
                <w:sz w:val="21"/>
                <w:szCs w:val="21"/>
                <w:color w:val="auto"/>
              </w:rPr>
            </w:pPr>
          </w:p>
        </w:tc>
        <w:tc>
          <w:tcPr>
            <w:tcW w:w="1080" w:type="dxa"/>
            <w:vAlign w:val="bottom"/>
            <w:tcBorders>
              <w:bottom w:val="single" w:sz="8" w:color="auto"/>
            </w:tcBorders>
          </w:tcPr>
          <w:p>
            <w:pPr>
              <w:jc w:val="center"/>
              <w:ind w:left="475"/>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E7E7E8"/>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center"/>
              <w:ind w:left="116"/>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E7E7E8"/>
            </w:tcBorders>
          </w:tcPr>
          <w:p>
            <w:pPr>
              <w:spacing w:after="0"/>
              <w:rPr>
                <w:sz w:val="21"/>
                <w:szCs w:val="21"/>
                <w:color w:val="auto"/>
              </w:rPr>
            </w:pPr>
          </w:p>
        </w:tc>
        <w:tc>
          <w:tcPr>
            <w:tcW w:w="88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13"/>
                <w:szCs w:val="13"/>
                <w:color w:val="auto"/>
              </w:rPr>
              <w:t>15,915</w:t>
            </w:r>
            <w:r>
              <w:rPr>
                <w:rFonts w:ascii="Arial" w:cs="Arial" w:eastAsia="Arial" w:hAnsi="Arial"/>
                <w:sz w:val="22"/>
                <w:szCs w:val="22"/>
                <w:color w:val="auto"/>
                <w:vertAlign w:val="superscript"/>
              </w:rPr>
              <w:t>4d</w:t>
            </w:r>
          </w:p>
        </w:tc>
        <w:tc>
          <w:tcPr>
            <w:tcW w:w="160" w:type="dxa"/>
            <w:vAlign w:val="bottom"/>
            <w:tcBorders>
              <w:bottom w:val="single" w:sz="8" w:color="E7E7E8"/>
            </w:tcBorders>
          </w:tcPr>
          <w:p>
            <w:pPr>
              <w:spacing w:after="0"/>
              <w:rPr>
                <w:sz w:val="21"/>
                <w:szCs w:val="21"/>
                <w:color w:val="auto"/>
              </w:rPr>
            </w:pPr>
          </w:p>
        </w:tc>
        <w:tc>
          <w:tcPr>
            <w:tcW w:w="1160" w:type="dxa"/>
            <w:vAlign w:val="bottom"/>
            <w:tcBorders>
              <w:bottom w:val="single" w:sz="8" w:color="auto"/>
            </w:tcBorders>
            <w:gridSpan w:val="2"/>
          </w:tcPr>
          <w:p>
            <w:pPr>
              <w:jc w:val="right"/>
              <w:ind w:right="35"/>
              <w:spacing w:after="0" w:line="243" w:lineRule="exact"/>
              <w:rPr>
                <w:sz w:val="20"/>
                <w:szCs w:val="20"/>
                <w:color w:val="auto"/>
              </w:rPr>
            </w:pPr>
            <w:r>
              <w:rPr>
                <w:rFonts w:ascii="Arial" w:cs="Arial" w:eastAsia="Arial" w:hAnsi="Arial"/>
                <w:sz w:val="13"/>
                <w:szCs w:val="13"/>
                <w:color w:val="auto"/>
              </w:rPr>
              <w:t>$ 1,713,886</w:t>
            </w:r>
            <w:r>
              <w:rPr>
                <w:rFonts w:ascii="Arial" w:cs="Arial" w:eastAsia="Arial" w:hAnsi="Arial"/>
                <w:sz w:val="22"/>
                <w:szCs w:val="22"/>
                <w:color w:val="auto"/>
                <w:vertAlign w:val="superscript"/>
              </w:rPr>
              <w:t>4d</w:t>
            </w:r>
          </w:p>
        </w:tc>
        <w:tc>
          <w:tcPr>
            <w:tcW w:w="0" w:type="dxa"/>
            <w:vAlign w:val="bottom"/>
          </w:tcPr>
          <w:p>
            <w:pPr>
              <w:spacing w:after="0"/>
              <w:rPr>
                <w:sz w:val="1"/>
                <w:szCs w:val="1"/>
                <w:color w:val="auto"/>
              </w:rPr>
            </w:pPr>
          </w:p>
        </w:tc>
      </w:tr>
      <w:tr>
        <w:trPr>
          <w:trHeight w:val="242"/>
        </w:trPr>
        <w:tc>
          <w:tcPr>
            <w:tcW w:w="2240" w:type="dxa"/>
            <w:vAlign w:val="bottom"/>
            <w:tcBorders>
              <w:bottom w:val="single" w:sz="8" w:color="E7E7E8"/>
            </w:tcBorders>
            <w:shd w:val="clear" w:color="auto" w:fill="E7E7E8"/>
          </w:tcPr>
          <w:p>
            <w:pPr>
              <w:ind w:left="60"/>
              <w:spacing w:after="0"/>
              <w:rPr>
                <w:sz w:val="20"/>
                <w:szCs w:val="20"/>
                <w:color w:val="auto"/>
              </w:rPr>
            </w:pPr>
            <w:r>
              <w:rPr>
                <w:rFonts w:ascii="Arial" w:cs="Arial" w:eastAsia="Arial" w:hAnsi="Arial"/>
                <w:sz w:val="13"/>
                <w:szCs w:val="13"/>
                <w:b w:val="1"/>
                <w:bCs w:val="1"/>
                <w:color w:val="00254F"/>
              </w:rPr>
              <w:t>Eric L. Veiel</w:t>
            </w:r>
          </w:p>
        </w:tc>
        <w:tc>
          <w:tcPr>
            <w:tcW w:w="140" w:type="dxa"/>
            <w:vAlign w:val="bottom"/>
            <w:tcBorders>
              <w:bottom w:val="single" w:sz="8" w:color="E7E7E8"/>
              <w:right w:val="single" w:sz="8" w:color="E7E7E8"/>
            </w:tcBorders>
            <w:shd w:val="clear" w:color="auto" w:fill="E7E7E8"/>
          </w:tcPr>
          <w:p>
            <w:pPr>
              <w:spacing w:after="0"/>
              <w:rPr>
                <w:sz w:val="21"/>
                <w:szCs w:val="21"/>
                <w:color w:val="auto"/>
              </w:rPr>
            </w:pPr>
          </w:p>
        </w:tc>
        <w:tc>
          <w:tcPr>
            <w:tcW w:w="8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12/3/2019</w:t>
            </w:r>
          </w:p>
        </w:tc>
        <w:tc>
          <w:tcPr>
            <w:tcW w:w="140" w:type="dxa"/>
            <w:vAlign w:val="bottom"/>
            <w:tcBorders>
              <w:bottom w:val="single" w:sz="8" w:color="E7E7E8"/>
            </w:tcBorders>
            <w:shd w:val="clear" w:color="auto" w:fill="E7E7E8"/>
          </w:tcPr>
          <w:p>
            <w:pPr>
              <w:spacing w:after="0"/>
              <w:rPr>
                <w:sz w:val="21"/>
                <w:szCs w:val="21"/>
                <w:color w:val="auto"/>
              </w:rPr>
            </w:pPr>
          </w:p>
        </w:tc>
        <w:tc>
          <w:tcPr>
            <w:tcW w:w="40" w:type="dxa"/>
            <w:vAlign w:val="bottom"/>
            <w:tcBorders>
              <w:bottom w:val="single" w:sz="8" w:color="auto"/>
              <w:right w:val="single" w:sz="8" w:color="E7E7E8"/>
            </w:tcBorders>
            <w:shd w:val="clear" w:color="auto" w:fill="E7E7E8"/>
          </w:tcPr>
          <w:p>
            <w:pPr>
              <w:spacing w:after="0"/>
              <w:rPr>
                <w:sz w:val="21"/>
                <w:szCs w:val="21"/>
                <w:color w:val="auto"/>
              </w:rPr>
            </w:pPr>
          </w:p>
        </w:tc>
        <w:tc>
          <w:tcPr>
            <w:tcW w:w="9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E7E7E8"/>
              <w:right w:val="single" w:sz="8" w:color="E7E7E8"/>
            </w:tcBorders>
            <w:shd w:val="clear" w:color="auto" w:fill="E7E7E8"/>
          </w:tcPr>
          <w:p>
            <w:pPr>
              <w:spacing w:after="0"/>
              <w:rPr>
                <w:sz w:val="21"/>
                <w:szCs w:val="21"/>
                <w:color w:val="auto"/>
              </w:rPr>
            </w:pPr>
          </w:p>
        </w:tc>
        <w:tc>
          <w:tcPr>
            <w:tcW w:w="880" w:type="dxa"/>
            <w:vAlign w:val="bottom"/>
            <w:tcBorders>
              <w:bottom w:val="single" w:sz="8" w:color="auto"/>
            </w:tcBorders>
            <w:shd w:val="clear" w:color="auto" w:fill="E7E7E8"/>
          </w:tcPr>
          <w:p>
            <w:pPr>
              <w:spacing w:after="0"/>
              <w:rPr>
                <w:sz w:val="21"/>
                <w:szCs w:val="21"/>
                <w:color w:val="auto"/>
              </w:rPr>
            </w:pPr>
          </w:p>
        </w:tc>
        <w:tc>
          <w:tcPr>
            <w:tcW w:w="160" w:type="dxa"/>
            <w:vAlign w:val="bottom"/>
            <w:tcBorders>
              <w:bottom w:val="single" w:sz="8" w:color="E7E7E8"/>
              <w:right w:val="single" w:sz="8" w:color="E7E7E8"/>
            </w:tcBorders>
            <w:shd w:val="clear" w:color="auto" w:fill="E7E7E8"/>
          </w:tcPr>
          <w:p>
            <w:pPr>
              <w:spacing w:after="0"/>
              <w:rPr>
                <w:sz w:val="21"/>
                <w:szCs w:val="21"/>
                <w:color w:val="auto"/>
              </w:rPr>
            </w:pPr>
          </w:p>
        </w:tc>
        <w:tc>
          <w:tcPr>
            <w:tcW w:w="880" w:type="dxa"/>
            <w:vAlign w:val="bottom"/>
            <w:tcBorders>
              <w:bottom w:val="single" w:sz="8" w:color="auto"/>
            </w:tcBorders>
            <w:shd w:val="clear" w:color="auto" w:fill="E7E7E8"/>
          </w:tcPr>
          <w:p>
            <w:pPr>
              <w:spacing w:after="0"/>
              <w:rPr>
                <w:sz w:val="21"/>
                <w:szCs w:val="21"/>
                <w:color w:val="auto"/>
              </w:rPr>
            </w:pPr>
          </w:p>
        </w:tc>
        <w:tc>
          <w:tcPr>
            <w:tcW w:w="160" w:type="dxa"/>
            <w:vAlign w:val="bottom"/>
            <w:tcBorders>
              <w:bottom w:val="single" w:sz="8" w:color="E7E7E8"/>
              <w:right w:val="single" w:sz="8" w:color="E7E7E8"/>
            </w:tcBorders>
            <w:shd w:val="clear" w:color="auto" w:fill="E7E7E8"/>
          </w:tcPr>
          <w:p>
            <w:pPr>
              <w:spacing w:after="0"/>
              <w:rPr>
                <w:sz w:val="21"/>
                <w:szCs w:val="21"/>
                <w:color w:val="auto"/>
              </w:rPr>
            </w:pPr>
          </w:p>
        </w:tc>
        <w:tc>
          <w:tcPr>
            <w:tcW w:w="1080" w:type="dxa"/>
            <w:vAlign w:val="bottom"/>
            <w:tcBorders>
              <w:bottom w:val="single" w:sz="8" w:color="auto"/>
            </w:tcBorders>
            <w:shd w:val="clear" w:color="auto" w:fill="E7E7E8"/>
          </w:tcPr>
          <w:p>
            <w:pPr>
              <w:jc w:val="right"/>
              <w:ind w:right="15"/>
              <w:spacing w:after="0" w:line="243" w:lineRule="exact"/>
              <w:rPr>
                <w:sz w:val="20"/>
                <w:szCs w:val="20"/>
                <w:color w:val="auto"/>
              </w:rPr>
            </w:pPr>
            <w:r>
              <w:rPr>
                <w:rFonts w:ascii="Arial" w:cs="Arial" w:eastAsia="Arial" w:hAnsi="Arial"/>
                <w:sz w:val="13"/>
                <w:szCs w:val="13"/>
                <w:color w:val="auto"/>
              </w:rPr>
              <w:t>6,520</w:t>
            </w:r>
            <w:r>
              <w:rPr>
                <w:rFonts w:ascii="Arial" w:cs="Arial" w:eastAsia="Arial" w:hAnsi="Arial"/>
                <w:sz w:val="22"/>
                <w:szCs w:val="22"/>
                <w:color w:val="auto"/>
                <w:vertAlign w:val="superscript"/>
              </w:rPr>
              <w:t>3b</w:t>
            </w:r>
          </w:p>
        </w:tc>
        <w:tc>
          <w:tcPr>
            <w:tcW w:w="160" w:type="dxa"/>
            <w:vAlign w:val="bottom"/>
            <w:tcBorders>
              <w:bottom w:val="single" w:sz="8" w:color="E7E7E8"/>
              <w:right w:val="single" w:sz="8" w:color="E7E7E8"/>
            </w:tcBorders>
            <w:shd w:val="clear" w:color="auto" w:fill="E7E7E8"/>
          </w:tcPr>
          <w:p>
            <w:pPr>
              <w:spacing w:after="0"/>
              <w:rPr>
                <w:sz w:val="21"/>
                <w:szCs w:val="21"/>
                <w:color w:val="auto"/>
              </w:rPr>
            </w:pPr>
          </w:p>
        </w:tc>
        <w:tc>
          <w:tcPr>
            <w:tcW w:w="2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E7E7E8"/>
          </w:tcPr>
          <w:p>
            <w:pPr>
              <w:jc w:val="right"/>
              <w:ind w:right="36"/>
              <w:spacing w:after="0" w:line="243" w:lineRule="exact"/>
              <w:rPr>
                <w:sz w:val="20"/>
                <w:szCs w:val="20"/>
                <w:color w:val="auto"/>
              </w:rPr>
            </w:pPr>
            <w:r>
              <w:rPr>
                <w:rFonts w:ascii="Arial" w:cs="Arial" w:eastAsia="Arial" w:hAnsi="Arial"/>
                <w:sz w:val="13"/>
                <w:szCs w:val="13"/>
                <w:color w:val="auto"/>
              </w:rPr>
              <w:t>702,139</w:t>
            </w:r>
            <w:r>
              <w:rPr>
                <w:rFonts w:ascii="Arial" w:cs="Arial" w:eastAsia="Arial" w:hAnsi="Arial"/>
                <w:sz w:val="22"/>
                <w:szCs w:val="22"/>
                <w:color w:val="auto"/>
                <w:vertAlign w:val="superscript"/>
              </w:rPr>
              <w:t>3b</w:t>
            </w:r>
          </w:p>
        </w:tc>
        <w:tc>
          <w:tcPr>
            <w:tcW w:w="160" w:type="dxa"/>
            <w:vAlign w:val="bottom"/>
            <w:tcBorders>
              <w:bottom w:val="single" w:sz="8" w:color="E7E7E8"/>
              <w:right w:val="single" w:sz="8" w:color="E7E7E8"/>
            </w:tcBorders>
            <w:shd w:val="clear" w:color="auto" w:fill="E7E7E8"/>
          </w:tcPr>
          <w:p>
            <w:pPr>
              <w:spacing w:after="0"/>
              <w:rPr>
                <w:sz w:val="21"/>
                <w:szCs w:val="21"/>
                <w:color w:val="auto"/>
              </w:rPr>
            </w:pPr>
          </w:p>
        </w:tc>
        <w:tc>
          <w:tcPr>
            <w:tcW w:w="880" w:type="dxa"/>
            <w:vAlign w:val="bottom"/>
            <w:tcBorders>
              <w:bottom w:val="single" w:sz="8" w:color="auto"/>
            </w:tcBorders>
            <w:shd w:val="clear" w:color="auto" w:fill="E7E7E8"/>
          </w:tcPr>
          <w:p>
            <w:pPr>
              <w:spacing w:after="0"/>
              <w:rPr>
                <w:sz w:val="21"/>
                <w:szCs w:val="21"/>
                <w:color w:val="auto"/>
              </w:rPr>
            </w:pPr>
          </w:p>
        </w:tc>
        <w:tc>
          <w:tcPr>
            <w:tcW w:w="160" w:type="dxa"/>
            <w:vAlign w:val="bottom"/>
            <w:tcBorders>
              <w:bottom w:val="single" w:sz="8" w:color="E7E7E8"/>
              <w:right w:val="single" w:sz="8" w:color="E7E7E8"/>
            </w:tcBorders>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780" w:type="dxa"/>
            <w:vAlign w:val="bottom"/>
            <w:tcBorders>
              <w:bottom w:val="single" w:sz="8" w:color="auto"/>
            </w:tcBorders>
            <w:shd w:val="clear" w:color="auto" w:fill="E7E7E8"/>
          </w:tcPr>
          <w:p>
            <w:pPr>
              <w:jc w:val="right"/>
              <w:ind w:right="15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2"/>
        </w:trPr>
        <w:tc>
          <w:tcPr>
            <w:tcW w:w="2240" w:type="dxa"/>
            <w:vAlign w:val="bottom"/>
            <w:tcBorders>
              <w:bottom w:val="single" w:sz="8" w:color="E7E7E8"/>
            </w:tcBorders>
            <w:shd w:val="clear" w:color="auto" w:fill="E7E7E8"/>
          </w:tcPr>
          <w:p>
            <w:pPr>
              <w:spacing w:after="0"/>
              <w:rPr>
                <w:sz w:val="21"/>
                <w:szCs w:val="21"/>
                <w:color w:val="auto"/>
              </w:rPr>
            </w:pPr>
          </w:p>
        </w:tc>
        <w:tc>
          <w:tcPr>
            <w:tcW w:w="140" w:type="dxa"/>
            <w:vAlign w:val="bottom"/>
            <w:tcBorders>
              <w:bottom w:val="single" w:sz="8" w:color="E7E7E8"/>
              <w:right w:val="single" w:sz="8" w:color="E7E7E8"/>
            </w:tcBorders>
            <w:shd w:val="clear" w:color="auto" w:fill="E7E7E8"/>
          </w:tcPr>
          <w:p>
            <w:pPr>
              <w:spacing w:after="0"/>
              <w:rPr>
                <w:sz w:val="21"/>
                <w:szCs w:val="21"/>
                <w:color w:val="auto"/>
              </w:rPr>
            </w:pPr>
          </w:p>
        </w:tc>
        <w:tc>
          <w:tcPr>
            <w:tcW w:w="8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12/8/2020</w:t>
            </w:r>
          </w:p>
        </w:tc>
        <w:tc>
          <w:tcPr>
            <w:tcW w:w="140" w:type="dxa"/>
            <w:vAlign w:val="bottom"/>
            <w:tcBorders>
              <w:bottom w:val="single" w:sz="8" w:color="E7E7E8"/>
            </w:tcBorders>
            <w:shd w:val="clear" w:color="auto" w:fill="E7E7E8"/>
          </w:tcPr>
          <w:p>
            <w:pPr>
              <w:spacing w:after="0"/>
              <w:rPr>
                <w:sz w:val="21"/>
                <w:szCs w:val="21"/>
                <w:color w:val="auto"/>
              </w:rPr>
            </w:pPr>
          </w:p>
        </w:tc>
        <w:tc>
          <w:tcPr>
            <w:tcW w:w="40" w:type="dxa"/>
            <w:vAlign w:val="bottom"/>
            <w:tcBorders>
              <w:bottom w:val="single" w:sz="8" w:color="auto"/>
              <w:right w:val="single" w:sz="8" w:color="E7E7E8"/>
            </w:tcBorders>
            <w:shd w:val="clear" w:color="auto" w:fill="E7E7E8"/>
          </w:tcPr>
          <w:p>
            <w:pPr>
              <w:spacing w:after="0"/>
              <w:rPr>
                <w:sz w:val="21"/>
                <w:szCs w:val="21"/>
                <w:color w:val="auto"/>
              </w:rPr>
            </w:pPr>
          </w:p>
        </w:tc>
        <w:tc>
          <w:tcPr>
            <w:tcW w:w="9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E7E7E8"/>
              <w:right w:val="single" w:sz="8" w:color="E7E7E8"/>
            </w:tcBorders>
            <w:shd w:val="clear" w:color="auto" w:fill="E7E7E8"/>
          </w:tcPr>
          <w:p>
            <w:pPr>
              <w:spacing w:after="0"/>
              <w:rPr>
                <w:sz w:val="21"/>
                <w:szCs w:val="21"/>
                <w:color w:val="auto"/>
              </w:rPr>
            </w:pPr>
          </w:p>
        </w:tc>
        <w:tc>
          <w:tcPr>
            <w:tcW w:w="880" w:type="dxa"/>
            <w:vAlign w:val="bottom"/>
            <w:tcBorders>
              <w:bottom w:val="single" w:sz="8" w:color="auto"/>
            </w:tcBorders>
            <w:shd w:val="clear" w:color="auto" w:fill="E7E7E8"/>
          </w:tcPr>
          <w:p>
            <w:pPr>
              <w:spacing w:after="0"/>
              <w:rPr>
                <w:sz w:val="21"/>
                <w:szCs w:val="21"/>
                <w:color w:val="auto"/>
              </w:rPr>
            </w:pPr>
          </w:p>
        </w:tc>
        <w:tc>
          <w:tcPr>
            <w:tcW w:w="160" w:type="dxa"/>
            <w:vAlign w:val="bottom"/>
            <w:tcBorders>
              <w:bottom w:val="single" w:sz="8" w:color="E7E7E8"/>
              <w:right w:val="single" w:sz="8" w:color="E7E7E8"/>
            </w:tcBorders>
            <w:shd w:val="clear" w:color="auto" w:fill="E7E7E8"/>
          </w:tcPr>
          <w:p>
            <w:pPr>
              <w:spacing w:after="0"/>
              <w:rPr>
                <w:sz w:val="21"/>
                <w:szCs w:val="21"/>
                <w:color w:val="auto"/>
              </w:rPr>
            </w:pPr>
          </w:p>
        </w:tc>
        <w:tc>
          <w:tcPr>
            <w:tcW w:w="880" w:type="dxa"/>
            <w:vAlign w:val="bottom"/>
            <w:tcBorders>
              <w:bottom w:val="single" w:sz="8" w:color="auto"/>
            </w:tcBorders>
            <w:shd w:val="clear" w:color="auto" w:fill="E7E7E8"/>
          </w:tcPr>
          <w:p>
            <w:pPr>
              <w:spacing w:after="0"/>
              <w:rPr>
                <w:sz w:val="21"/>
                <w:szCs w:val="21"/>
                <w:color w:val="auto"/>
              </w:rPr>
            </w:pPr>
          </w:p>
        </w:tc>
        <w:tc>
          <w:tcPr>
            <w:tcW w:w="160" w:type="dxa"/>
            <w:vAlign w:val="bottom"/>
            <w:tcBorders>
              <w:bottom w:val="single" w:sz="8" w:color="E7E7E8"/>
              <w:right w:val="single" w:sz="8" w:color="E7E7E8"/>
            </w:tcBorders>
            <w:shd w:val="clear" w:color="auto" w:fill="E7E7E8"/>
          </w:tcPr>
          <w:p>
            <w:pPr>
              <w:spacing w:after="0"/>
              <w:rPr>
                <w:sz w:val="21"/>
                <w:szCs w:val="21"/>
                <w:color w:val="auto"/>
              </w:rPr>
            </w:pPr>
          </w:p>
        </w:tc>
        <w:tc>
          <w:tcPr>
            <w:tcW w:w="1080" w:type="dxa"/>
            <w:vAlign w:val="bottom"/>
            <w:tcBorders>
              <w:bottom w:val="single" w:sz="8" w:color="auto"/>
            </w:tcBorders>
            <w:shd w:val="clear" w:color="auto" w:fill="E7E7E8"/>
          </w:tcPr>
          <w:p>
            <w:pPr>
              <w:jc w:val="center"/>
              <w:ind w:left="475"/>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E7E7E8"/>
              <w:right w:val="single" w:sz="8" w:color="E7E7E8"/>
            </w:tcBorders>
            <w:shd w:val="clear" w:color="auto" w:fill="E7E7E8"/>
          </w:tcPr>
          <w:p>
            <w:pPr>
              <w:spacing w:after="0"/>
              <w:rPr>
                <w:sz w:val="21"/>
                <w:szCs w:val="21"/>
                <w:color w:val="auto"/>
              </w:rPr>
            </w:pPr>
          </w:p>
        </w:tc>
        <w:tc>
          <w:tcPr>
            <w:tcW w:w="280" w:type="dxa"/>
            <w:vAlign w:val="bottom"/>
            <w:tcBorders>
              <w:bottom w:val="single" w:sz="8" w:color="auto"/>
            </w:tcBorders>
            <w:shd w:val="clear" w:color="auto" w:fill="E7E7E8"/>
          </w:tcPr>
          <w:p>
            <w:pPr>
              <w:spacing w:after="0"/>
              <w:rPr>
                <w:sz w:val="21"/>
                <w:szCs w:val="21"/>
                <w:color w:val="auto"/>
              </w:rPr>
            </w:pPr>
          </w:p>
        </w:tc>
        <w:tc>
          <w:tcPr>
            <w:tcW w:w="760" w:type="dxa"/>
            <w:vAlign w:val="bottom"/>
            <w:tcBorders>
              <w:bottom w:val="single" w:sz="8" w:color="auto"/>
            </w:tcBorders>
            <w:shd w:val="clear" w:color="auto" w:fill="E7E7E8"/>
          </w:tcPr>
          <w:p>
            <w:pPr>
              <w:jc w:val="center"/>
              <w:ind w:left="116"/>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E7E7E8"/>
              <w:right w:val="single" w:sz="8" w:color="E7E7E8"/>
            </w:tcBorders>
            <w:shd w:val="clear" w:color="auto" w:fill="E7E7E8"/>
          </w:tcPr>
          <w:p>
            <w:pPr>
              <w:spacing w:after="0"/>
              <w:rPr>
                <w:sz w:val="21"/>
                <w:szCs w:val="21"/>
                <w:color w:val="auto"/>
              </w:rPr>
            </w:pPr>
          </w:p>
        </w:tc>
        <w:tc>
          <w:tcPr>
            <w:tcW w:w="880" w:type="dxa"/>
            <w:vAlign w:val="bottom"/>
            <w:tcBorders>
              <w:bottom w:val="single" w:sz="8" w:color="auto"/>
            </w:tcBorders>
            <w:shd w:val="clear" w:color="auto" w:fill="E7E7E8"/>
          </w:tcPr>
          <w:p>
            <w:pPr>
              <w:jc w:val="right"/>
              <w:spacing w:after="0" w:line="243" w:lineRule="exact"/>
              <w:rPr>
                <w:sz w:val="20"/>
                <w:szCs w:val="20"/>
                <w:color w:val="auto"/>
              </w:rPr>
            </w:pPr>
            <w:r>
              <w:rPr>
                <w:rFonts w:ascii="Arial" w:cs="Arial" w:eastAsia="Arial" w:hAnsi="Arial"/>
                <w:sz w:val="13"/>
                <w:szCs w:val="13"/>
                <w:color w:val="auto"/>
              </w:rPr>
              <w:t>11,426</w:t>
            </w:r>
            <w:r>
              <w:rPr>
                <w:rFonts w:ascii="Arial" w:cs="Arial" w:eastAsia="Arial" w:hAnsi="Arial"/>
                <w:sz w:val="22"/>
                <w:szCs w:val="22"/>
                <w:color w:val="auto"/>
                <w:vertAlign w:val="superscript"/>
              </w:rPr>
              <w:t>4a</w:t>
            </w:r>
          </w:p>
        </w:tc>
        <w:tc>
          <w:tcPr>
            <w:tcW w:w="160" w:type="dxa"/>
            <w:vAlign w:val="bottom"/>
            <w:tcBorders>
              <w:bottom w:val="single" w:sz="8" w:color="E7E7E8"/>
              <w:right w:val="single" w:sz="8" w:color="E7E7E8"/>
            </w:tcBorders>
            <w:shd w:val="clear" w:color="auto" w:fill="E7E7E8"/>
          </w:tcPr>
          <w:p>
            <w:pPr>
              <w:spacing w:after="0"/>
              <w:rPr>
                <w:sz w:val="21"/>
                <w:szCs w:val="21"/>
                <w:color w:val="auto"/>
              </w:rPr>
            </w:pPr>
          </w:p>
        </w:tc>
        <w:tc>
          <w:tcPr>
            <w:tcW w:w="1160" w:type="dxa"/>
            <w:vAlign w:val="bottom"/>
            <w:tcBorders>
              <w:bottom w:val="single" w:sz="8" w:color="auto"/>
            </w:tcBorders>
            <w:gridSpan w:val="2"/>
            <w:shd w:val="clear" w:color="auto" w:fill="E7E7E8"/>
          </w:tcPr>
          <w:p>
            <w:pPr>
              <w:jc w:val="right"/>
              <w:ind w:right="35"/>
              <w:spacing w:after="0" w:line="243" w:lineRule="exact"/>
              <w:rPr>
                <w:sz w:val="20"/>
                <w:szCs w:val="20"/>
                <w:color w:val="auto"/>
              </w:rPr>
            </w:pPr>
            <w:r>
              <w:rPr>
                <w:rFonts w:ascii="Arial" w:cs="Arial" w:eastAsia="Arial" w:hAnsi="Arial"/>
                <w:sz w:val="13"/>
                <w:szCs w:val="13"/>
                <w:color w:val="auto"/>
              </w:rPr>
              <w:t>$ 1,230,466</w:t>
            </w:r>
            <w:r>
              <w:rPr>
                <w:rFonts w:ascii="Arial" w:cs="Arial" w:eastAsia="Arial" w:hAnsi="Arial"/>
                <w:sz w:val="22"/>
                <w:szCs w:val="22"/>
                <w:color w:val="auto"/>
                <w:vertAlign w:val="superscript"/>
              </w:rPr>
              <w:t>4a</w:t>
            </w:r>
          </w:p>
        </w:tc>
        <w:tc>
          <w:tcPr>
            <w:tcW w:w="0" w:type="dxa"/>
            <w:vAlign w:val="bottom"/>
          </w:tcPr>
          <w:p>
            <w:pPr>
              <w:spacing w:after="0"/>
              <w:rPr>
                <w:sz w:val="1"/>
                <w:szCs w:val="1"/>
                <w:color w:val="auto"/>
              </w:rPr>
            </w:pPr>
          </w:p>
        </w:tc>
      </w:tr>
      <w:tr>
        <w:trPr>
          <w:trHeight w:val="242"/>
        </w:trPr>
        <w:tc>
          <w:tcPr>
            <w:tcW w:w="2240" w:type="dxa"/>
            <w:vAlign w:val="bottom"/>
            <w:tcBorders>
              <w:bottom w:val="single" w:sz="8" w:color="E7E7E8"/>
            </w:tcBorders>
            <w:shd w:val="clear" w:color="auto" w:fill="E7E7E8"/>
          </w:tcPr>
          <w:p>
            <w:pPr>
              <w:spacing w:after="0"/>
              <w:rPr>
                <w:sz w:val="21"/>
                <w:szCs w:val="21"/>
                <w:color w:val="auto"/>
              </w:rPr>
            </w:pPr>
          </w:p>
        </w:tc>
        <w:tc>
          <w:tcPr>
            <w:tcW w:w="140" w:type="dxa"/>
            <w:vAlign w:val="bottom"/>
            <w:tcBorders>
              <w:bottom w:val="single" w:sz="8" w:color="E7E7E8"/>
              <w:right w:val="single" w:sz="8" w:color="E7E7E8"/>
            </w:tcBorders>
            <w:shd w:val="clear" w:color="auto" w:fill="E7E7E8"/>
          </w:tcPr>
          <w:p>
            <w:pPr>
              <w:spacing w:after="0"/>
              <w:rPr>
                <w:sz w:val="21"/>
                <w:szCs w:val="21"/>
                <w:color w:val="auto"/>
              </w:rPr>
            </w:pPr>
          </w:p>
        </w:tc>
        <w:tc>
          <w:tcPr>
            <w:tcW w:w="8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12/7/2021</w:t>
            </w:r>
          </w:p>
        </w:tc>
        <w:tc>
          <w:tcPr>
            <w:tcW w:w="140" w:type="dxa"/>
            <w:vAlign w:val="bottom"/>
            <w:tcBorders>
              <w:bottom w:val="single" w:sz="8" w:color="E7E7E8"/>
            </w:tcBorders>
            <w:shd w:val="clear" w:color="auto" w:fill="E7E7E8"/>
          </w:tcPr>
          <w:p>
            <w:pPr>
              <w:spacing w:after="0"/>
              <w:rPr>
                <w:sz w:val="21"/>
                <w:szCs w:val="21"/>
                <w:color w:val="auto"/>
              </w:rPr>
            </w:pPr>
          </w:p>
        </w:tc>
        <w:tc>
          <w:tcPr>
            <w:tcW w:w="40" w:type="dxa"/>
            <w:vAlign w:val="bottom"/>
            <w:tcBorders>
              <w:bottom w:val="single" w:sz="8" w:color="auto"/>
              <w:right w:val="single" w:sz="8" w:color="E7E7E8"/>
            </w:tcBorders>
            <w:shd w:val="clear" w:color="auto" w:fill="E7E7E8"/>
          </w:tcPr>
          <w:p>
            <w:pPr>
              <w:spacing w:after="0"/>
              <w:rPr>
                <w:sz w:val="21"/>
                <w:szCs w:val="21"/>
                <w:color w:val="auto"/>
              </w:rPr>
            </w:pPr>
          </w:p>
        </w:tc>
        <w:tc>
          <w:tcPr>
            <w:tcW w:w="9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E7E7E8"/>
              <w:right w:val="single" w:sz="8" w:color="E7E7E8"/>
            </w:tcBorders>
            <w:shd w:val="clear" w:color="auto" w:fill="E7E7E8"/>
          </w:tcPr>
          <w:p>
            <w:pPr>
              <w:spacing w:after="0"/>
              <w:rPr>
                <w:sz w:val="21"/>
                <w:szCs w:val="21"/>
                <w:color w:val="auto"/>
              </w:rPr>
            </w:pPr>
          </w:p>
        </w:tc>
        <w:tc>
          <w:tcPr>
            <w:tcW w:w="880" w:type="dxa"/>
            <w:vAlign w:val="bottom"/>
            <w:tcBorders>
              <w:bottom w:val="single" w:sz="8" w:color="auto"/>
            </w:tcBorders>
            <w:shd w:val="clear" w:color="auto" w:fill="E7E7E8"/>
          </w:tcPr>
          <w:p>
            <w:pPr>
              <w:spacing w:after="0"/>
              <w:rPr>
                <w:sz w:val="21"/>
                <w:szCs w:val="21"/>
                <w:color w:val="auto"/>
              </w:rPr>
            </w:pPr>
          </w:p>
        </w:tc>
        <w:tc>
          <w:tcPr>
            <w:tcW w:w="160" w:type="dxa"/>
            <w:vAlign w:val="bottom"/>
            <w:tcBorders>
              <w:bottom w:val="single" w:sz="8" w:color="E7E7E8"/>
              <w:right w:val="single" w:sz="8" w:color="E7E7E8"/>
            </w:tcBorders>
            <w:shd w:val="clear" w:color="auto" w:fill="E7E7E8"/>
          </w:tcPr>
          <w:p>
            <w:pPr>
              <w:spacing w:after="0"/>
              <w:rPr>
                <w:sz w:val="21"/>
                <w:szCs w:val="21"/>
                <w:color w:val="auto"/>
              </w:rPr>
            </w:pPr>
          </w:p>
        </w:tc>
        <w:tc>
          <w:tcPr>
            <w:tcW w:w="880" w:type="dxa"/>
            <w:vAlign w:val="bottom"/>
            <w:tcBorders>
              <w:bottom w:val="single" w:sz="8" w:color="auto"/>
            </w:tcBorders>
            <w:shd w:val="clear" w:color="auto" w:fill="E7E7E8"/>
          </w:tcPr>
          <w:p>
            <w:pPr>
              <w:spacing w:after="0"/>
              <w:rPr>
                <w:sz w:val="21"/>
                <w:szCs w:val="21"/>
                <w:color w:val="auto"/>
              </w:rPr>
            </w:pPr>
          </w:p>
        </w:tc>
        <w:tc>
          <w:tcPr>
            <w:tcW w:w="160" w:type="dxa"/>
            <w:vAlign w:val="bottom"/>
            <w:tcBorders>
              <w:bottom w:val="single" w:sz="8" w:color="E7E7E8"/>
              <w:right w:val="single" w:sz="8" w:color="E7E7E8"/>
            </w:tcBorders>
            <w:shd w:val="clear" w:color="auto" w:fill="E7E7E8"/>
          </w:tcPr>
          <w:p>
            <w:pPr>
              <w:spacing w:after="0"/>
              <w:rPr>
                <w:sz w:val="21"/>
                <w:szCs w:val="21"/>
                <w:color w:val="auto"/>
              </w:rPr>
            </w:pPr>
          </w:p>
        </w:tc>
        <w:tc>
          <w:tcPr>
            <w:tcW w:w="1080" w:type="dxa"/>
            <w:vAlign w:val="bottom"/>
            <w:tcBorders>
              <w:bottom w:val="single" w:sz="8" w:color="auto"/>
            </w:tcBorders>
            <w:shd w:val="clear" w:color="auto" w:fill="E7E7E8"/>
          </w:tcPr>
          <w:p>
            <w:pPr>
              <w:jc w:val="center"/>
              <w:ind w:left="415"/>
              <w:spacing w:after="0" w:line="243" w:lineRule="exact"/>
              <w:rPr>
                <w:sz w:val="20"/>
                <w:szCs w:val="20"/>
                <w:color w:val="auto"/>
              </w:rPr>
            </w:pPr>
            <w:r>
              <w:rPr>
                <w:rFonts w:ascii="Arial" w:cs="Arial" w:eastAsia="Arial" w:hAnsi="Arial"/>
                <w:sz w:val="13"/>
                <w:szCs w:val="13"/>
                <w:color w:val="auto"/>
                <w:w w:val="91"/>
              </w:rPr>
              <w:t xml:space="preserve">3,428 </w:t>
            </w:r>
            <w:r>
              <w:rPr>
                <w:rFonts w:ascii="Arial" w:cs="Arial" w:eastAsia="Arial" w:hAnsi="Arial"/>
                <w:sz w:val="22"/>
                <w:szCs w:val="22"/>
                <w:color w:val="auto"/>
                <w:w w:val="91"/>
                <w:vertAlign w:val="superscript"/>
              </w:rPr>
              <w:t>5a</w:t>
            </w:r>
          </w:p>
        </w:tc>
        <w:tc>
          <w:tcPr>
            <w:tcW w:w="160" w:type="dxa"/>
            <w:vAlign w:val="bottom"/>
            <w:tcBorders>
              <w:bottom w:val="single" w:sz="8" w:color="E7E7E8"/>
              <w:right w:val="single" w:sz="8" w:color="E7E7E8"/>
            </w:tcBorders>
            <w:shd w:val="clear" w:color="auto" w:fill="E7E7E8"/>
          </w:tcPr>
          <w:p>
            <w:pPr>
              <w:spacing w:after="0"/>
              <w:rPr>
                <w:sz w:val="21"/>
                <w:szCs w:val="21"/>
                <w:color w:val="auto"/>
              </w:rPr>
            </w:pPr>
          </w:p>
        </w:tc>
        <w:tc>
          <w:tcPr>
            <w:tcW w:w="2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E7E7E8"/>
          </w:tcPr>
          <w:p>
            <w:pPr>
              <w:jc w:val="right"/>
              <w:ind w:right="36"/>
              <w:spacing w:after="0" w:line="243" w:lineRule="exact"/>
              <w:rPr>
                <w:sz w:val="20"/>
                <w:szCs w:val="20"/>
                <w:color w:val="auto"/>
              </w:rPr>
            </w:pPr>
            <w:r>
              <w:rPr>
                <w:rFonts w:ascii="Arial" w:cs="Arial" w:eastAsia="Arial" w:hAnsi="Arial"/>
                <w:sz w:val="13"/>
                <w:szCs w:val="13"/>
                <w:color w:val="auto"/>
              </w:rPr>
              <w:t>369,161</w:t>
            </w:r>
            <w:r>
              <w:rPr>
                <w:rFonts w:ascii="Arial" w:cs="Arial" w:eastAsia="Arial" w:hAnsi="Arial"/>
                <w:sz w:val="22"/>
                <w:szCs w:val="22"/>
                <w:color w:val="auto"/>
                <w:vertAlign w:val="superscript"/>
              </w:rPr>
              <w:t>5a</w:t>
            </w:r>
          </w:p>
        </w:tc>
        <w:tc>
          <w:tcPr>
            <w:tcW w:w="160" w:type="dxa"/>
            <w:vAlign w:val="bottom"/>
            <w:tcBorders>
              <w:bottom w:val="single" w:sz="8" w:color="E7E7E8"/>
              <w:right w:val="single" w:sz="8" w:color="E7E7E8"/>
            </w:tcBorders>
            <w:shd w:val="clear" w:color="auto" w:fill="E7E7E8"/>
          </w:tcPr>
          <w:p>
            <w:pPr>
              <w:spacing w:after="0"/>
              <w:rPr>
                <w:sz w:val="21"/>
                <w:szCs w:val="21"/>
                <w:color w:val="auto"/>
              </w:rPr>
            </w:pPr>
          </w:p>
        </w:tc>
        <w:tc>
          <w:tcPr>
            <w:tcW w:w="880" w:type="dxa"/>
            <w:vAlign w:val="bottom"/>
            <w:tcBorders>
              <w:bottom w:val="single" w:sz="8" w:color="auto"/>
            </w:tcBorders>
            <w:shd w:val="clear" w:color="auto" w:fill="E7E7E8"/>
          </w:tcPr>
          <w:p>
            <w:pPr>
              <w:jc w:val="right"/>
              <w:spacing w:after="0" w:line="243" w:lineRule="exact"/>
              <w:rPr>
                <w:sz w:val="20"/>
                <w:szCs w:val="20"/>
                <w:color w:val="auto"/>
              </w:rPr>
            </w:pPr>
            <w:r>
              <w:rPr>
                <w:rFonts w:ascii="Arial" w:cs="Arial" w:eastAsia="Arial" w:hAnsi="Arial"/>
                <w:sz w:val="13"/>
                <w:szCs w:val="13"/>
                <w:color w:val="auto"/>
              </w:rPr>
              <w:t>10,284</w:t>
            </w:r>
            <w:r>
              <w:rPr>
                <w:rFonts w:ascii="Arial" w:cs="Arial" w:eastAsia="Arial" w:hAnsi="Arial"/>
                <w:sz w:val="22"/>
                <w:szCs w:val="22"/>
                <w:color w:val="auto"/>
                <w:vertAlign w:val="superscript"/>
              </w:rPr>
              <w:t>4b</w:t>
            </w:r>
          </w:p>
        </w:tc>
        <w:tc>
          <w:tcPr>
            <w:tcW w:w="160" w:type="dxa"/>
            <w:vAlign w:val="bottom"/>
            <w:tcBorders>
              <w:bottom w:val="single" w:sz="8" w:color="E7E7E8"/>
              <w:right w:val="single" w:sz="8" w:color="E7E7E8"/>
            </w:tcBorders>
            <w:shd w:val="clear" w:color="auto" w:fill="E7E7E8"/>
          </w:tcPr>
          <w:p>
            <w:pPr>
              <w:spacing w:after="0"/>
              <w:rPr>
                <w:sz w:val="21"/>
                <w:szCs w:val="21"/>
                <w:color w:val="auto"/>
              </w:rPr>
            </w:pPr>
          </w:p>
        </w:tc>
        <w:tc>
          <w:tcPr>
            <w:tcW w:w="1160" w:type="dxa"/>
            <w:vAlign w:val="bottom"/>
            <w:tcBorders>
              <w:bottom w:val="single" w:sz="8" w:color="auto"/>
            </w:tcBorders>
            <w:gridSpan w:val="2"/>
            <w:shd w:val="clear" w:color="auto" w:fill="E7E7E8"/>
          </w:tcPr>
          <w:p>
            <w:pPr>
              <w:jc w:val="right"/>
              <w:ind w:right="35"/>
              <w:spacing w:after="0" w:line="243" w:lineRule="exact"/>
              <w:rPr>
                <w:sz w:val="20"/>
                <w:szCs w:val="20"/>
                <w:color w:val="auto"/>
              </w:rPr>
            </w:pPr>
            <w:r>
              <w:rPr>
                <w:rFonts w:ascii="Arial" w:cs="Arial" w:eastAsia="Arial" w:hAnsi="Arial"/>
                <w:sz w:val="13"/>
                <w:szCs w:val="13"/>
                <w:color w:val="auto"/>
              </w:rPr>
              <w:t>$ 1,107,484</w:t>
            </w:r>
            <w:r>
              <w:rPr>
                <w:rFonts w:ascii="Arial" w:cs="Arial" w:eastAsia="Arial" w:hAnsi="Arial"/>
                <w:sz w:val="22"/>
                <w:szCs w:val="22"/>
                <w:color w:val="auto"/>
                <w:vertAlign w:val="superscript"/>
              </w:rPr>
              <w:t>4b</w:t>
            </w:r>
          </w:p>
        </w:tc>
        <w:tc>
          <w:tcPr>
            <w:tcW w:w="0" w:type="dxa"/>
            <w:vAlign w:val="bottom"/>
          </w:tcPr>
          <w:p>
            <w:pPr>
              <w:spacing w:after="0"/>
              <w:rPr>
                <w:sz w:val="1"/>
                <w:szCs w:val="1"/>
                <w:color w:val="auto"/>
              </w:rPr>
            </w:pPr>
          </w:p>
        </w:tc>
      </w:tr>
      <w:tr>
        <w:trPr>
          <w:trHeight w:val="242"/>
        </w:trPr>
        <w:tc>
          <w:tcPr>
            <w:tcW w:w="2240" w:type="dxa"/>
            <w:vAlign w:val="bottom"/>
            <w:tcBorders>
              <w:bottom w:val="single" w:sz="8" w:color="E7E7E8"/>
            </w:tcBorders>
            <w:shd w:val="clear" w:color="auto" w:fill="E7E7E8"/>
          </w:tcPr>
          <w:p>
            <w:pPr>
              <w:spacing w:after="0"/>
              <w:rPr>
                <w:sz w:val="21"/>
                <w:szCs w:val="21"/>
                <w:color w:val="auto"/>
              </w:rPr>
            </w:pPr>
          </w:p>
        </w:tc>
        <w:tc>
          <w:tcPr>
            <w:tcW w:w="140" w:type="dxa"/>
            <w:vAlign w:val="bottom"/>
            <w:tcBorders>
              <w:bottom w:val="single" w:sz="8" w:color="E7E7E8"/>
              <w:right w:val="single" w:sz="8" w:color="E7E7E8"/>
            </w:tcBorders>
            <w:shd w:val="clear" w:color="auto" w:fill="E7E7E8"/>
          </w:tcPr>
          <w:p>
            <w:pPr>
              <w:spacing w:after="0"/>
              <w:rPr>
                <w:sz w:val="21"/>
                <w:szCs w:val="21"/>
                <w:color w:val="auto"/>
              </w:rPr>
            </w:pPr>
          </w:p>
        </w:tc>
        <w:tc>
          <w:tcPr>
            <w:tcW w:w="8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12/6/2022</w:t>
            </w:r>
          </w:p>
        </w:tc>
        <w:tc>
          <w:tcPr>
            <w:tcW w:w="140" w:type="dxa"/>
            <w:vAlign w:val="bottom"/>
            <w:tcBorders>
              <w:bottom w:val="single" w:sz="8" w:color="E7E7E8"/>
            </w:tcBorders>
            <w:shd w:val="clear" w:color="auto" w:fill="E7E7E8"/>
          </w:tcPr>
          <w:p>
            <w:pPr>
              <w:spacing w:after="0"/>
              <w:rPr>
                <w:sz w:val="21"/>
                <w:szCs w:val="21"/>
                <w:color w:val="auto"/>
              </w:rPr>
            </w:pPr>
          </w:p>
        </w:tc>
        <w:tc>
          <w:tcPr>
            <w:tcW w:w="40" w:type="dxa"/>
            <w:vAlign w:val="bottom"/>
            <w:tcBorders>
              <w:bottom w:val="single" w:sz="8" w:color="auto"/>
              <w:right w:val="single" w:sz="8" w:color="E7E7E8"/>
            </w:tcBorders>
            <w:shd w:val="clear" w:color="auto" w:fill="E7E7E8"/>
          </w:tcPr>
          <w:p>
            <w:pPr>
              <w:spacing w:after="0"/>
              <w:rPr>
                <w:sz w:val="21"/>
                <w:szCs w:val="21"/>
                <w:color w:val="auto"/>
              </w:rPr>
            </w:pPr>
          </w:p>
        </w:tc>
        <w:tc>
          <w:tcPr>
            <w:tcW w:w="9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E7E7E8"/>
              <w:right w:val="single" w:sz="8" w:color="E7E7E8"/>
            </w:tcBorders>
            <w:shd w:val="clear" w:color="auto" w:fill="E7E7E8"/>
          </w:tcPr>
          <w:p>
            <w:pPr>
              <w:spacing w:after="0"/>
              <w:rPr>
                <w:sz w:val="21"/>
                <w:szCs w:val="21"/>
                <w:color w:val="auto"/>
              </w:rPr>
            </w:pPr>
          </w:p>
        </w:tc>
        <w:tc>
          <w:tcPr>
            <w:tcW w:w="880" w:type="dxa"/>
            <w:vAlign w:val="bottom"/>
            <w:tcBorders>
              <w:bottom w:val="single" w:sz="8" w:color="auto"/>
            </w:tcBorders>
            <w:shd w:val="clear" w:color="auto" w:fill="E7E7E8"/>
          </w:tcPr>
          <w:p>
            <w:pPr>
              <w:spacing w:after="0"/>
              <w:rPr>
                <w:sz w:val="21"/>
                <w:szCs w:val="21"/>
                <w:color w:val="auto"/>
              </w:rPr>
            </w:pPr>
          </w:p>
        </w:tc>
        <w:tc>
          <w:tcPr>
            <w:tcW w:w="160" w:type="dxa"/>
            <w:vAlign w:val="bottom"/>
            <w:tcBorders>
              <w:bottom w:val="single" w:sz="8" w:color="E7E7E8"/>
              <w:right w:val="single" w:sz="8" w:color="E7E7E8"/>
            </w:tcBorders>
            <w:shd w:val="clear" w:color="auto" w:fill="E7E7E8"/>
          </w:tcPr>
          <w:p>
            <w:pPr>
              <w:spacing w:after="0"/>
              <w:rPr>
                <w:sz w:val="21"/>
                <w:szCs w:val="21"/>
                <w:color w:val="auto"/>
              </w:rPr>
            </w:pPr>
          </w:p>
        </w:tc>
        <w:tc>
          <w:tcPr>
            <w:tcW w:w="880" w:type="dxa"/>
            <w:vAlign w:val="bottom"/>
            <w:tcBorders>
              <w:bottom w:val="single" w:sz="8" w:color="auto"/>
            </w:tcBorders>
            <w:shd w:val="clear" w:color="auto" w:fill="E7E7E8"/>
          </w:tcPr>
          <w:p>
            <w:pPr>
              <w:spacing w:after="0"/>
              <w:rPr>
                <w:sz w:val="21"/>
                <w:szCs w:val="21"/>
                <w:color w:val="auto"/>
              </w:rPr>
            </w:pPr>
          </w:p>
        </w:tc>
        <w:tc>
          <w:tcPr>
            <w:tcW w:w="160" w:type="dxa"/>
            <w:vAlign w:val="bottom"/>
            <w:tcBorders>
              <w:bottom w:val="single" w:sz="8" w:color="E7E7E8"/>
              <w:right w:val="single" w:sz="8" w:color="E7E7E8"/>
            </w:tcBorders>
            <w:shd w:val="clear" w:color="auto" w:fill="E7E7E8"/>
          </w:tcPr>
          <w:p>
            <w:pPr>
              <w:spacing w:after="0"/>
              <w:rPr>
                <w:sz w:val="21"/>
                <w:szCs w:val="21"/>
                <w:color w:val="auto"/>
              </w:rPr>
            </w:pPr>
          </w:p>
        </w:tc>
        <w:tc>
          <w:tcPr>
            <w:tcW w:w="1080" w:type="dxa"/>
            <w:vAlign w:val="bottom"/>
            <w:tcBorders>
              <w:bottom w:val="single" w:sz="8" w:color="auto"/>
            </w:tcBorders>
            <w:shd w:val="clear" w:color="auto" w:fill="E7E7E8"/>
          </w:tcPr>
          <w:p>
            <w:pPr>
              <w:jc w:val="right"/>
              <w:ind w:right="15"/>
              <w:spacing w:after="0" w:line="243" w:lineRule="exact"/>
              <w:rPr>
                <w:sz w:val="20"/>
                <w:szCs w:val="20"/>
                <w:color w:val="auto"/>
              </w:rPr>
            </w:pPr>
            <w:r>
              <w:rPr>
                <w:rFonts w:ascii="Arial" w:cs="Arial" w:eastAsia="Arial" w:hAnsi="Arial"/>
                <w:sz w:val="13"/>
                <w:szCs w:val="13"/>
                <w:color w:val="auto"/>
              </w:rPr>
              <w:t>8,655</w:t>
            </w:r>
            <w:r>
              <w:rPr>
                <w:rFonts w:ascii="Arial" w:cs="Arial" w:eastAsia="Arial" w:hAnsi="Arial"/>
                <w:sz w:val="22"/>
                <w:szCs w:val="22"/>
                <w:color w:val="auto"/>
                <w:vertAlign w:val="superscript"/>
              </w:rPr>
              <w:t>5b</w:t>
            </w:r>
          </w:p>
        </w:tc>
        <w:tc>
          <w:tcPr>
            <w:tcW w:w="160" w:type="dxa"/>
            <w:vAlign w:val="bottom"/>
            <w:tcBorders>
              <w:bottom w:val="single" w:sz="8" w:color="E7E7E8"/>
              <w:right w:val="single" w:sz="8" w:color="E7E7E8"/>
            </w:tcBorders>
            <w:shd w:val="clear" w:color="auto" w:fill="E7E7E8"/>
          </w:tcPr>
          <w:p>
            <w:pPr>
              <w:spacing w:after="0"/>
              <w:rPr>
                <w:sz w:val="21"/>
                <w:szCs w:val="21"/>
                <w:color w:val="auto"/>
              </w:rPr>
            </w:pPr>
          </w:p>
        </w:tc>
        <w:tc>
          <w:tcPr>
            <w:tcW w:w="2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E7E7E8"/>
          </w:tcPr>
          <w:p>
            <w:pPr>
              <w:jc w:val="right"/>
              <w:ind w:right="36"/>
              <w:spacing w:after="0" w:line="243" w:lineRule="exact"/>
              <w:rPr>
                <w:sz w:val="20"/>
                <w:szCs w:val="20"/>
                <w:color w:val="auto"/>
              </w:rPr>
            </w:pPr>
            <w:r>
              <w:rPr>
                <w:rFonts w:ascii="Arial" w:cs="Arial" w:eastAsia="Arial" w:hAnsi="Arial"/>
                <w:sz w:val="13"/>
                <w:szCs w:val="13"/>
                <w:color w:val="auto"/>
              </w:rPr>
              <w:t>932,057</w:t>
            </w:r>
            <w:r>
              <w:rPr>
                <w:rFonts w:ascii="Arial" w:cs="Arial" w:eastAsia="Arial" w:hAnsi="Arial"/>
                <w:sz w:val="22"/>
                <w:szCs w:val="22"/>
                <w:color w:val="auto"/>
                <w:vertAlign w:val="superscript"/>
              </w:rPr>
              <w:t>5b</w:t>
            </w:r>
          </w:p>
        </w:tc>
        <w:tc>
          <w:tcPr>
            <w:tcW w:w="160" w:type="dxa"/>
            <w:vAlign w:val="bottom"/>
            <w:tcBorders>
              <w:bottom w:val="single" w:sz="8" w:color="E7E7E8"/>
              <w:right w:val="single" w:sz="8" w:color="E7E7E8"/>
            </w:tcBorders>
            <w:shd w:val="clear" w:color="auto" w:fill="E7E7E8"/>
          </w:tcPr>
          <w:p>
            <w:pPr>
              <w:spacing w:after="0"/>
              <w:rPr>
                <w:sz w:val="21"/>
                <w:szCs w:val="21"/>
                <w:color w:val="auto"/>
              </w:rPr>
            </w:pPr>
          </w:p>
        </w:tc>
        <w:tc>
          <w:tcPr>
            <w:tcW w:w="880" w:type="dxa"/>
            <w:vAlign w:val="bottom"/>
            <w:tcBorders>
              <w:bottom w:val="single" w:sz="8" w:color="auto"/>
            </w:tcBorders>
            <w:shd w:val="clear" w:color="auto" w:fill="E7E7E8"/>
          </w:tcPr>
          <w:p>
            <w:pPr>
              <w:jc w:val="right"/>
              <w:spacing w:after="0" w:line="243" w:lineRule="exact"/>
              <w:rPr>
                <w:sz w:val="20"/>
                <w:szCs w:val="20"/>
                <w:color w:val="auto"/>
              </w:rPr>
            </w:pPr>
            <w:r>
              <w:rPr>
                <w:rFonts w:ascii="Arial" w:cs="Arial" w:eastAsia="Arial" w:hAnsi="Arial"/>
                <w:sz w:val="13"/>
                <w:szCs w:val="13"/>
                <w:color w:val="auto"/>
              </w:rPr>
              <w:t>12,982</w:t>
            </w:r>
            <w:r>
              <w:rPr>
                <w:rFonts w:ascii="Arial" w:cs="Arial" w:eastAsia="Arial" w:hAnsi="Arial"/>
                <w:sz w:val="22"/>
                <w:szCs w:val="22"/>
                <w:color w:val="auto"/>
                <w:vertAlign w:val="superscript"/>
              </w:rPr>
              <w:t>4c</w:t>
            </w:r>
          </w:p>
        </w:tc>
        <w:tc>
          <w:tcPr>
            <w:tcW w:w="160" w:type="dxa"/>
            <w:vAlign w:val="bottom"/>
            <w:tcBorders>
              <w:bottom w:val="single" w:sz="8" w:color="E7E7E8"/>
              <w:right w:val="single" w:sz="8" w:color="E7E7E8"/>
            </w:tcBorders>
            <w:shd w:val="clear" w:color="auto" w:fill="E7E7E8"/>
          </w:tcPr>
          <w:p>
            <w:pPr>
              <w:spacing w:after="0"/>
              <w:rPr>
                <w:sz w:val="21"/>
                <w:szCs w:val="21"/>
                <w:color w:val="auto"/>
              </w:rPr>
            </w:pPr>
          </w:p>
        </w:tc>
        <w:tc>
          <w:tcPr>
            <w:tcW w:w="1160" w:type="dxa"/>
            <w:vAlign w:val="bottom"/>
            <w:tcBorders>
              <w:bottom w:val="single" w:sz="8" w:color="auto"/>
            </w:tcBorders>
            <w:gridSpan w:val="2"/>
            <w:shd w:val="clear" w:color="auto" w:fill="E7E7E8"/>
          </w:tcPr>
          <w:p>
            <w:pPr>
              <w:jc w:val="right"/>
              <w:ind w:right="35"/>
              <w:spacing w:after="0" w:line="243" w:lineRule="exact"/>
              <w:rPr>
                <w:sz w:val="20"/>
                <w:szCs w:val="20"/>
                <w:color w:val="auto"/>
              </w:rPr>
            </w:pPr>
            <w:r>
              <w:rPr>
                <w:rFonts w:ascii="Arial" w:cs="Arial" w:eastAsia="Arial" w:hAnsi="Arial"/>
                <w:sz w:val="13"/>
                <w:szCs w:val="13"/>
                <w:color w:val="auto"/>
              </w:rPr>
              <w:t>$ 1,398,032</w:t>
            </w:r>
            <w:r>
              <w:rPr>
                <w:rFonts w:ascii="Arial" w:cs="Arial" w:eastAsia="Arial" w:hAnsi="Arial"/>
                <w:sz w:val="22"/>
                <w:szCs w:val="22"/>
                <w:color w:val="auto"/>
                <w:vertAlign w:val="superscript"/>
              </w:rPr>
              <w:t>4c</w:t>
            </w:r>
          </w:p>
        </w:tc>
        <w:tc>
          <w:tcPr>
            <w:tcW w:w="0" w:type="dxa"/>
            <w:vAlign w:val="bottom"/>
          </w:tcPr>
          <w:p>
            <w:pPr>
              <w:spacing w:after="0"/>
              <w:rPr>
                <w:sz w:val="1"/>
                <w:szCs w:val="1"/>
                <w:color w:val="auto"/>
              </w:rPr>
            </w:pPr>
          </w:p>
        </w:tc>
      </w:tr>
      <w:tr>
        <w:trPr>
          <w:trHeight w:val="242"/>
        </w:trPr>
        <w:tc>
          <w:tcPr>
            <w:tcW w:w="2240" w:type="dxa"/>
            <w:vAlign w:val="bottom"/>
            <w:tcBorders>
              <w:bottom w:val="single" w:sz="8" w:color="808080"/>
            </w:tcBorders>
            <w:shd w:val="clear" w:color="auto" w:fill="E7E7E8"/>
          </w:tcPr>
          <w:p>
            <w:pPr>
              <w:spacing w:after="0"/>
              <w:rPr>
                <w:sz w:val="21"/>
                <w:szCs w:val="21"/>
                <w:color w:val="auto"/>
              </w:rPr>
            </w:pPr>
          </w:p>
        </w:tc>
        <w:tc>
          <w:tcPr>
            <w:tcW w:w="140" w:type="dxa"/>
            <w:vAlign w:val="bottom"/>
            <w:tcBorders>
              <w:right w:val="single" w:sz="8" w:color="E7E7E8"/>
            </w:tcBorders>
            <w:shd w:val="clear" w:color="auto" w:fill="E7E7E8"/>
          </w:tcPr>
          <w:p>
            <w:pPr>
              <w:spacing w:after="0"/>
              <w:rPr>
                <w:sz w:val="21"/>
                <w:szCs w:val="21"/>
                <w:color w:val="auto"/>
              </w:rPr>
            </w:pPr>
          </w:p>
        </w:tc>
        <w:tc>
          <w:tcPr>
            <w:tcW w:w="8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12/5/2023</w:t>
            </w:r>
          </w:p>
        </w:tc>
        <w:tc>
          <w:tcPr>
            <w:tcW w:w="140" w:type="dxa"/>
            <w:vAlign w:val="bottom"/>
            <w:shd w:val="clear" w:color="auto" w:fill="E7E7E8"/>
          </w:tcPr>
          <w:p>
            <w:pPr>
              <w:spacing w:after="0"/>
              <w:rPr>
                <w:sz w:val="21"/>
                <w:szCs w:val="21"/>
                <w:color w:val="auto"/>
              </w:rPr>
            </w:pPr>
          </w:p>
        </w:tc>
        <w:tc>
          <w:tcPr>
            <w:tcW w:w="40" w:type="dxa"/>
            <w:vAlign w:val="bottom"/>
            <w:tcBorders>
              <w:bottom w:val="single" w:sz="8" w:color="auto"/>
              <w:right w:val="single" w:sz="8" w:color="E7E7E8"/>
            </w:tcBorders>
            <w:shd w:val="clear" w:color="auto" w:fill="E7E7E8"/>
          </w:tcPr>
          <w:p>
            <w:pPr>
              <w:spacing w:after="0"/>
              <w:rPr>
                <w:sz w:val="21"/>
                <w:szCs w:val="21"/>
                <w:color w:val="auto"/>
              </w:rPr>
            </w:pPr>
          </w:p>
        </w:tc>
        <w:tc>
          <w:tcPr>
            <w:tcW w:w="9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right w:val="single" w:sz="8" w:color="E7E7E8"/>
            </w:tcBorders>
            <w:shd w:val="clear" w:color="auto" w:fill="E7E7E8"/>
          </w:tcPr>
          <w:p>
            <w:pPr>
              <w:spacing w:after="0"/>
              <w:rPr>
                <w:sz w:val="21"/>
                <w:szCs w:val="21"/>
                <w:color w:val="auto"/>
              </w:rPr>
            </w:pPr>
          </w:p>
        </w:tc>
        <w:tc>
          <w:tcPr>
            <w:tcW w:w="880" w:type="dxa"/>
            <w:vAlign w:val="bottom"/>
            <w:tcBorders>
              <w:bottom w:val="single" w:sz="8" w:color="auto"/>
            </w:tcBorders>
            <w:shd w:val="clear" w:color="auto" w:fill="E7E7E8"/>
          </w:tcPr>
          <w:p>
            <w:pPr>
              <w:spacing w:after="0"/>
              <w:rPr>
                <w:sz w:val="21"/>
                <w:szCs w:val="21"/>
                <w:color w:val="auto"/>
              </w:rPr>
            </w:pPr>
          </w:p>
        </w:tc>
        <w:tc>
          <w:tcPr>
            <w:tcW w:w="160" w:type="dxa"/>
            <w:vAlign w:val="bottom"/>
            <w:tcBorders>
              <w:right w:val="single" w:sz="8" w:color="E7E7E8"/>
            </w:tcBorders>
            <w:shd w:val="clear" w:color="auto" w:fill="E7E7E8"/>
          </w:tcPr>
          <w:p>
            <w:pPr>
              <w:spacing w:after="0"/>
              <w:rPr>
                <w:sz w:val="21"/>
                <w:szCs w:val="21"/>
                <w:color w:val="auto"/>
              </w:rPr>
            </w:pPr>
          </w:p>
        </w:tc>
        <w:tc>
          <w:tcPr>
            <w:tcW w:w="880" w:type="dxa"/>
            <w:vAlign w:val="bottom"/>
            <w:tcBorders>
              <w:bottom w:val="single" w:sz="8" w:color="auto"/>
            </w:tcBorders>
            <w:shd w:val="clear" w:color="auto" w:fill="E7E7E8"/>
          </w:tcPr>
          <w:p>
            <w:pPr>
              <w:spacing w:after="0"/>
              <w:rPr>
                <w:sz w:val="21"/>
                <w:szCs w:val="21"/>
                <w:color w:val="auto"/>
              </w:rPr>
            </w:pPr>
          </w:p>
        </w:tc>
        <w:tc>
          <w:tcPr>
            <w:tcW w:w="160" w:type="dxa"/>
            <w:vAlign w:val="bottom"/>
            <w:tcBorders>
              <w:right w:val="single" w:sz="8" w:color="E7E7E8"/>
            </w:tcBorders>
            <w:shd w:val="clear" w:color="auto" w:fill="E7E7E8"/>
          </w:tcPr>
          <w:p>
            <w:pPr>
              <w:spacing w:after="0"/>
              <w:rPr>
                <w:sz w:val="21"/>
                <w:szCs w:val="21"/>
                <w:color w:val="auto"/>
              </w:rPr>
            </w:pPr>
          </w:p>
        </w:tc>
        <w:tc>
          <w:tcPr>
            <w:tcW w:w="1080" w:type="dxa"/>
            <w:vAlign w:val="bottom"/>
            <w:tcBorders>
              <w:bottom w:val="single" w:sz="8" w:color="auto"/>
            </w:tcBorders>
            <w:shd w:val="clear" w:color="auto" w:fill="E7E7E8"/>
          </w:tcPr>
          <w:p>
            <w:pPr>
              <w:jc w:val="right"/>
              <w:ind w:right="15"/>
              <w:spacing w:after="0" w:line="243" w:lineRule="exact"/>
              <w:rPr>
                <w:sz w:val="20"/>
                <w:szCs w:val="20"/>
                <w:color w:val="auto"/>
              </w:rPr>
            </w:pPr>
            <w:r>
              <w:rPr>
                <w:rFonts w:ascii="Arial" w:cs="Arial" w:eastAsia="Arial" w:hAnsi="Arial"/>
                <w:sz w:val="13"/>
                <w:szCs w:val="13"/>
                <w:color w:val="auto"/>
              </w:rPr>
              <w:t>14,918</w:t>
            </w:r>
            <w:r>
              <w:rPr>
                <w:rFonts w:ascii="Arial" w:cs="Arial" w:eastAsia="Arial" w:hAnsi="Arial"/>
                <w:sz w:val="22"/>
                <w:szCs w:val="22"/>
                <w:color w:val="auto"/>
                <w:vertAlign w:val="superscript"/>
              </w:rPr>
              <w:t>5c</w:t>
            </w:r>
          </w:p>
        </w:tc>
        <w:tc>
          <w:tcPr>
            <w:tcW w:w="160" w:type="dxa"/>
            <w:vAlign w:val="bottom"/>
            <w:tcBorders>
              <w:right w:val="single" w:sz="8" w:color="E7E7E8"/>
            </w:tcBorders>
            <w:shd w:val="clear" w:color="auto" w:fill="E7E7E8"/>
          </w:tcPr>
          <w:p>
            <w:pPr>
              <w:spacing w:after="0"/>
              <w:rPr>
                <w:sz w:val="21"/>
                <w:szCs w:val="21"/>
                <w:color w:val="auto"/>
              </w:rPr>
            </w:pPr>
          </w:p>
        </w:tc>
        <w:tc>
          <w:tcPr>
            <w:tcW w:w="1040" w:type="dxa"/>
            <w:vAlign w:val="bottom"/>
            <w:tcBorders>
              <w:bottom w:val="single" w:sz="8" w:color="auto"/>
            </w:tcBorders>
            <w:gridSpan w:val="2"/>
            <w:shd w:val="clear" w:color="auto" w:fill="E7E7E8"/>
          </w:tcPr>
          <w:p>
            <w:pPr>
              <w:jc w:val="right"/>
              <w:ind w:right="36"/>
              <w:spacing w:after="0" w:line="243" w:lineRule="exact"/>
              <w:rPr>
                <w:sz w:val="20"/>
                <w:szCs w:val="20"/>
                <w:color w:val="auto"/>
              </w:rPr>
            </w:pPr>
            <w:r>
              <w:rPr>
                <w:rFonts w:ascii="Arial" w:cs="Arial" w:eastAsia="Arial" w:hAnsi="Arial"/>
                <w:sz w:val="13"/>
                <w:szCs w:val="13"/>
                <w:color w:val="auto"/>
              </w:rPr>
              <w:t>$1,606,519</w:t>
            </w:r>
            <w:r>
              <w:rPr>
                <w:rFonts w:ascii="Arial" w:cs="Arial" w:eastAsia="Arial" w:hAnsi="Arial"/>
                <w:sz w:val="22"/>
                <w:szCs w:val="22"/>
                <w:color w:val="auto"/>
                <w:vertAlign w:val="superscript"/>
              </w:rPr>
              <w:t>5c</w:t>
            </w:r>
          </w:p>
        </w:tc>
        <w:tc>
          <w:tcPr>
            <w:tcW w:w="160" w:type="dxa"/>
            <w:vAlign w:val="bottom"/>
            <w:tcBorders>
              <w:right w:val="single" w:sz="8" w:color="E7E7E8"/>
            </w:tcBorders>
            <w:shd w:val="clear" w:color="auto" w:fill="E7E7E8"/>
          </w:tcPr>
          <w:p>
            <w:pPr>
              <w:spacing w:after="0"/>
              <w:rPr>
                <w:sz w:val="21"/>
                <w:szCs w:val="21"/>
                <w:color w:val="auto"/>
              </w:rPr>
            </w:pPr>
          </w:p>
        </w:tc>
        <w:tc>
          <w:tcPr>
            <w:tcW w:w="880" w:type="dxa"/>
            <w:vAlign w:val="bottom"/>
            <w:tcBorders>
              <w:bottom w:val="single" w:sz="8" w:color="auto"/>
            </w:tcBorders>
            <w:shd w:val="clear" w:color="auto" w:fill="E7E7E8"/>
          </w:tcPr>
          <w:p>
            <w:pPr>
              <w:jc w:val="right"/>
              <w:spacing w:after="0" w:line="243" w:lineRule="exact"/>
              <w:rPr>
                <w:sz w:val="20"/>
                <w:szCs w:val="20"/>
                <w:color w:val="auto"/>
              </w:rPr>
            </w:pPr>
            <w:r>
              <w:rPr>
                <w:rFonts w:ascii="Arial" w:cs="Arial" w:eastAsia="Arial" w:hAnsi="Arial"/>
                <w:sz w:val="13"/>
                <w:szCs w:val="13"/>
                <w:color w:val="auto"/>
              </w:rPr>
              <w:t>14,918</w:t>
            </w:r>
            <w:r>
              <w:rPr>
                <w:rFonts w:ascii="Arial" w:cs="Arial" w:eastAsia="Arial" w:hAnsi="Arial"/>
                <w:sz w:val="22"/>
                <w:szCs w:val="22"/>
                <w:color w:val="auto"/>
                <w:vertAlign w:val="superscript"/>
              </w:rPr>
              <w:t>4d</w:t>
            </w:r>
          </w:p>
        </w:tc>
        <w:tc>
          <w:tcPr>
            <w:tcW w:w="160" w:type="dxa"/>
            <w:vAlign w:val="bottom"/>
            <w:tcBorders>
              <w:right w:val="single" w:sz="8" w:color="E7E7E8"/>
            </w:tcBorders>
            <w:shd w:val="clear" w:color="auto" w:fill="E7E7E8"/>
          </w:tcPr>
          <w:p>
            <w:pPr>
              <w:spacing w:after="0"/>
              <w:rPr>
                <w:sz w:val="21"/>
                <w:szCs w:val="21"/>
                <w:color w:val="auto"/>
              </w:rPr>
            </w:pPr>
          </w:p>
        </w:tc>
        <w:tc>
          <w:tcPr>
            <w:tcW w:w="1160" w:type="dxa"/>
            <w:vAlign w:val="bottom"/>
            <w:tcBorders>
              <w:bottom w:val="single" w:sz="8" w:color="auto"/>
            </w:tcBorders>
            <w:gridSpan w:val="2"/>
            <w:shd w:val="clear" w:color="auto" w:fill="E7E7E8"/>
          </w:tcPr>
          <w:p>
            <w:pPr>
              <w:jc w:val="right"/>
              <w:ind w:right="35"/>
              <w:spacing w:after="0" w:line="243" w:lineRule="exact"/>
              <w:rPr>
                <w:sz w:val="20"/>
                <w:szCs w:val="20"/>
                <w:color w:val="auto"/>
              </w:rPr>
            </w:pPr>
            <w:r>
              <w:rPr>
                <w:rFonts w:ascii="Arial" w:cs="Arial" w:eastAsia="Arial" w:hAnsi="Arial"/>
                <w:sz w:val="13"/>
                <w:szCs w:val="13"/>
                <w:color w:val="auto"/>
              </w:rPr>
              <w:t>$ 1,606,519</w:t>
            </w:r>
            <w:r>
              <w:rPr>
                <w:rFonts w:ascii="Arial" w:cs="Arial" w:eastAsia="Arial" w:hAnsi="Arial"/>
                <w:sz w:val="22"/>
                <w:szCs w:val="22"/>
                <w:color w:val="auto"/>
                <w:vertAlign w:val="superscript"/>
              </w:rPr>
              <w:t>4d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-2912110</wp:posOffset>
            </wp:positionV>
            <wp:extent cx="71120" cy="8331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120" cy="833120"/>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-2912110</wp:posOffset>
            </wp:positionV>
            <wp:extent cx="86995" cy="8331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6995" cy="833120"/>
                    </a:xfrm>
                    <a:prstGeom prst="rect">
                      <a:avLst/>
                    </a:prstGeom>
                    <a:noFill/>
                  </pic:spPr>
                </pic:pic>
              </a:graphicData>
            </a:graphic>
          </wp:anchor>
        </w:drawing>
        <w:drawing>
          <wp:anchor simplePos="0" relativeHeight="251657728" behindDoc="1" locked="0" layoutInCell="0" allowOverlap="1">
            <wp:simplePos x="0" y="0"/>
            <wp:positionH relativeFrom="column">
              <wp:posOffset>2769870</wp:posOffset>
            </wp:positionH>
            <wp:positionV relativeFrom="paragraph">
              <wp:posOffset>-2912110</wp:posOffset>
            </wp:positionV>
            <wp:extent cx="86995" cy="8331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6995" cy="833120"/>
                    </a:xfrm>
                    <a:prstGeom prst="rect">
                      <a:avLst/>
                    </a:prstGeom>
                    <a:noFill/>
                  </pic:spPr>
                </pic:pic>
              </a:graphicData>
            </a:graphic>
          </wp:anchor>
        </w:drawing>
        <w:drawing>
          <wp:anchor simplePos="0" relativeHeight="251657728" behindDoc="1" locked="0" layoutInCell="0" allowOverlap="1">
            <wp:simplePos x="0" y="0"/>
            <wp:positionH relativeFrom="column">
              <wp:posOffset>3428365</wp:posOffset>
            </wp:positionH>
            <wp:positionV relativeFrom="paragraph">
              <wp:posOffset>-2912110</wp:posOffset>
            </wp:positionV>
            <wp:extent cx="86995" cy="83312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6995" cy="833120"/>
                    </a:xfrm>
                    <a:prstGeom prst="rect">
                      <a:avLst/>
                    </a:prstGeom>
                    <a:noFill/>
                  </pic:spPr>
                </pic:pic>
              </a:graphicData>
            </a:graphic>
          </wp:anchor>
        </w:drawing>
        <w:drawing>
          <wp:anchor simplePos="0" relativeHeight="251657728" behindDoc="1" locked="0" layoutInCell="0" allowOverlap="1">
            <wp:simplePos x="0" y="0"/>
            <wp:positionH relativeFrom="column">
              <wp:posOffset>4086860</wp:posOffset>
            </wp:positionH>
            <wp:positionV relativeFrom="paragraph">
              <wp:posOffset>-2912110</wp:posOffset>
            </wp:positionV>
            <wp:extent cx="86995" cy="8331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6995" cy="833120"/>
                    </a:xfrm>
                    <a:prstGeom prst="rect">
                      <a:avLst/>
                    </a:prstGeom>
                    <a:noFill/>
                  </pic:spPr>
                </pic:pic>
              </a:graphicData>
            </a:graphic>
          </wp:anchor>
        </w:drawing>
        <w:drawing>
          <wp:anchor simplePos="0" relativeHeight="251657728" behindDoc="1" locked="0" layoutInCell="0" allowOverlap="1">
            <wp:simplePos x="0" y="0"/>
            <wp:positionH relativeFrom="column">
              <wp:posOffset>4880610</wp:posOffset>
            </wp:positionH>
            <wp:positionV relativeFrom="paragraph">
              <wp:posOffset>-2912110</wp:posOffset>
            </wp:positionV>
            <wp:extent cx="86995" cy="8331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6995" cy="833120"/>
                    </a:xfrm>
                    <a:prstGeom prst="rect">
                      <a:avLst/>
                    </a:prstGeom>
                    <a:noFill/>
                  </pic:spPr>
                </pic:pic>
              </a:graphicData>
            </a:graphic>
          </wp:anchor>
        </w:drawing>
        <w:drawing>
          <wp:anchor simplePos="0" relativeHeight="251657728" behindDoc="1" locked="0" layoutInCell="0" allowOverlap="1">
            <wp:simplePos x="0" y="0"/>
            <wp:positionH relativeFrom="column">
              <wp:posOffset>5634355</wp:posOffset>
            </wp:positionH>
            <wp:positionV relativeFrom="paragraph">
              <wp:posOffset>-2912110</wp:posOffset>
            </wp:positionV>
            <wp:extent cx="86995" cy="8331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6995" cy="833120"/>
                    </a:xfrm>
                    <a:prstGeom prst="rect">
                      <a:avLst/>
                    </a:prstGeom>
                    <a:noFill/>
                  </pic:spPr>
                </pic:pic>
              </a:graphicData>
            </a:graphic>
          </wp:anchor>
        </w:drawing>
        <w:drawing>
          <wp:anchor simplePos="0" relativeHeight="251657728" behindDoc="1" locked="0" layoutInCell="0" allowOverlap="1">
            <wp:simplePos x="0" y="0"/>
            <wp:positionH relativeFrom="column">
              <wp:posOffset>6301105</wp:posOffset>
            </wp:positionH>
            <wp:positionV relativeFrom="paragraph">
              <wp:posOffset>-2912110</wp:posOffset>
            </wp:positionV>
            <wp:extent cx="86995" cy="83312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6995" cy="833120"/>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-840740</wp:posOffset>
            </wp:positionV>
            <wp:extent cx="71120" cy="8331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120" cy="833120"/>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-840740</wp:posOffset>
            </wp:positionV>
            <wp:extent cx="86995" cy="8331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6995" cy="833120"/>
                    </a:xfrm>
                    <a:prstGeom prst="rect">
                      <a:avLst/>
                    </a:prstGeom>
                    <a:noFill/>
                  </pic:spPr>
                </pic:pic>
              </a:graphicData>
            </a:graphic>
          </wp:anchor>
        </w:drawing>
        <w:drawing>
          <wp:anchor simplePos="0" relativeHeight="251657728" behindDoc="1" locked="0" layoutInCell="0" allowOverlap="1">
            <wp:simplePos x="0" y="0"/>
            <wp:positionH relativeFrom="column">
              <wp:posOffset>2769870</wp:posOffset>
            </wp:positionH>
            <wp:positionV relativeFrom="paragraph">
              <wp:posOffset>-840740</wp:posOffset>
            </wp:positionV>
            <wp:extent cx="86995" cy="8331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6995" cy="833120"/>
                    </a:xfrm>
                    <a:prstGeom prst="rect">
                      <a:avLst/>
                    </a:prstGeom>
                    <a:noFill/>
                  </pic:spPr>
                </pic:pic>
              </a:graphicData>
            </a:graphic>
          </wp:anchor>
        </w:drawing>
        <w:drawing>
          <wp:anchor simplePos="0" relativeHeight="251657728" behindDoc="1" locked="0" layoutInCell="0" allowOverlap="1">
            <wp:simplePos x="0" y="0"/>
            <wp:positionH relativeFrom="column">
              <wp:posOffset>3428365</wp:posOffset>
            </wp:positionH>
            <wp:positionV relativeFrom="paragraph">
              <wp:posOffset>-840740</wp:posOffset>
            </wp:positionV>
            <wp:extent cx="86995" cy="8331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6995" cy="833120"/>
                    </a:xfrm>
                    <a:prstGeom prst="rect">
                      <a:avLst/>
                    </a:prstGeom>
                    <a:noFill/>
                  </pic:spPr>
                </pic:pic>
              </a:graphicData>
            </a:graphic>
          </wp:anchor>
        </w:drawing>
        <w:drawing>
          <wp:anchor simplePos="0" relativeHeight="251657728" behindDoc="1" locked="0" layoutInCell="0" allowOverlap="1">
            <wp:simplePos x="0" y="0"/>
            <wp:positionH relativeFrom="column">
              <wp:posOffset>4086860</wp:posOffset>
            </wp:positionH>
            <wp:positionV relativeFrom="paragraph">
              <wp:posOffset>-840740</wp:posOffset>
            </wp:positionV>
            <wp:extent cx="86995" cy="8331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6995" cy="833120"/>
                    </a:xfrm>
                    <a:prstGeom prst="rect">
                      <a:avLst/>
                    </a:prstGeom>
                    <a:noFill/>
                  </pic:spPr>
                </pic:pic>
              </a:graphicData>
            </a:graphic>
          </wp:anchor>
        </w:drawing>
        <w:drawing>
          <wp:anchor simplePos="0" relativeHeight="251657728" behindDoc="1" locked="0" layoutInCell="0" allowOverlap="1">
            <wp:simplePos x="0" y="0"/>
            <wp:positionH relativeFrom="column">
              <wp:posOffset>4880610</wp:posOffset>
            </wp:positionH>
            <wp:positionV relativeFrom="paragraph">
              <wp:posOffset>-840740</wp:posOffset>
            </wp:positionV>
            <wp:extent cx="86995" cy="83312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6995" cy="833120"/>
                    </a:xfrm>
                    <a:prstGeom prst="rect">
                      <a:avLst/>
                    </a:prstGeom>
                    <a:noFill/>
                  </pic:spPr>
                </pic:pic>
              </a:graphicData>
            </a:graphic>
          </wp:anchor>
        </w:drawing>
        <w:drawing>
          <wp:anchor simplePos="0" relativeHeight="251657728" behindDoc="1" locked="0" layoutInCell="0" allowOverlap="1">
            <wp:simplePos x="0" y="0"/>
            <wp:positionH relativeFrom="column">
              <wp:posOffset>5634355</wp:posOffset>
            </wp:positionH>
            <wp:positionV relativeFrom="paragraph">
              <wp:posOffset>-840740</wp:posOffset>
            </wp:positionV>
            <wp:extent cx="86995" cy="8331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6995" cy="833120"/>
                    </a:xfrm>
                    <a:prstGeom prst="rect">
                      <a:avLst/>
                    </a:prstGeom>
                    <a:noFill/>
                  </pic:spPr>
                </pic:pic>
              </a:graphicData>
            </a:graphic>
          </wp:anchor>
        </w:drawing>
        <w:drawing>
          <wp:anchor simplePos="0" relativeHeight="251657728" behindDoc="1" locked="0" layoutInCell="0" allowOverlap="1">
            <wp:simplePos x="0" y="0"/>
            <wp:positionH relativeFrom="column">
              <wp:posOffset>6301105</wp:posOffset>
            </wp:positionH>
            <wp:positionV relativeFrom="paragraph">
              <wp:posOffset>-840740</wp:posOffset>
            </wp:positionV>
            <wp:extent cx="86995" cy="83312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6995" cy="833120"/>
                    </a:xfrm>
                    <a:prstGeom prst="rect">
                      <a:avLst/>
                    </a:prstGeom>
                    <a:noFill/>
                  </pic:spPr>
                </pic:pic>
              </a:graphicData>
            </a:graphic>
          </wp:anchor>
        </w:drawing>
      </w:r>
    </w:p>
    <w:p>
      <w:pPr>
        <w:spacing w:after="0" w:line="172" w:lineRule="exact"/>
        <w:rPr>
          <w:sz w:val="20"/>
          <w:szCs w:val="20"/>
          <w:color w:val="auto"/>
        </w:rPr>
      </w:pPr>
    </w:p>
    <w:p>
      <w:pPr>
        <w:ind w:left="300" w:right="300" w:hanging="300"/>
        <w:spacing w:after="0" w:line="193" w:lineRule="auto"/>
        <w:tabs>
          <w:tab w:leader="none" w:pos="300" w:val="left"/>
        </w:tabs>
        <w:numPr>
          <w:ilvl w:val="0"/>
          <w:numId w:val="101"/>
        </w:numPr>
        <w:rPr>
          <w:rFonts w:ascii="Arial" w:cs="Arial" w:eastAsia="Arial" w:hAnsi="Arial"/>
          <w:sz w:val="22"/>
          <w:szCs w:val="22"/>
          <w:color w:val="auto"/>
          <w:vertAlign w:val="superscript"/>
        </w:rPr>
      </w:pPr>
      <w:r>
        <w:rPr>
          <w:rFonts w:ascii="Arial" w:cs="Arial" w:eastAsia="Arial" w:hAnsi="Arial"/>
          <w:sz w:val="13"/>
          <w:szCs w:val="13"/>
          <w:color w:val="auto"/>
        </w:rPr>
        <w:t>Includes only those columns that related to outstanding equity awards at December 31, 2023. All other columns have been omitted. Mr. August does not have any outstanding equity awards, so he has been excluded from the table.</w:t>
      </w:r>
    </w:p>
    <w:p>
      <w:pPr>
        <w:ind w:left="300" w:hanging="300"/>
        <w:spacing w:after="0" w:line="226" w:lineRule="auto"/>
        <w:tabs>
          <w:tab w:leader="none" w:pos="300" w:val="left"/>
        </w:tabs>
        <w:numPr>
          <w:ilvl w:val="0"/>
          <w:numId w:val="102"/>
        </w:numPr>
        <w:rPr>
          <w:rFonts w:ascii="Arial" w:cs="Arial" w:eastAsia="Arial" w:hAnsi="Arial"/>
          <w:sz w:val="22"/>
          <w:szCs w:val="22"/>
          <w:color w:val="auto"/>
          <w:vertAlign w:val="superscript"/>
        </w:rPr>
      </w:pPr>
      <w:r>
        <w:rPr>
          <w:rFonts w:ascii="Arial" w:cs="Arial" w:eastAsia="Arial" w:hAnsi="Arial"/>
          <w:sz w:val="13"/>
          <w:szCs w:val="13"/>
          <w:color w:val="auto"/>
        </w:rPr>
        <w:t>The market value of these stock units was calculated using the closing market price per share of Price Group's common stock on December 31, 2023.</w:t>
      </w:r>
    </w:p>
    <w:p>
      <w:pPr>
        <w:spacing w:after="0" w:line="95" w:lineRule="exact"/>
        <w:rPr>
          <w:sz w:val="20"/>
          <w:szCs w:val="20"/>
          <w:color w:val="auto"/>
        </w:rPr>
      </w:pPr>
    </w:p>
    <w:p>
      <w:pPr>
        <w:ind w:left="300" w:right="620" w:hanging="300"/>
        <w:spacing w:after="0" w:line="189" w:lineRule="auto"/>
        <w:tabs>
          <w:tab w:leader="none" w:pos="300" w:val="left"/>
        </w:tabs>
        <w:numPr>
          <w:ilvl w:val="0"/>
          <w:numId w:val="103"/>
        </w:numPr>
        <w:rPr>
          <w:rFonts w:ascii="Arial" w:cs="Arial" w:eastAsia="Arial" w:hAnsi="Arial"/>
          <w:sz w:val="22"/>
          <w:szCs w:val="22"/>
          <w:color w:val="auto"/>
          <w:vertAlign w:val="superscript"/>
        </w:rPr>
      </w:pPr>
      <w:r>
        <w:rPr>
          <w:rFonts w:ascii="Arial" w:cs="Arial" w:eastAsia="Arial" w:hAnsi="Arial"/>
          <w:sz w:val="13"/>
          <w:szCs w:val="13"/>
          <w:color w:val="auto"/>
        </w:rPr>
        <w:t>For each performance-based RSU award earned and not vested at December 31, 2023, the following table includes the date of the meeting or unanimous consent at which the Compensation Committee certified that the performance threshold was met, the awards' performance period, and the awards remaining vesting schedule.</w:t>
      </w:r>
    </w:p>
    <w:p>
      <w:pPr>
        <w:spacing w:after="0" w:line="153" w:lineRule="exact"/>
        <w:rPr>
          <w:sz w:val="20"/>
          <w:szCs w:val="20"/>
          <w:color w:val="auto"/>
        </w:rPr>
      </w:pPr>
    </w:p>
    <w:tbl>
      <w:tblPr>
        <w:tblLayout w:type="fixed"/>
        <w:tblInd w:w="300" w:type="dxa"/>
        <w:tblCellMar>
          <w:top w:w="0" w:type="dxa"/>
          <w:left w:w="0" w:type="dxa"/>
          <w:bottom w:w="0" w:type="dxa"/>
          <w:right w:w="0" w:type="dxa"/>
        </w:tblCellMar>
      </w:tblPr>
      <w:tr>
        <w:trPr>
          <w:trHeight w:val="138"/>
        </w:trPr>
        <w:tc>
          <w:tcPr>
            <w:tcW w:w="112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78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2"/>
                <w:szCs w:val="12"/>
                <w:b w:val="1"/>
                <w:bCs w:val="1"/>
                <w:color w:val="auto"/>
              </w:rPr>
              <w:t>DATE</w:t>
            </w:r>
          </w:p>
        </w:tc>
        <w:tc>
          <w:tcPr>
            <w:tcW w:w="14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b w:val="1"/>
                <w:bCs w:val="1"/>
                <w:color w:val="auto"/>
              </w:rPr>
              <w:t>PERFORMANCE</w:t>
            </w:r>
          </w:p>
        </w:tc>
        <w:tc>
          <w:tcPr>
            <w:tcW w:w="1400" w:type="dxa"/>
            <w:vAlign w:val="bottom"/>
            <w:tcBorders>
              <w:right w:val="single" w:sz="8" w:color="auto"/>
            </w:tcBorders>
            <w:gridSpan w:val="2"/>
            <w:vMerge w:val="restart"/>
          </w:tcPr>
          <w:p>
            <w:pPr>
              <w:jc w:val="right"/>
              <w:ind w:right="220"/>
              <w:spacing w:after="0"/>
              <w:rPr>
                <w:sz w:val="20"/>
                <w:szCs w:val="20"/>
                <w:color w:val="auto"/>
              </w:rPr>
            </w:pPr>
            <w:r>
              <w:rPr>
                <w:rFonts w:ascii="Arial" w:cs="Arial" w:eastAsia="Arial" w:hAnsi="Arial"/>
                <w:sz w:val="12"/>
                <w:szCs w:val="12"/>
                <w:b w:val="1"/>
                <w:bCs w:val="1"/>
                <w:color w:val="auto"/>
              </w:rPr>
              <w:t>PERFORMANCE</w:t>
            </w:r>
          </w:p>
        </w:tc>
        <w:tc>
          <w:tcPr>
            <w:tcW w:w="13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b w:val="1"/>
                <w:bCs w:val="1"/>
                <w:color w:val="auto"/>
              </w:rPr>
              <w:t>REMAINING</w:t>
            </w: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28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2"/>
                <w:szCs w:val="12"/>
                <w:b w:val="1"/>
                <w:bCs w:val="1"/>
                <w:color w:val="auto"/>
              </w:rPr>
              <w:t>FOOTNOTE</w:t>
            </w:r>
          </w:p>
        </w:tc>
        <w:tc>
          <w:tcPr>
            <w:tcW w:w="1780" w:type="dxa"/>
            <w:vAlign w:val="bottom"/>
            <w:tcBorders>
              <w:right w:val="single" w:sz="8" w:color="auto"/>
            </w:tcBorders>
            <w:gridSpan w:val="2"/>
            <w:vMerge w:val="continue"/>
          </w:tcPr>
          <w:p>
            <w:pPr>
              <w:spacing w:after="0"/>
              <w:rPr>
                <w:sz w:val="10"/>
                <w:szCs w:val="10"/>
                <w:color w:val="auto"/>
              </w:rPr>
            </w:pPr>
          </w:p>
        </w:tc>
        <w:tc>
          <w:tcPr>
            <w:tcW w:w="1400" w:type="dxa"/>
            <w:vAlign w:val="bottom"/>
            <w:tcBorders>
              <w:right w:val="single" w:sz="8" w:color="auto"/>
            </w:tcBorders>
            <w:gridSpan w:val="2"/>
          </w:tcPr>
          <w:p>
            <w:pPr>
              <w:jc w:val="right"/>
              <w:ind w:right="220"/>
              <w:spacing w:after="0" w:line="125" w:lineRule="exact"/>
              <w:rPr>
                <w:sz w:val="20"/>
                <w:szCs w:val="20"/>
                <w:color w:val="auto"/>
              </w:rPr>
            </w:pPr>
            <w:r>
              <w:rPr>
                <w:rFonts w:ascii="Arial" w:cs="Arial" w:eastAsia="Arial" w:hAnsi="Arial"/>
                <w:sz w:val="12"/>
                <w:szCs w:val="12"/>
                <w:b w:val="1"/>
                <w:bCs w:val="1"/>
                <w:color w:val="auto"/>
              </w:rPr>
              <w:t>PERIOD</w:t>
            </w:r>
          </w:p>
        </w:tc>
        <w:tc>
          <w:tcPr>
            <w:tcW w:w="1400" w:type="dxa"/>
            <w:vAlign w:val="bottom"/>
            <w:tcBorders>
              <w:right w:val="single" w:sz="8" w:color="auto"/>
            </w:tcBorders>
            <w:gridSpan w:val="2"/>
            <w:vMerge w:val="continue"/>
          </w:tcPr>
          <w:p>
            <w:pPr>
              <w:spacing w:after="0"/>
              <w:rPr>
                <w:sz w:val="10"/>
                <w:szCs w:val="10"/>
                <w:color w:val="auto"/>
              </w:rPr>
            </w:pPr>
          </w:p>
        </w:tc>
        <w:tc>
          <w:tcPr>
            <w:tcW w:w="1380" w:type="dxa"/>
            <w:vAlign w:val="bottom"/>
            <w:tcBorders>
              <w:right w:val="single" w:sz="8" w:color="auto"/>
            </w:tcBorders>
            <w:gridSpan w:val="2"/>
          </w:tcPr>
          <w:p>
            <w:pPr>
              <w:jc w:val="right"/>
              <w:ind w:right="220"/>
              <w:spacing w:after="0" w:line="125" w:lineRule="exact"/>
              <w:rPr>
                <w:sz w:val="20"/>
                <w:szCs w:val="20"/>
                <w:color w:val="auto"/>
              </w:rPr>
            </w:pPr>
            <w:r>
              <w:rPr>
                <w:rFonts w:ascii="Arial" w:cs="Arial" w:eastAsia="Arial" w:hAnsi="Arial"/>
                <w:sz w:val="12"/>
                <w:szCs w:val="12"/>
                <w:b w:val="1"/>
                <w:bCs w:val="1"/>
                <w:color w:val="auto"/>
              </w:rPr>
              <w:t>PERCENTAGE</w:t>
            </w:r>
          </w:p>
        </w:tc>
        <w:tc>
          <w:tcPr>
            <w:tcW w:w="1200" w:type="dxa"/>
            <w:vAlign w:val="bottom"/>
            <w:vMerge w:val="restart"/>
          </w:tcPr>
          <w:p>
            <w:pPr>
              <w:jc w:val="right"/>
              <w:ind w:right="176"/>
              <w:spacing w:after="0"/>
              <w:rPr>
                <w:sz w:val="20"/>
                <w:szCs w:val="20"/>
                <w:color w:val="auto"/>
              </w:rPr>
            </w:pPr>
            <w:r>
              <w:rPr>
                <w:rFonts w:ascii="Arial" w:cs="Arial" w:eastAsia="Arial" w:hAnsi="Arial"/>
                <w:sz w:val="12"/>
                <w:szCs w:val="12"/>
                <w:b w:val="1"/>
                <w:bCs w:val="1"/>
                <w:color w:val="auto"/>
              </w:rPr>
              <w:t>VEST DATES</w:t>
            </w:r>
          </w:p>
        </w:tc>
        <w:tc>
          <w:tcPr>
            <w:tcW w:w="0" w:type="dxa"/>
            <w:vAlign w:val="bottom"/>
          </w:tcPr>
          <w:p>
            <w:pPr>
              <w:spacing w:after="0"/>
              <w:rPr>
                <w:sz w:val="1"/>
                <w:szCs w:val="1"/>
                <w:color w:val="auto"/>
              </w:rPr>
            </w:pPr>
          </w:p>
        </w:tc>
      </w:tr>
      <w:tr>
        <w:trPr>
          <w:trHeight w:val="143"/>
        </w:trPr>
        <w:tc>
          <w:tcPr>
            <w:tcW w:w="1280" w:type="dxa"/>
            <w:vAlign w:val="bottom"/>
            <w:tcBorders>
              <w:right w:val="single" w:sz="8" w:color="auto"/>
            </w:tcBorders>
            <w:gridSpan w:val="2"/>
            <w:vMerge w:val="continue"/>
          </w:tcPr>
          <w:p>
            <w:pPr>
              <w:spacing w:after="0"/>
              <w:rPr>
                <w:sz w:val="12"/>
                <w:szCs w:val="12"/>
                <w:color w:val="auto"/>
              </w:rPr>
            </w:pPr>
          </w:p>
        </w:tc>
        <w:tc>
          <w:tcPr>
            <w:tcW w:w="17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b w:val="1"/>
                <w:bCs w:val="1"/>
                <w:color w:val="auto"/>
              </w:rPr>
              <w:t>CERTIFIED</w:t>
            </w:r>
          </w:p>
        </w:tc>
        <w:tc>
          <w:tcPr>
            <w:tcW w:w="14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b w:val="1"/>
                <w:bCs w:val="1"/>
                <w:color w:val="auto"/>
              </w:rPr>
              <w:t>START DATE</w:t>
            </w:r>
          </w:p>
        </w:tc>
        <w:tc>
          <w:tcPr>
            <w:tcW w:w="14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b w:val="1"/>
                <w:bCs w:val="1"/>
                <w:color w:val="auto"/>
              </w:rPr>
              <w:t>PERIOD END DATE</w:t>
            </w:r>
          </w:p>
        </w:tc>
        <w:tc>
          <w:tcPr>
            <w:tcW w:w="13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b w:val="1"/>
                <w:bCs w:val="1"/>
                <w:color w:val="auto"/>
              </w:rPr>
              <w:t>VESTING</w:t>
            </w: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rPr>
              <w:t>3a</w:t>
            </w:r>
          </w:p>
        </w:tc>
        <w:tc>
          <w:tcPr>
            <w:tcW w:w="160" w:type="dxa"/>
            <w:vAlign w:val="bottom"/>
            <w:tcBorders>
              <w:bottom w:val="single" w:sz="8" w:color="E7E7E8"/>
            </w:tcBorders>
          </w:tcPr>
          <w:p>
            <w:pPr>
              <w:spacing w:after="0"/>
              <w:rPr>
                <w:sz w:val="12"/>
                <w:szCs w:val="12"/>
                <w:color w:val="auto"/>
              </w:rPr>
            </w:pPr>
          </w:p>
        </w:tc>
        <w:tc>
          <w:tcPr>
            <w:tcW w:w="1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Feb-2020</w:t>
            </w:r>
          </w:p>
        </w:tc>
        <w:tc>
          <w:tcPr>
            <w:tcW w:w="140" w:type="dxa"/>
            <w:vAlign w:val="bottom"/>
            <w:tcBorders>
              <w:bottom w:val="single" w:sz="8" w:color="E7E7E8"/>
            </w:tcBorders>
          </w:tcPr>
          <w:p>
            <w:pPr>
              <w:spacing w:after="0"/>
              <w:rPr>
                <w:sz w:val="12"/>
                <w:szCs w:val="12"/>
                <w:color w:val="auto"/>
              </w:rPr>
            </w:pPr>
          </w:p>
        </w:tc>
        <w:tc>
          <w:tcPr>
            <w:tcW w:w="12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1/1/2019</w:t>
            </w:r>
          </w:p>
        </w:tc>
        <w:tc>
          <w:tcPr>
            <w:tcW w:w="160" w:type="dxa"/>
            <w:vAlign w:val="bottom"/>
            <w:tcBorders>
              <w:bottom w:val="single" w:sz="8" w:color="E7E7E8"/>
            </w:tcBorders>
          </w:tcPr>
          <w:p>
            <w:pPr>
              <w:spacing w:after="0"/>
              <w:rPr>
                <w:sz w:val="12"/>
                <w:szCs w:val="12"/>
                <w:color w:val="auto"/>
              </w:rPr>
            </w:pPr>
          </w:p>
        </w:tc>
        <w:tc>
          <w:tcPr>
            <w:tcW w:w="12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12/31/2019</w:t>
            </w:r>
          </w:p>
        </w:tc>
        <w:tc>
          <w:tcPr>
            <w:tcW w:w="160" w:type="dxa"/>
            <w:vAlign w:val="bottom"/>
            <w:tcBorders>
              <w:bottom w:val="single" w:sz="8" w:color="E7E7E8"/>
            </w:tcBorders>
          </w:tcPr>
          <w:p>
            <w:pPr>
              <w:spacing w:after="0"/>
              <w:rPr>
                <w:sz w:val="12"/>
                <w:szCs w:val="12"/>
                <w:color w:val="auto"/>
              </w:rPr>
            </w:pPr>
          </w:p>
        </w:tc>
        <w:tc>
          <w:tcPr>
            <w:tcW w:w="12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100%</w:t>
            </w:r>
          </w:p>
        </w:tc>
        <w:tc>
          <w:tcPr>
            <w:tcW w:w="160" w:type="dxa"/>
            <w:vAlign w:val="bottom"/>
            <w:tcBorders>
              <w:bottom w:val="single" w:sz="8" w:color="E7E7E8"/>
            </w:tcBorders>
          </w:tcPr>
          <w:p>
            <w:pPr>
              <w:spacing w:after="0"/>
              <w:rPr>
                <w:sz w:val="12"/>
                <w:szCs w:val="12"/>
                <w:color w:val="auto"/>
              </w:rPr>
            </w:pPr>
          </w:p>
        </w:tc>
        <w:tc>
          <w:tcPr>
            <w:tcW w:w="12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2/28/2024</w:t>
            </w:r>
          </w:p>
        </w:tc>
        <w:tc>
          <w:tcPr>
            <w:tcW w:w="0" w:type="dxa"/>
            <w:vAlign w:val="bottom"/>
          </w:tcPr>
          <w:p>
            <w:pPr>
              <w:spacing w:after="0"/>
              <w:rPr>
                <w:sz w:val="1"/>
                <w:szCs w:val="1"/>
                <w:color w:val="auto"/>
              </w:rPr>
            </w:pPr>
          </w:p>
        </w:tc>
      </w:tr>
      <w:tr>
        <w:trPr>
          <w:trHeight w:val="142"/>
        </w:trPr>
        <w:tc>
          <w:tcPr>
            <w:tcW w:w="1120" w:type="dxa"/>
            <w:vAlign w:val="bottom"/>
            <w:tcBorders>
              <w:bottom w:val="single" w:sz="8" w:color="auto"/>
            </w:tcBorders>
            <w:shd w:val="clear" w:color="auto" w:fill="E7E7E8"/>
          </w:tcPr>
          <w:p>
            <w:pPr>
              <w:spacing w:after="0" w:line="143" w:lineRule="exact"/>
              <w:rPr>
                <w:sz w:val="20"/>
                <w:szCs w:val="20"/>
                <w:color w:val="auto"/>
              </w:rPr>
            </w:pPr>
            <w:r>
              <w:rPr>
                <w:rFonts w:ascii="Arial" w:cs="Arial" w:eastAsia="Arial" w:hAnsi="Arial"/>
                <w:sz w:val="13"/>
                <w:szCs w:val="13"/>
                <w:color w:val="auto"/>
              </w:rPr>
              <w:t>3b</w:t>
            </w:r>
          </w:p>
        </w:tc>
        <w:tc>
          <w:tcPr>
            <w:tcW w:w="160" w:type="dxa"/>
            <w:vAlign w:val="bottom"/>
            <w:tcBorders>
              <w:right w:val="single" w:sz="8" w:color="E7E7E8"/>
            </w:tcBorders>
            <w:shd w:val="clear" w:color="auto" w:fill="E7E7E8"/>
          </w:tcPr>
          <w:p>
            <w:pPr>
              <w:spacing w:after="0"/>
              <w:rPr>
                <w:sz w:val="12"/>
                <w:szCs w:val="12"/>
                <w:color w:val="auto"/>
              </w:rPr>
            </w:pPr>
          </w:p>
        </w:tc>
        <w:tc>
          <w:tcPr>
            <w:tcW w:w="1640" w:type="dxa"/>
            <w:vAlign w:val="bottom"/>
            <w:tcBorders>
              <w:bottom w:val="single" w:sz="8" w:color="auto"/>
            </w:tcBorders>
            <w:shd w:val="clear" w:color="auto" w:fill="E7E7E8"/>
          </w:tcPr>
          <w:p>
            <w:pPr>
              <w:jc w:val="right"/>
              <w:spacing w:after="0" w:line="143" w:lineRule="exact"/>
              <w:rPr>
                <w:sz w:val="20"/>
                <w:szCs w:val="20"/>
                <w:color w:val="auto"/>
              </w:rPr>
            </w:pPr>
            <w:r>
              <w:rPr>
                <w:rFonts w:ascii="Arial" w:cs="Arial" w:eastAsia="Arial" w:hAnsi="Arial"/>
                <w:sz w:val="13"/>
                <w:szCs w:val="13"/>
                <w:color w:val="auto"/>
              </w:rPr>
              <w:t>Feb-2023</w:t>
            </w:r>
          </w:p>
        </w:tc>
        <w:tc>
          <w:tcPr>
            <w:tcW w:w="140" w:type="dxa"/>
            <w:vAlign w:val="bottom"/>
            <w:tcBorders>
              <w:right w:val="single" w:sz="8" w:color="E7E7E8"/>
            </w:tcBorders>
            <w:shd w:val="clear" w:color="auto" w:fill="E7E7E8"/>
          </w:tcPr>
          <w:p>
            <w:pPr>
              <w:spacing w:after="0"/>
              <w:rPr>
                <w:sz w:val="12"/>
                <w:szCs w:val="12"/>
                <w:color w:val="auto"/>
              </w:rPr>
            </w:pPr>
          </w:p>
        </w:tc>
        <w:tc>
          <w:tcPr>
            <w:tcW w:w="1240" w:type="dxa"/>
            <w:vAlign w:val="bottom"/>
            <w:tcBorders>
              <w:bottom w:val="single" w:sz="8" w:color="auto"/>
            </w:tcBorders>
            <w:shd w:val="clear" w:color="auto" w:fill="E7E7E8"/>
          </w:tcPr>
          <w:p>
            <w:pPr>
              <w:jc w:val="right"/>
              <w:spacing w:after="0" w:line="143" w:lineRule="exact"/>
              <w:rPr>
                <w:sz w:val="20"/>
                <w:szCs w:val="20"/>
                <w:color w:val="auto"/>
              </w:rPr>
            </w:pPr>
            <w:r>
              <w:rPr>
                <w:rFonts w:ascii="Arial" w:cs="Arial" w:eastAsia="Arial" w:hAnsi="Arial"/>
                <w:sz w:val="13"/>
                <w:szCs w:val="13"/>
                <w:color w:val="auto"/>
              </w:rPr>
              <w:t>1/1/2020</w:t>
            </w:r>
          </w:p>
        </w:tc>
        <w:tc>
          <w:tcPr>
            <w:tcW w:w="160" w:type="dxa"/>
            <w:vAlign w:val="bottom"/>
            <w:tcBorders>
              <w:right w:val="single" w:sz="8" w:color="E7E7E8"/>
            </w:tcBorders>
            <w:shd w:val="clear" w:color="auto" w:fill="E7E7E8"/>
          </w:tcPr>
          <w:p>
            <w:pPr>
              <w:spacing w:after="0"/>
              <w:rPr>
                <w:sz w:val="12"/>
                <w:szCs w:val="12"/>
                <w:color w:val="auto"/>
              </w:rPr>
            </w:pPr>
          </w:p>
        </w:tc>
        <w:tc>
          <w:tcPr>
            <w:tcW w:w="1240" w:type="dxa"/>
            <w:vAlign w:val="bottom"/>
            <w:tcBorders>
              <w:bottom w:val="single" w:sz="8" w:color="auto"/>
            </w:tcBorders>
            <w:shd w:val="clear" w:color="auto" w:fill="E7E7E8"/>
          </w:tcPr>
          <w:p>
            <w:pPr>
              <w:jc w:val="right"/>
              <w:spacing w:after="0" w:line="143" w:lineRule="exact"/>
              <w:rPr>
                <w:sz w:val="20"/>
                <w:szCs w:val="20"/>
                <w:color w:val="auto"/>
              </w:rPr>
            </w:pPr>
            <w:r>
              <w:rPr>
                <w:rFonts w:ascii="Arial" w:cs="Arial" w:eastAsia="Arial" w:hAnsi="Arial"/>
                <w:sz w:val="13"/>
                <w:szCs w:val="13"/>
                <w:color w:val="auto"/>
              </w:rPr>
              <w:t>12/31/2022</w:t>
            </w:r>
          </w:p>
        </w:tc>
        <w:tc>
          <w:tcPr>
            <w:tcW w:w="160" w:type="dxa"/>
            <w:vAlign w:val="bottom"/>
            <w:tcBorders>
              <w:right w:val="single" w:sz="8" w:color="E7E7E8"/>
            </w:tcBorders>
            <w:shd w:val="clear" w:color="auto" w:fill="E7E7E8"/>
          </w:tcPr>
          <w:p>
            <w:pPr>
              <w:spacing w:after="0"/>
              <w:rPr>
                <w:sz w:val="12"/>
                <w:szCs w:val="12"/>
                <w:color w:val="auto"/>
              </w:rPr>
            </w:pPr>
          </w:p>
        </w:tc>
        <w:tc>
          <w:tcPr>
            <w:tcW w:w="1220" w:type="dxa"/>
            <w:vAlign w:val="bottom"/>
            <w:tcBorders>
              <w:bottom w:val="single" w:sz="8" w:color="auto"/>
            </w:tcBorders>
            <w:shd w:val="clear" w:color="auto" w:fill="E7E7E8"/>
          </w:tcPr>
          <w:p>
            <w:pPr>
              <w:jc w:val="right"/>
              <w:spacing w:after="0" w:line="143" w:lineRule="exact"/>
              <w:rPr>
                <w:sz w:val="20"/>
                <w:szCs w:val="20"/>
                <w:color w:val="auto"/>
              </w:rPr>
            </w:pPr>
            <w:r>
              <w:rPr>
                <w:rFonts w:ascii="Arial" w:cs="Arial" w:eastAsia="Arial" w:hAnsi="Arial"/>
                <w:sz w:val="13"/>
                <w:szCs w:val="13"/>
                <w:color w:val="auto"/>
              </w:rPr>
              <w:t>100%</w:t>
            </w:r>
          </w:p>
        </w:tc>
        <w:tc>
          <w:tcPr>
            <w:tcW w:w="160" w:type="dxa"/>
            <w:vAlign w:val="bottom"/>
            <w:tcBorders>
              <w:right w:val="single" w:sz="8" w:color="E7E7E8"/>
            </w:tcBorders>
            <w:shd w:val="clear" w:color="auto" w:fill="E7E7E8"/>
          </w:tcPr>
          <w:p>
            <w:pPr>
              <w:spacing w:after="0"/>
              <w:rPr>
                <w:sz w:val="12"/>
                <w:szCs w:val="12"/>
                <w:color w:val="auto"/>
              </w:rPr>
            </w:pPr>
          </w:p>
        </w:tc>
        <w:tc>
          <w:tcPr>
            <w:tcW w:w="1200" w:type="dxa"/>
            <w:vAlign w:val="bottom"/>
            <w:tcBorders>
              <w:bottom w:val="single" w:sz="8" w:color="auto"/>
            </w:tcBorders>
            <w:shd w:val="clear" w:color="auto" w:fill="E7E7E8"/>
          </w:tcPr>
          <w:p>
            <w:pPr>
              <w:jc w:val="right"/>
              <w:spacing w:after="0" w:line="143" w:lineRule="exact"/>
              <w:rPr>
                <w:sz w:val="20"/>
                <w:szCs w:val="20"/>
                <w:color w:val="auto"/>
              </w:rPr>
            </w:pPr>
            <w:r>
              <w:rPr>
                <w:rFonts w:ascii="Arial" w:cs="Arial" w:eastAsia="Arial" w:hAnsi="Arial"/>
                <w:sz w:val="13"/>
                <w:szCs w:val="13"/>
                <w:color w:val="auto"/>
              </w:rPr>
              <w:t>12/10/2024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-110490</wp:posOffset>
            </wp:positionV>
            <wp:extent cx="86995" cy="10287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6995" cy="102870"/>
                    </a:xfrm>
                    <a:prstGeom prst="rect">
                      <a:avLst/>
                    </a:prstGeom>
                    <a:noFill/>
                  </pic:spPr>
                </pic:pic>
              </a:graphicData>
            </a:graphic>
          </wp:anchor>
        </w:drawing>
        <w:drawing>
          <wp:anchor simplePos="0" relativeHeight="251657728" behindDoc="1" locked="0" layoutInCell="0" allowOverlap="1">
            <wp:simplePos x="0" y="0"/>
            <wp:positionH relativeFrom="column">
              <wp:posOffset>2039620</wp:posOffset>
            </wp:positionH>
            <wp:positionV relativeFrom="paragraph">
              <wp:posOffset>-110490</wp:posOffset>
            </wp:positionV>
            <wp:extent cx="86995" cy="10287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6995" cy="102870"/>
                    </a:xfrm>
                    <a:prstGeom prst="rect">
                      <a:avLst/>
                    </a:prstGeom>
                    <a:noFill/>
                  </pic:spPr>
                </pic:pic>
              </a:graphicData>
            </a:graphic>
          </wp:anchor>
        </w:drawing>
        <w:drawing>
          <wp:anchor simplePos="0" relativeHeight="251657728" behindDoc="1" locked="0" layoutInCell="0" allowOverlap="1">
            <wp:simplePos x="0" y="0"/>
            <wp:positionH relativeFrom="column">
              <wp:posOffset>2920365</wp:posOffset>
            </wp:positionH>
            <wp:positionV relativeFrom="paragraph">
              <wp:posOffset>-110490</wp:posOffset>
            </wp:positionV>
            <wp:extent cx="86995" cy="10287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6995" cy="102870"/>
                    </a:xfrm>
                    <a:prstGeom prst="rect">
                      <a:avLst/>
                    </a:prstGeom>
                    <a:noFill/>
                  </pic:spPr>
                </pic:pic>
              </a:graphicData>
            </a:graphic>
          </wp:anchor>
        </w:drawing>
        <w:drawing>
          <wp:anchor simplePos="0" relativeHeight="251657728" behindDoc="1" locked="0" layoutInCell="0" allowOverlap="1">
            <wp:simplePos x="0" y="0"/>
            <wp:positionH relativeFrom="column">
              <wp:posOffset>3809365</wp:posOffset>
            </wp:positionH>
            <wp:positionV relativeFrom="paragraph">
              <wp:posOffset>-110490</wp:posOffset>
            </wp:positionV>
            <wp:extent cx="86995" cy="10287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6995" cy="102870"/>
                    </a:xfrm>
                    <a:prstGeom prst="rect">
                      <a:avLst/>
                    </a:prstGeom>
                    <a:noFill/>
                  </pic:spPr>
                </pic:pic>
              </a:graphicData>
            </a:graphic>
          </wp:anchor>
        </w:drawing>
        <w:drawing>
          <wp:anchor simplePos="0" relativeHeight="251657728" behindDoc="1" locked="0" layoutInCell="0" allowOverlap="1">
            <wp:simplePos x="0" y="0"/>
            <wp:positionH relativeFrom="column">
              <wp:posOffset>4682490</wp:posOffset>
            </wp:positionH>
            <wp:positionV relativeFrom="paragraph">
              <wp:posOffset>-110490</wp:posOffset>
            </wp:positionV>
            <wp:extent cx="86995" cy="10287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6995" cy="102870"/>
                    </a:xfrm>
                    <a:prstGeom prst="rect">
                      <a:avLst/>
                    </a:prstGeom>
                    <a:noFill/>
                  </pic:spPr>
                </pic:pic>
              </a:graphicData>
            </a:graphic>
          </wp:anchor>
        </w:drawing>
      </w:r>
    </w:p>
    <w:p>
      <w:pPr>
        <w:spacing w:after="0" w:line="15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3"/>
          <w:szCs w:val="13"/>
          <w:b w:val="1"/>
          <w:bCs w:val="1"/>
          <w:color w:val="00244F"/>
        </w:rPr>
        <w:t>66</w:t>
        <w:tab/>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42480" cy="76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71" w:name="page72"/>
    <w:bookmarkEnd w:id="71"/>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ind w:left="300" w:right="40" w:hanging="300"/>
        <w:spacing w:after="0"/>
        <w:tabs>
          <w:tab w:leader="none" w:pos="300" w:val="left"/>
        </w:tabs>
        <w:numPr>
          <w:ilvl w:val="0"/>
          <w:numId w:val="104"/>
        </w:numPr>
        <w:rPr>
          <w:rFonts w:ascii="Arial" w:cs="Arial" w:eastAsia="Arial" w:hAnsi="Arial"/>
          <w:sz w:val="22"/>
          <w:szCs w:val="22"/>
          <w:color w:val="auto"/>
          <w:vertAlign w:val="superscript"/>
        </w:rPr>
      </w:pPr>
      <w:r>
        <w:rPr>
          <w:rFonts w:ascii="Arial" w:cs="Arial" w:eastAsia="Arial" w:hAnsi="Arial"/>
          <w:sz w:val="13"/>
          <w:szCs w:val="13"/>
          <w:color w:val="auto"/>
        </w:rPr>
        <w:t>For each performance-based RSU award unearned and not vested at December 31, 2023, the following table includes the award's performance period, and the award's remaining vesting schedule. In 2023, all our NEOs received 50% of their equity award value in performance-based RSUs with a three-year performance period, which, if earned, would vest in 2026 and 2027.</w:t>
      </w:r>
    </w:p>
    <w:p>
      <w:pPr>
        <w:spacing w:after="0" w:line="224" w:lineRule="exact"/>
        <w:rPr>
          <w:sz w:val="20"/>
          <w:szCs w:val="20"/>
          <w:color w:val="auto"/>
        </w:rPr>
      </w:pPr>
    </w:p>
    <w:tbl>
      <w:tblPr>
        <w:tblLayout w:type="fixed"/>
        <w:tblInd w:w="600" w:type="dxa"/>
        <w:tblCellMar>
          <w:top w:w="0" w:type="dxa"/>
          <w:left w:w="0" w:type="dxa"/>
          <w:bottom w:w="0" w:type="dxa"/>
          <w:right w:w="0" w:type="dxa"/>
        </w:tblCellMar>
      </w:tblPr>
      <w:tr>
        <w:trPr>
          <w:trHeight w:val="138"/>
        </w:trPr>
        <w:tc>
          <w:tcPr>
            <w:tcW w:w="104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gridSpan w:val="2"/>
            <w:vMerge w:val="restart"/>
          </w:tcPr>
          <w:p>
            <w:pPr>
              <w:jc w:val="right"/>
              <w:ind w:right="220"/>
              <w:spacing w:after="0"/>
              <w:rPr>
                <w:sz w:val="20"/>
                <w:szCs w:val="20"/>
                <w:color w:val="auto"/>
              </w:rPr>
            </w:pPr>
            <w:r>
              <w:rPr>
                <w:rFonts w:ascii="Arial" w:cs="Arial" w:eastAsia="Arial" w:hAnsi="Arial"/>
                <w:sz w:val="12"/>
                <w:szCs w:val="12"/>
                <w:b w:val="1"/>
                <w:bCs w:val="1"/>
                <w:color w:val="auto"/>
              </w:rPr>
              <w:t>DATE</w:t>
            </w:r>
          </w:p>
        </w:tc>
        <w:tc>
          <w:tcPr>
            <w:tcW w:w="13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b w:val="1"/>
                <w:bCs w:val="1"/>
                <w:color w:val="auto"/>
              </w:rPr>
              <w:t>PERFORMANCE</w:t>
            </w:r>
          </w:p>
        </w:tc>
        <w:tc>
          <w:tcPr>
            <w:tcW w:w="1500" w:type="dxa"/>
            <w:vAlign w:val="bottom"/>
            <w:tcBorders>
              <w:right w:val="single" w:sz="8" w:color="auto"/>
            </w:tcBorders>
            <w:gridSpan w:val="2"/>
            <w:vMerge w:val="restart"/>
          </w:tcPr>
          <w:p>
            <w:pPr>
              <w:jc w:val="right"/>
              <w:ind w:right="220"/>
              <w:spacing w:after="0"/>
              <w:rPr>
                <w:sz w:val="20"/>
                <w:szCs w:val="20"/>
                <w:color w:val="auto"/>
              </w:rPr>
            </w:pPr>
            <w:r>
              <w:rPr>
                <w:rFonts w:ascii="Arial" w:cs="Arial" w:eastAsia="Arial" w:hAnsi="Arial"/>
                <w:sz w:val="12"/>
                <w:szCs w:val="12"/>
                <w:b w:val="1"/>
                <w:bCs w:val="1"/>
                <w:color w:val="auto"/>
              </w:rPr>
              <w:t>PERFORMANCE</w:t>
            </w:r>
          </w:p>
        </w:tc>
        <w:tc>
          <w:tcPr>
            <w:tcW w:w="13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b w:val="1"/>
                <w:bCs w:val="1"/>
                <w:color w:val="auto"/>
              </w:rPr>
              <w:t>REMAINING</w:t>
            </w: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0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FOOTNOTE</w:t>
            </w:r>
          </w:p>
        </w:tc>
        <w:tc>
          <w:tcPr>
            <w:tcW w:w="180" w:type="dxa"/>
            <w:vAlign w:val="bottom"/>
            <w:tcBorders>
              <w:right w:val="single" w:sz="8" w:color="auto"/>
            </w:tcBorders>
            <w:vMerge w:val="restart"/>
          </w:tcPr>
          <w:p>
            <w:pPr>
              <w:spacing w:after="0"/>
              <w:rPr>
                <w:sz w:val="10"/>
                <w:szCs w:val="10"/>
                <w:color w:val="auto"/>
              </w:rPr>
            </w:pPr>
          </w:p>
        </w:tc>
        <w:tc>
          <w:tcPr>
            <w:tcW w:w="1320" w:type="dxa"/>
            <w:vAlign w:val="bottom"/>
            <w:tcBorders>
              <w:right w:val="single" w:sz="8" w:color="auto"/>
            </w:tcBorders>
            <w:gridSpan w:val="2"/>
            <w:vMerge w:val="continue"/>
          </w:tcPr>
          <w:p>
            <w:pPr>
              <w:spacing w:after="0"/>
              <w:rPr>
                <w:sz w:val="10"/>
                <w:szCs w:val="10"/>
                <w:color w:val="auto"/>
              </w:rPr>
            </w:pPr>
          </w:p>
        </w:tc>
        <w:tc>
          <w:tcPr>
            <w:tcW w:w="1360" w:type="dxa"/>
            <w:vAlign w:val="bottom"/>
            <w:tcBorders>
              <w:right w:val="single" w:sz="8" w:color="auto"/>
            </w:tcBorders>
            <w:gridSpan w:val="2"/>
          </w:tcPr>
          <w:p>
            <w:pPr>
              <w:jc w:val="right"/>
              <w:ind w:right="220"/>
              <w:spacing w:after="0" w:line="125" w:lineRule="exact"/>
              <w:rPr>
                <w:sz w:val="20"/>
                <w:szCs w:val="20"/>
                <w:color w:val="auto"/>
              </w:rPr>
            </w:pPr>
            <w:r>
              <w:rPr>
                <w:rFonts w:ascii="Arial" w:cs="Arial" w:eastAsia="Arial" w:hAnsi="Arial"/>
                <w:sz w:val="12"/>
                <w:szCs w:val="12"/>
                <w:b w:val="1"/>
                <w:bCs w:val="1"/>
                <w:color w:val="auto"/>
              </w:rPr>
              <w:t>PERIOD</w:t>
            </w:r>
          </w:p>
        </w:tc>
        <w:tc>
          <w:tcPr>
            <w:tcW w:w="1500" w:type="dxa"/>
            <w:vAlign w:val="bottom"/>
            <w:tcBorders>
              <w:right w:val="single" w:sz="8" w:color="auto"/>
            </w:tcBorders>
            <w:gridSpan w:val="2"/>
            <w:vMerge w:val="continue"/>
          </w:tcPr>
          <w:p>
            <w:pPr>
              <w:spacing w:after="0"/>
              <w:rPr>
                <w:sz w:val="10"/>
                <w:szCs w:val="10"/>
                <w:color w:val="auto"/>
              </w:rPr>
            </w:pPr>
          </w:p>
        </w:tc>
        <w:tc>
          <w:tcPr>
            <w:tcW w:w="1320" w:type="dxa"/>
            <w:vAlign w:val="bottom"/>
            <w:tcBorders>
              <w:right w:val="single" w:sz="8" w:color="auto"/>
            </w:tcBorders>
            <w:gridSpan w:val="2"/>
          </w:tcPr>
          <w:p>
            <w:pPr>
              <w:jc w:val="right"/>
              <w:ind w:right="220"/>
              <w:spacing w:after="0" w:line="125" w:lineRule="exact"/>
              <w:rPr>
                <w:sz w:val="20"/>
                <w:szCs w:val="20"/>
                <w:color w:val="auto"/>
              </w:rPr>
            </w:pPr>
            <w:r>
              <w:rPr>
                <w:rFonts w:ascii="Arial" w:cs="Arial" w:eastAsia="Arial" w:hAnsi="Arial"/>
                <w:sz w:val="12"/>
                <w:szCs w:val="12"/>
                <w:b w:val="1"/>
                <w:bCs w:val="1"/>
                <w:color w:val="auto"/>
              </w:rPr>
              <w:t>PERCENTAGE</w:t>
            </w:r>
          </w:p>
        </w:tc>
        <w:tc>
          <w:tcPr>
            <w:tcW w:w="1700" w:type="dxa"/>
            <w:vAlign w:val="bottom"/>
            <w:gridSpan w:val="3"/>
            <w:vMerge w:val="restart"/>
          </w:tcPr>
          <w:p>
            <w:pPr>
              <w:ind w:left="880"/>
              <w:spacing w:after="0"/>
              <w:rPr>
                <w:sz w:val="20"/>
                <w:szCs w:val="20"/>
                <w:color w:val="auto"/>
              </w:rPr>
            </w:pPr>
            <w:r>
              <w:rPr>
                <w:rFonts w:ascii="Arial" w:cs="Arial" w:eastAsia="Arial" w:hAnsi="Arial"/>
                <w:sz w:val="12"/>
                <w:szCs w:val="12"/>
                <w:b w:val="1"/>
                <w:bCs w:val="1"/>
                <w:color w:val="auto"/>
              </w:rPr>
              <w:t>VEST DATES</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040" w:type="dxa"/>
            <w:vAlign w:val="bottom"/>
            <w:tcBorders>
              <w:bottom w:val="single" w:sz="8" w:color="auto"/>
            </w:tcBorders>
            <w:vMerge w:val="continue"/>
          </w:tcPr>
          <w:p>
            <w:pPr>
              <w:spacing w:after="0"/>
              <w:rPr>
                <w:sz w:val="14"/>
                <w:szCs w:val="14"/>
                <w:color w:val="auto"/>
              </w:rPr>
            </w:pPr>
          </w:p>
        </w:tc>
        <w:tc>
          <w:tcPr>
            <w:tcW w:w="180" w:type="dxa"/>
            <w:vAlign w:val="bottom"/>
            <w:tcBorders>
              <w:right w:val="single" w:sz="8" w:color="auto"/>
            </w:tcBorders>
            <w:vMerge w:val="continue"/>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CERTIFIED</w:t>
            </w:r>
          </w:p>
        </w:tc>
        <w:tc>
          <w:tcPr>
            <w:tcW w:w="160" w:type="dxa"/>
            <w:vAlign w:val="bottom"/>
            <w:tcBorders>
              <w:right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START DATE</w:t>
            </w:r>
          </w:p>
        </w:tc>
        <w:tc>
          <w:tcPr>
            <w:tcW w:w="180" w:type="dxa"/>
            <w:vAlign w:val="bottom"/>
            <w:tcBorders>
              <w:right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PERIOD END DATE</w:t>
            </w:r>
          </w:p>
        </w:tc>
        <w:tc>
          <w:tcPr>
            <w:tcW w:w="180" w:type="dxa"/>
            <w:vAlign w:val="bottom"/>
            <w:tcBorders>
              <w:right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VESTING</w:t>
            </w:r>
          </w:p>
        </w:tc>
        <w:tc>
          <w:tcPr>
            <w:tcW w:w="180" w:type="dxa"/>
            <w:vAlign w:val="bottom"/>
            <w:tcBorders>
              <w:right w:val="single" w:sz="8" w:color="auto"/>
            </w:tcBorders>
          </w:tcPr>
          <w:p>
            <w:pPr>
              <w:spacing w:after="0"/>
              <w:rPr>
                <w:sz w:val="14"/>
                <w:szCs w:val="14"/>
                <w:color w:val="auto"/>
              </w:rPr>
            </w:pPr>
          </w:p>
        </w:tc>
        <w:tc>
          <w:tcPr>
            <w:tcW w:w="1700" w:type="dxa"/>
            <w:vAlign w:val="bottom"/>
            <w:tcBorders>
              <w:bottom w:val="single" w:sz="8" w:color="auto"/>
            </w:tcBorders>
            <w:gridSpan w:val="3"/>
            <w:vMerge w:val="continue"/>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040" w:type="dxa"/>
            <w:vAlign w:val="bottom"/>
            <w:tcBorders>
              <w:bottom w:val="single" w:sz="8" w:color="808080"/>
            </w:tcBorders>
          </w:tcPr>
          <w:p>
            <w:pPr>
              <w:spacing w:after="0"/>
              <w:rPr>
                <w:sz w:val="20"/>
                <w:szCs w:val="20"/>
                <w:color w:val="auto"/>
              </w:rPr>
            </w:pPr>
            <w:r>
              <w:rPr>
                <w:rFonts w:ascii="Arial" w:cs="Arial" w:eastAsia="Arial" w:hAnsi="Arial"/>
                <w:sz w:val="13"/>
                <w:szCs w:val="13"/>
                <w:color w:val="auto"/>
              </w:rPr>
              <w:t>4a</w:t>
            </w:r>
          </w:p>
        </w:tc>
        <w:tc>
          <w:tcPr>
            <w:tcW w:w="180" w:type="dxa"/>
            <w:vAlign w:val="bottom"/>
            <w:tcBorders>
              <w:bottom w:val="single" w:sz="8" w:color="E7E7E8"/>
            </w:tcBorders>
          </w:tcPr>
          <w:p>
            <w:pPr>
              <w:spacing w:after="0"/>
              <w:rPr>
                <w:sz w:val="16"/>
                <w:szCs w:val="16"/>
                <w:color w:val="auto"/>
              </w:rPr>
            </w:pPr>
          </w:p>
        </w:tc>
        <w:tc>
          <w:tcPr>
            <w:tcW w:w="11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Feb-2024</w:t>
            </w:r>
          </w:p>
        </w:tc>
        <w:tc>
          <w:tcPr>
            <w:tcW w:w="160" w:type="dxa"/>
            <w:vAlign w:val="bottom"/>
            <w:tcBorders>
              <w:bottom w:val="single" w:sz="8" w:color="E7E7E8"/>
            </w:tcBorders>
          </w:tcPr>
          <w:p>
            <w:pPr>
              <w:spacing w:after="0"/>
              <w:rPr>
                <w:sz w:val="16"/>
                <w:szCs w:val="16"/>
                <w:color w:val="auto"/>
              </w:rPr>
            </w:pPr>
          </w:p>
        </w:tc>
        <w:tc>
          <w:tcPr>
            <w:tcW w:w="118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1/1/2021</w:t>
            </w:r>
          </w:p>
        </w:tc>
        <w:tc>
          <w:tcPr>
            <w:tcW w:w="180" w:type="dxa"/>
            <w:vAlign w:val="bottom"/>
            <w:tcBorders>
              <w:bottom w:val="single" w:sz="8" w:color="E7E7E8"/>
            </w:tcBorders>
          </w:tcPr>
          <w:p>
            <w:pPr>
              <w:spacing w:after="0"/>
              <w:rPr>
                <w:sz w:val="16"/>
                <w:szCs w:val="16"/>
                <w:color w:val="auto"/>
              </w:rPr>
            </w:pPr>
          </w:p>
        </w:tc>
        <w:tc>
          <w:tcPr>
            <w:tcW w:w="132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12/31/2023</w:t>
            </w:r>
          </w:p>
        </w:tc>
        <w:tc>
          <w:tcPr>
            <w:tcW w:w="180" w:type="dxa"/>
            <w:vAlign w:val="bottom"/>
            <w:tcBorders>
              <w:bottom w:val="single" w:sz="8" w:color="E7E7E8"/>
            </w:tcBorders>
          </w:tcPr>
          <w:p>
            <w:pPr>
              <w:spacing w:after="0"/>
              <w:rPr>
                <w:sz w:val="16"/>
                <w:szCs w:val="16"/>
                <w:color w:val="auto"/>
              </w:rPr>
            </w:pPr>
          </w:p>
        </w:tc>
        <w:tc>
          <w:tcPr>
            <w:tcW w:w="114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50%</w:t>
            </w:r>
          </w:p>
        </w:tc>
        <w:tc>
          <w:tcPr>
            <w:tcW w:w="180" w:type="dxa"/>
            <w:vAlign w:val="bottom"/>
            <w:tcBorders>
              <w:bottom w:val="single" w:sz="8" w:color="E7E7E8"/>
            </w:tcBorders>
          </w:tcPr>
          <w:p>
            <w:pPr>
              <w:spacing w:after="0"/>
              <w:rPr>
                <w:sz w:val="16"/>
                <w:szCs w:val="16"/>
                <w:color w:val="auto"/>
              </w:rPr>
            </w:pPr>
          </w:p>
        </w:tc>
        <w:tc>
          <w:tcPr>
            <w:tcW w:w="11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12/10/2024</w:t>
            </w:r>
          </w:p>
        </w:tc>
        <w:tc>
          <w:tcPr>
            <w:tcW w:w="140" w:type="dxa"/>
            <w:vAlign w:val="bottom"/>
            <w:tcBorders>
              <w:bottom w:val="single" w:sz="8" w:color="E7E7E8"/>
            </w:tcBorders>
          </w:tcPr>
          <w:p>
            <w:pPr>
              <w:spacing w:after="0"/>
              <w:rPr>
                <w:sz w:val="16"/>
                <w:szCs w:val="16"/>
                <w:color w:val="auto"/>
              </w:rPr>
            </w:pPr>
          </w:p>
        </w:tc>
        <w:tc>
          <w:tcPr>
            <w:tcW w:w="400" w:type="dxa"/>
            <w:vAlign w:val="bottom"/>
            <w:tcBorders>
              <w:bottom w:val="single" w:sz="8" w:color="808080"/>
            </w:tcBorders>
          </w:tcPr>
          <w:p>
            <w:pPr>
              <w:spacing w:after="0"/>
              <w:rPr>
                <w:sz w:val="16"/>
                <w:szCs w:val="16"/>
                <w:color w:val="auto"/>
              </w:rPr>
            </w:pPr>
          </w:p>
        </w:tc>
        <w:tc>
          <w:tcPr>
            <w:tcW w:w="8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12/10/2025</w:t>
            </w:r>
          </w:p>
        </w:tc>
        <w:tc>
          <w:tcPr>
            <w:tcW w:w="0" w:type="dxa"/>
            <w:vAlign w:val="bottom"/>
          </w:tcPr>
          <w:p>
            <w:pPr>
              <w:spacing w:after="0"/>
              <w:rPr>
                <w:sz w:val="1"/>
                <w:szCs w:val="1"/>
                <w:color w:val="auto"/>
              </w:rPr>
            </w:pPr>
          </w:p>
        </w:tc>
      </w:tr>
      <w:tr>
        <w:trPr>
          <w:trHeight w:val="192"/>
        </w:trPr>
        <w:tc>
          <w:tcPr>
            <w:tcW w:w="1040" w:type="dxa"/>
            <w:vAlign w:val="bottom"/>
            <w:tcBorders>
              <w:bottom w:val="single" w:sz="8" w:color="808080"/>
            </w:tcBorders>
            <w:shd w:val="clear" w:color="auto" w:fill="E7E7E8"/>
          </w:tcPr>
          <w:p>
            <w:pPr>
              <w:spacing w:after="0"/>
              <w:rPr>
                <w:sz w:val="20"/>
                <w:szCs w:val="20"/>
                <w:color w:val="auto"/>
              </w:rPr>
            </w:pPr>
            <w:r>
              <w:rPr>
                <w:rFonts w:ascii="Arial" w:cs="Arial" w:eastAsia="Arial" w:hAnsi="Arial"/>
                <w:sz w:val="13"/>
                <w:szCs w:val="13"/>
                <w:color w:val="auto"/>
              </w:rPr>
              <w:t>4b</w:t>
            </w:r>
          </w:p>
        </w:tc>
        <w:tc>
          <w:tcPr>
            <w:tcW w:w="180" w:type="dxa"/>
            <w:vAlign w:val="bottom"/>
            <w:tcBorders>
              <w:right w:val="single" w:sz="8" w:color="E7E7E8"/>
            </w:tcBorders>
            <w:shd w:val="clear" w:color="auto" w:fill="E7E7E8"/>
          </w:tcPr>
          <w:p>
            <w:pPr>
              <w:spacing w:after="0"/>
              <w:rPr>
                <w:sz w:val="16"/>
                <w:szCs w:val="16"/>
                <w:color w:val="auto"/>
              </w:rPr>
            </w:pPr>
          </w:p>
        </w:tc>
        <w:tc>
          <w:tcPr>
            <w:tcW w:w="116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N/A</w:t>
            </w:r>
          </w:p>
        </w:tc>
        <w:tc>
          <w:tcPr>
            <w:tcW w:w="160" w:type="dxa"/>
            <w:vAlign w:val="bottom"/>
            <w:tcBorders>
              <w:right w:val="single" w:sz="8" w:color="E7E7E8"/>
            </w:tcBorders>
            <w:shd w:val="clear" w:color="auto" w:fill="E7E7E8"/>
          </w:tcPr>
          <w:p>
            <w:pPr>
              <w:spacing w:after="0"/>
              <w:rPr>
                <w:sz w:val="16"/>
                <w:szCs w:val="16"/>
                <w:color w:val="auto"/>
              </w:rPr>
            </w:pPr>
          </w:p>
        </w:tc>
        <w:tc>
          <w:tcPr>
            <w:tcW w:w="118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1/1/2022</w:t>
            </w:r>
          </w:p>
        </w:tc>
        <w:tc>
          <w:tcPr>
            <w:tcW w:w="180" w:type="dxa"/>
            <w:vAlign w:val="bottom"/>
            <w:tcBorders>
              <w:right w:val="single" w:sz="8" w:color="E7E7E8"/>
            </w:tcBorders>
            <w:shd w:val="clear" w:color="auto" w:fill="E7E7E8"/>
          </w:tcPr>
          <w:p>
            <w:pPr>
              <w:spacing w:after="0"/>
              <w:rPr>
                <w:sz w:val="16"/>
                <w:szCs w:val="16"/>
                <w:color w:val="auto"/>
              </w:rPr>
            </w:pPr>
          </w:p>
        </w:tc>
        <w:tc>
          <w:tcPr>
            <w:tcW w:w="132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12/31/2024</w:t>
            </w:r>
          </w:p>
        </w:tc>
        <w:tc>
          <w:tcPr>
            <w:tcW w:w="180" w:type="dxa"/>
            <w:vAlign w:val="bottom"/>
            <w:tcBorders>
              <w:right w:val="single" w:sz="8" w:color="E7E7E8"/>
            </w:tcBorders>
            <w:shd w:val="clear" w:color="auto" w:fill="E7E7E8"/>
          </w:tcPr>
          <w:p>
            <w:pPr>
              <w:spacing w:after="0"/>
              <w:rPr>
                <w:sz w:val="16"/>
                <w:szCs w:val="16"/>
                <w:color w:val="auto"/>
              </w:rPr>
            </w:pPr>
          </w:p>
        </w:tc>
        <w:tc>
          <w:tcPr>
            <w:tcW w:w="114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50%</w:t>
            </w:r>
          </w:p>
        </w:tc>
        <w:tc>
          <w:tcPr>
            <w:tcW w:w="180" w:type="dxa"/>
            <w:vAlign w:val="bottom"/>
            <w:tcBorders>
              <w:right w:val="single" w:sz="8" w:color="E7E7E8"/>
            </w:tcBorders>
            <w:shd w:val="clear" w:color="auto" w:fill="E7E7E8"/>
          </w:tcPr>
          <w:p>
            <w:pPr>
              <w:spacing w:after="0"/>
              <w:rPr>
                <w:sz w:val="16"/>
                <w:szCs w:val="16"/>
                <w:color w:val="auto"/>
              </w:rPr>
            </w:pPr>
          </w:p>
        </w:tc>
        <w:tc>
          <w:tcPr>
            <w:tcW w:w="116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12/10/2025</w:t>
            </w:r>
          </w:p>
        </w:tc>
        <w:tc>
          <w:tcPr>
            <w:tcW w:w="140" w:type="dxa"/>
            <w:vAlign w:val="bottom"/>
            <w:shd w:val="clear" w:color="auto" w:fill="E7E7E8"/>
          </w:tcPr>
          <w:p>
            <w:pPr>
              <w:spacing w:after="0"/>
              <w:rPr>
                <w:sz w:val="16"/>
                <w:szCs w:val="16"/>
                <w:color w:val="auto"/>
              </w:rPr>
            </w:pPr>
          </w:p>
        </w:tc>
        <w:tc>
          <w:tcPr>
            <w:tcW w:w="400" w:type="dxa"/>
            <w:vAlign w:val="bottom"/>
            <w:tcBorders>
              <w:bottom w:val="single" w:sz="8" w:color="808080"/>
            </w:tcBorders>
            <w:shd w:val="clear" w:color="auto" w:fill="E7E7E8"/>
          </w:tcPr>
          <w:p>
            <w:pPr>
              <w:spacing w:after="0"/>
              <w:rPr>
                <w:sz w:val="16"/>
                <w:szCs w:val="16"/>
                <w:color w:val="auto"/>
              </w:rPr>
            </w:pPr>
          </w:p>
        </w:tc>
        <w:tc>
          <w:tcPr>
            <w:tcW w:w="80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12/10/2026</w:t>
            </w:r>
          </w:p>
        </w:tc>
        <w:tc>
          <w:tcPr>
            <w:tcW w:w="0" w:type="dxa"/>
            <w:vAlign w:val="bottom"/>
          </w:tcPr>
          <w:p>
            <w:pPr>
              <w:spacing w:after="0"/>
              <w:rPr>
                <w:sz w:val="1"/>
                <w:szCs w:val="1"/>
                <w:color w:val="auto"/>
              </w:rPr>
            </w:pPr>
          </w:p>
        </w:tc>
      </w:tr>
      <w:tr>
        <w:trPr>
          <w:trHeight w:val="192"/>
        </w:trPr>
        <w:tc>
          <w:tcPr>
            <w:tcW w:w="1040" w:type="dxa"/>
            <w:vAlign w:val="bottom"/>
            <w:tcBorders>
              <w:bottom w:val="single" w:sz="8" w:color="808080"/>
            </w:tcBorders>
          </w:tcPr>
          <w:p>
            <w:pPr>
              <w:spacing w:after="0"/>
              <w:rPr>
                <w:sz w:val="20"/>
                <w:szCs w:val="20"/>
                <w:color w:val="auto"/>
              </w:rPr>
            </w:pPr>
            <w:r>
              <w:rPr>
                <w:rFonts w:ascii="Arial" w:cs="Arial" w:eastAsia="Arial" w:hAnsi="Arial"/>
                <w:sz w:val="13"/>
                <w:szCs w:val="13"/>
                <w:color w:val="auto"/>
              </w:rPr>
              <w:t>4c</w:t>
            </w:r>
          </w:p>
        </w:tc>
        <w:tc>
          <w:tcPr>
            <w:tcW w:w="180" w:type="dxa"/>
            <w:vAlign w:val="bottom"/>
            <w:tcBorders>
              <w:bottom w:val="single" w:sz="8" w:color="E7E7E8"/>
            </w:tcBorders>
          </w:tcPr>
          <w:p>
            <w:pPr>
              <w:spacing w:after="0"/>
              <w:rPr>
                <w:sz w:val="16"/>
                <w:szCs w:val="16"/>
                <w:color w:val="auto"/>
              </w:rPr>
            </w:pPr>
          </w:p>
        </w:tc>
        <w:tc>
          <w:tcPr>
            <w:tcW w:w="11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N/A</w:t>
            </w:r>
          </w:p>
        </w:tc>
        <w:tc>
          <w:tcPr>
            <w:tcW w:w="160" w:type="dxa"/>
            <w:vAlign w:val="bottom"/>
            <w:tcBorders>
              <w:bottom w:val="single" w:sz="8" w:color="E7E7E8"/>
            </w:tcBorders>
          </w:tcPr>
          <w:p>
            <w:pPr>
              <w:spacing w:after="0"/>
              <w:rPr>
                <w:sz w:val="16"/>
                <w:szCs w:val="16"/>
                <w:color w:val="auto"/>
              </w:rPr>
            </w:pPr>
          </w:p>
        </w:tc>
        <w:tc>
          <w:tcPr>
            <w:tcW w:w="118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1/1/2023</w:t>
            </w:r>
          </w:p>
        </w:tc>
        <w:tc>
          <w:tcPr>
            <w:tcW w:w="180" w:type="dxa"/>
            <w:vAlign w:val="bottom"/>
            <w:tcBorders>
              <w:bottom w:val="single" w:sz="8" w:color="E7E7E8"/>
            </w:tcBorders>
          </w:tcPr>
          <w:p>
            <w:pPr>
              <w:spacing w:after="0"/>
              <w:rPr>
                <w:sz w:val="16"/>
                <w:szCs w:val="16"/>
                <w:color w:val="auto"/>
              </w:rPr>
            </w:pPr>
          </w:p>
        </w:tc>
        <w:tc>
          <w:tcPr>
            <w:tcW w:w="132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12/31/2025</w:t>
            </w:r>
          </w:p>
        </w:tc>
        <w:tc>
          <w:tcPr>
            <w:tcW w:w="180" w:type="dxa"/>
            <w:vAlign w:val="bottom"/>
            <w:tcBorders>
              <w:bottom w:val="single" w:sz="8" w:color="E7E7E8"/>
            </w:tcBorders>
          </w:tcPr>
          <w:p>
            <w:pPr>
              <w:spacing w:after="0"/>
              <w:rPr>
                <w:sz w:val="16"/>
                <w:szCs w:val="16"/>
                <w:color w:val="auto"/>
              </w:rPr>
            </w:pPr>
          </w:p>
        </w:tc>
        <w:tc>
          <w:tcPr>
            <w:tcW w:w="114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50%</w:t>
            </w:r>
          </w:p>
        </w:tc>
        <w:tc>
          <w:tcPr>
            <w:tcW w:w="180" w:type="dxa"/>
            <w:vAlign w:val="bottom"/>
            <w:tcBorders>
              <w:bottom w:val="single" w:sz="8" w:color="E7E7E8"/>
            </w:tcBorders>
          </w:tcPr>
          <w:p>
            <w:pPr>
              <w:spacing w:after="0"/>
              <w:rPr>
                <w:sz w:val="16"/>
                <w:szCs w:val="16"/>
                <w:color w:val="auto"/>
              </w:rPr>
            </w:pPr>
          </w:p>
        </w:tc>
        <w:tc>
          <w:tcPr>
            <w:tcW w:w="11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12/10/2026</w:t>
            </w:r>
          </w:p>
        </w:tc>
        <w:tc>
          <w:tcPr>
            <w:tcW w:w="140" w:type="dxa"/>
            <w:vAlign w:val="bottom"/>
            <w:tcBorders>
              <w:bottom w:val="single" w:sz="8" w:color="E7E7E8"/>
            </w:tcBorders>
          </w:tcPr>
          <w:p>
            <w:pPr>
              <w:spacing w:after="0"/>
              <w:rPr>
                <w:sz w:val="16"/>
                <w:szCs w:val="16"/>
                <w:color w:val="auto"/>
              </w:rPr>
            </w:pPr>
          </w:p>
        </w:tc>
        <w:tc>
          <w:tcPr>
            <w:tcW w:w="400" w:type="dxa"/>
            <w:vAlign w:val="bottom"/>
            <w:tcBorders>
              <w:bottom w:val="single" w:sz="8" w:color="808080"/>
            </w:tcBorders>
          </w:tcPr>
          <w:p>
            <w:pPr>
              <w:spacing w:after="0"/>
              <w:rPr>
                <w:sz w:val="16"/>
                <w:szCs w:val="16"/>
                <w:color w:val="auto"/>
              </w:rPr>
            </w:pPr>
          </w:p>
        </w:tc>
        <w:tc>
          <w:tcPr>
            <w:tcW w:w="8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12/10/2027</w:t>
            </w:r>
          </w:p>
        </w:tc>
        <w:tc>
          <w:tcPr>
            <w:tcW w:w="0" w:type="dxa"/>
            <w:vAlign w:val="bottom"/>
          </w:tcPr>
          <w:p>
            <w:pPr>
              <w:spacing w:after="0"/>
              <w:rPr>
                <w:sz w:val="1"/>
                <w:szCs w:val="1"/>
                <w:color w:val="auto"/>
              </w:rPr>
            </w:pPr>
          </w:p>
        </w:tc>
      </w:tr>
      <w:tr>
        <w:trPr>
          <w:trHeight w:val="192"/>
        </w:trPr>
        <w:tc>
          <w:tcPr>
            <w:tcW w:w="1040" w:type="dxa"/>
            <w:vAlign w:val="bottom"/>
            <w:tcBorders>
              <w:bottom w:val="single" w:sz="8" w:color="808080"/>
            </w:tcBorders>
            <w:shd w:val="clear" w:color="auto" w:fill="E7E7E8"/>
          </w:tcPr>
          <w:p>
            <w:pPr>
              <w:spacing w:after="0"/>
              <w:rPr>
                <w:sz w:val="20"/>
                <w:szCs w:val="20"/>
                <w:color w:val="auto"/>
              </w:rPr>
            </w:pPr>
            <w:r>
              <w:rPr>
                <w:rFonts w:ascii="Arial" w:cs="Arial" w:eastAsia="Arial" w:hAnsi="Arial"/>
                <w:sz w:val="13"/>
                <w:szCs w:val="13"/>
                <w:color w:val="auto"/>
              </w:rPr>
              <w:t>4d</w:t>
            </w:r>
          </w:p>
        </w:tc>
        <w:tc>
          <w:tcPr>
            <w:tcW w:w="180" w:type="dxa"/>
            <w:vAlign w:val="bottom"/>
            <w:tcBorders>
              <w:right w:val="single" w:sz="8" w:color="E7E7E8"/>
            </w:tcBorders>
            <w:shd w:val="clear" w:color="auto" w:fill="E7E7E8"/>
          </w:tcPr>
          <w:p>
            <w:pPr>
              <w:spacing w:after="0"/>
              <w:rPr>
                <w:sz w:val="16"/>
                <w:szCs w:val="16"/>
                <w:color w:val="auto"/>
              </w:rPr>
            </w:pPr>
          </w:p>
        </w:tc>
        <w:tc>
          <w:tcPr>
            <w:tcW w:w="116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N/A</w:t>
            </w:r>
          </w:p>
        </w:tc>
        <w:tc>
          <w:tcPr>
            <w:tcW w:w="160" w:type="dxa"/>
            <w:vAlign w:val="bottom"/>
            <w:tcBorders>
              <w:right w:val="single" w:sz="8" w:color="E7E7E8"/>
            </w:tcBorders>
            <w:shd w:val="clear" w:color="auto" w:fill="E7E7E8"/>
          </w:tcPr>
          <w:p>
            <w:pPr>
              <w:spacing w:after="0"/>
              <w:rPr>
                <w:sz w:val="16"/>
                <w:szCs w:val="16"/>
                <w:color w:val="auto"/>
              </w:rPr>
            </w:pPr>
          </w:p>
        </w:tc>
        <w:tc>
          <w:tcPr>
            <w:tcW w:w="118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1/1/2024</w:t>
            </w:r>
          </w:p>
        </w:tc>
        <w:tc>
          <w:tcPr>
            <w:tcW w:w="180" w:type="dxa"/>
            <w:vAlign w:val="bottom"/>
            <w:tcBorders>
              <w:right w:val="single" w:sz="8" w:color="E7E7E8"/>
            </w:tcBorders>
            <w:shd w:val="clear" w:color="auto" w:fill="E7E7E8"/>
          </w:tcPr>
          <w:p>
            <w:pPr>
              <w:spacing w:after="0"/>
              <w:rPr>
                <w:sz w:val="16"/>
                <w:szCs w:val="16"/>
                <w:color w:val="auto"/>
              </w:rPr>
            </w:pPr>
          </w:p>
        </w:tc>
        <w:tc>
          <w:tcPr>
            <w:tcW w:w="132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12/31/2026</w:t>
            </w:r>
          </w:p>
        </w:tc>
        <w:tc>
          <w:tcPr>
            <w:tcW w:w="180" w:type="dxa"/>
            <w:vAlign w:val="bottom"/>
            <w:tcBorders>
              <w:right w:val="single" w:sz="8" w:color="E7E7E8"/>
            </w:tcBorders>
            <w:shd w:val="clear" w:color="auto" w:fill="E7E7E8"/>
          </w:tcPr>
          <w:p>
            <w:pPr>
              <w:spacing w:after="0"/>
              <w:rPr>
                <w:sz w:val="16"/>
                <w:szCs w:val="16"/>
                <w:color w:val="auto"/>
              </w:rPr>
            </w:pPr>
          </w:p>
        </w:tc>
        <w:tc>
          <w:tcPr>
            <w:tcW w:w="114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50%</w:t>
            </w:r>
          </w:p>
        </w:tc>
        <w:tc>
          <w:tcPr>
            <w:tcW w:w="180" w:type="dxa"/>
            <w:vAlign w:val="bottom"/>
            <w:tcBorders>
              <w:right w:val="single" w:sz="8" w:color="E7E7E8"/>
            </w:tcBorders>
            <w:shd w:val="clear" w:color="auto" w:fill="E7E7E8"/>
          </w:tcPr>
          <w:p>
            <w:pPr>
              <w:spacing w:after="0"/>
              <w:rPr>
                <w:sz w:val="16"/>
                <w:szCs w:val="16"/>
                <w:color w:val="auto"/>
              </w:rPr>
            </w:pPr>
          </w:p>
        </w:tc>
        <w:tc>
          <w:tcPr>
            <w:tcW w:w="116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12/10/2027</w:t>
            </w:r>
          </w:p>
        </w:tc>
        <w:tc>
          <w:tcPr>
            <w:tcW w:w="140" w:type="dxa"/>
            <w:vAlign w:val="bottom"/>
            <w:shd w:val="clear" w:color="auto" w:fill="E7E7E8"/>
          </w:tcPr>
          <w:p>
            <w:pPr>
              <w:spacing w:after="0"/>
              <w:rPr>
                <w:sz w:val="16"/>
                <w:szCs w:val="16"/>
                <w:color w:val="auto"/>
              </w:rPr>
            </w:pPr>
          </w:p>
        </w:tc>
        <w:tc>
          <w:tcPr>
            <w:tcW w:w="400" w:type="dxa"/>
            <w:vAlign w:val="bottom"/>
            <w:tcBorders>
              <w:bottom w:val="single" w:sz="8" w:color="808080"/>
            </w:tcBorders>
            <w:shd w:val="clear" w:color="auto" w:fill="E7E7E8"/>
          </w:tcPr>
          <w:p>
            <w:pPr>
              <w:spacing w:after="0"/>
              <w:rPr>
                <w:sz w:val="16"/>
                <w:szCs w:val="16"/>
                <w:color w:val="auto"/>
              </w:rPr>
            </w:pPr>
          </w:p>
        </w:tc>
        <w:tc>
          <w:tcPr>
            <w:tcW w:w="80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3"/>
                <w:szCs w:val="13"/>
                <w:color w:val="auto"/>
              </w:rPr>
              <w:t>12/8/2028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1888490</wp:posOffset>
            </wp:positionH>
            <wp:positionV relativeFrom="paragraph">
              <wp:posOffset>-412115</wp:posOffset>
            </wp:positionV>
            <wp:extent cx="95250" cy="1346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95250" cy="134620"/>
                    </a:xfrm>
                    <a:prstGeom prst="rect">
                      <a:avLst/>
                    </a:prstGeom>
                    <a:noFill/>
                  </pic:spPr>
                </pic:pic>
              </a:graphicData>
            </a:graphic>
          </wp:anchor>
        </w:drawing>
        <w:drawing>
          <wp:anchor simplePos="0" relativeHeight="251657728" behindDoc="1" locked="0" layoutInCell="0" allowOverlap="1">
            <wp:simplePos x="0" y="0"/>
            <wp:positionH relativeFrom="column">
              <wp:posOffset>2745740</wp:posOffset>
            </wp:positionH>
            <wp:positionV relativeFrom="paragraph">
              <wp:posOffset>-412115</wp:posOffset>
            </wp:positionV>
            <wp:extent cx="95250" cy="1346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95250" cy="134620"/>
                    </a:xfrm>
                    <a:prstGeom prst="rect">
                      <a:avLst/>
                    </a:prstGeom>
                    <a:noFill/>
                  </pic:spPr>
                </pic:pic>
              </a:graphicData>
            </a:graphic>
          </wp:anchor>
        </w:drawing>
        <w:drawing>
          <wp:anchor simplePos="0" relativeHeight="251657728" behindDoc="1" locked="0" layoutInCell="0" allowOverlap="1">
            <wp:simplePos x="0" y="0"/>
            <wp:positionH relativeFrom="column">
              <wp:posOffset>3698240</wp:posOffset>
            </wp:positionH>
            <wp:positionV relativeFrom="paragraph">
              <wp:posOffset>-412115</wp:posOffset>
            </wp:positionV>
            <wp:extent cx="95250" cy="13462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95250" cy="13462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-412115</wp:posOffset>
            </wp:positionV>
            <wp:extent cx="95250" cy="13462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95250" cy="134620"/>
                    </a:xfrm>
                    <a:prstGeom prst="rect">
                      <a:avLst/>
                    </a:prstGeom>
                    <a:noFill/>
                  </pic:spPr>
                </pic:pic>
              </a:graphicData>
            </a:graphic>
          </wp:anchor>
        </w:drawing>
        <w:drawing>
          <wp:anchor simplePos="0" relativeHeight="251657728" behindDoc="1" locked="0" layoutInCell="0" allowOverlap="1">
            <wp:simplePos x="0" y="0"/>
            <wp:positionH relativeFrom="column">
              <wp:posOffset>5380990</wp:posOffset>
            </wp:positionH>
            <wp:positionV relativeFrom="paragraph">
              <wp:posOffset>-412115</wp:posOffset>
            </wp:positionV>
            <wp:extent cx="95250" cy="13462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95250" cy="134620"/>
                    </a:xfrm>
                    <a:prstGeom prst="rect">
                      <a:avLst/>
                    </a:prstGeom>
                    <a:noFill/>
                  </pic:spPr>
                </pic:pic>
              </a:graphicData>
            </a:graphic>
          </wp:anchor>
        </w:drawing>
        <w:drawing>
          <wp:anchor simplePos="0" relativeHeight="251657728" behindDoc="1" locked="0" layoutInCell="0" allowOverlap="1">
            <wp:simplePos x="0" y="0"/>
            <wp:positionH relativeFrom="column">
              <wp:posOffset>1888490</wp:posOffset>
            </wp:positionH>
            <wp:positionV relativeFrom="paragraph">
              <wp:posOffset>-142240</wp:posOffset>
            </wp:positionV>
            <wp:extent cx="95250" cy="13462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95250" cy="134620"/>
                    </a:xfrm>
                    <a:prstGeom prst="rect">
                      <a:avLst/>
                    </a:prstGeom>
                    <a:noFill/>
                  </pic:spPr>
                </pic:pic>
              </a:graphicData>
            </a:graphic>
          </wp:anchor>
        </w:drawing>
        <w:drawing>
          <wp:anchor simplePos="0" relativeHeight="251657728" behindDoc="1" locked="0" layoutInCell="0" allowOverlap="1">
            <wp:simplePos x="0" y="0"/>
            <wp:positionH relativeFrom="column">
              <wp:posOffset>2745740</wp:posOffset>
            </wp:positionH>
            <wp:positionV relativeFrom="paragraph">
              <wp:posOffset>-142240</wp:posOffset>
            </wp:positionV>
            <wp:extent cx="95250" cy="1346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95250" cy="134620"/>
                    </a:xfrm>
                    <a:prstGeom prst="rect">
                      <a:avLst/>
                    </a:prstGeom>
                    <a:noFill/>
                  </pic:spPr>
                </pic:pic>
              </a:graphicData>
            </a:graphic>
          </wp:anchor>
        </w:drawing>
        <w:drawing>
          <wp:anchor simplePos="0" relativeHeight="251657728" behindDoc="1" locked="0" layoutInCell="0" allowOverlap="1">
            <wp:simplePos x="0" y="0"/>
            <wp:positionH relativeFrom="column">
              <wp:posOffset>3698240</wp:posOffset>
            </wp:positionH>
            <wp:positionV relativeFrom="paragraph">
              <wp:posOffset>-142240</wp:posOffset>
            </wp:positionV>
            <wp:extent cx="95250" cy="13462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95250" cy="13462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-142240</wp:posOffset>
            </wp:positionV>
            <wp:extent cx="95250" cy="13462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95250" cy="134620"/>
                    </a:xfrm>
                    <a:prstGeom prst="rect">
                      <a:avLst/>
                    </a:prstGeom>
                    <a:noFill/>
                  </pic:spPr>
                </pic:pic>
              </a:graphicData>
            </a:graphic>
          </wp:anchor>
        </w:drawing>
        <w:drawing>
          <wp:anchor simplePos="0" relativeHeight="251657728" behindDoc="1" locked="0" layoutInCell="0" allowOverlap="1">
            <wp:simplePos x="0" y="0"/>
            <wp:positionH relativeFrom="column">
              <wp:posOffset>5380990</wp:posOffset>
            </wp:positionH>
            <wp:positionV relativeFrom="paragraph">
              <wp:posOffset>-142240</wp:posOffset>
            </wp:positionV>
            <wp:extent cx="95250" cy="13462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95250" cy="134620"/>
                    </a:xfrm>
                    <a:prstGeom prst="rect">
                      <a:avLst/>
                    </a:prstGeom>
                    <a:noFill/>
                  </pic:spPr>
                </pic:pic>
              </a:graphicData>
            </a:graphic>
          </wp:anchor>
        </w:drawing>
      </w:r>
    </w:p>
    <w:p>
      <w:pPr>
        <w:spacing w:after="0" w:line="94" w:lineRule="exact"/>
        <w:rPr>
          <w:sz w:val="20"/>
          <w:szCs w:val="20"/>
          <w:color w:val="auto"/>
        </w:rPr>
      </w:pPr>
    </w:p>
    <w:p>
      <w:pPr>
        <w:ind w:left="300" w:hanging="300"/>
        <w:spacing w:after="0"/>
        <w:tabs>
          <w:tab w:leader="none" w:pos="300" w:val="left"/>
        </w:tabs>
        <w:numPr>
          <w:ilvl w:val="0"/>
          <w:numId w:val="105"/>
        </w:numPr>
        <w:rPr>
          <w:rFonts w:ascii="Arial" w:cs="Arial" w:eastAsia="Arial" w:hAnsi="Arial"/>
          <w:sz w:val="22"/>
          <w:szCs w:val="22"/>
          <w:color w:val="auto"/>
          <w:vertAlign w:val="superscript"/>
        </w:rPr>
      </w:pPr>
      <w:r>
        <w:rPr>
          <w:rFonts w:ascii="Arial" w:cs="Arial" w:eastAsia="Arial" w:hAnsi="Arial"/>
          <w:sz w:val="13"/>
          <w:szCs w:val="13"/>
          <w:color w:val="auto"/>
        </w:rPr>
        <w:t>The following table represents the vesting schedules of the outstanding stock awards as of December 31, 2023.</w:t>
      </w:r>
    </w:p>
    <w:p>
      <w:pPr>
        <w:spacing w:after="0" w:line="208" w:lineRule="exact"/>
        <w:rPr>
          <w:sz w:val="20"/>
          <w:szCs w:val="20"/>
          <w:color w:val="auto"/>
        </w:rPr>
      </w:pPr>
    </w:p>
    <w:tbl>
      <w:tblPr>
        <w:tblLayout w:type="fixed"/>
        <w:tblInd w:w="600" w:type="dxa"/>
        <w:tblCellMar>
          <w:top w:w="0" w:type="dxa"/>
          <w:left w:w="0" w:type="dxa"/>
          <w:bottom w:w="0" w:type="dxa"/>
          <w:right w:w="0" w:type="dxa"/>
        </w:tblCellMar>
      </w:tblPr>
      <w:tr>
        <w:trPr>
          <w:trHeight w:val="192"/>
        </w:trPr>
        <w:tc>
          <w:tcPr>
            <w:tcW w:w="108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b w:val="1"/>
                <w:bCs w:val="1"/>
                <w:color w:val="auto"/>
              </w:rPr>
              <w:t>REMAINING</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20" w:type="dxa"/>
            <w:vAlign w:val="bottom"/>
          </w:tcPr>
          <w:p>
            <w:pPr>
              <w:spacing w:after="0"/>
              <w:rPr>
                <w:sz w:val="16"/>
                <w:szCs w:val="16"/>
                <w:color w:val="auto"/>
              </w:rPr>
            </w:pPr>
          </w:p>
        </w:tc>
      </w:tr>
      <w:tr>
        <w:trPr>
          <w:trHeight w:val="179"/>
        </w:trPr>
        <w:tc>
          <w:tcPr>
            <w:tcW w:w="1080" w:type="dxa"/>
            <w:vAlign w:val="bottom"/>
            <w:tcBorders>
              <w:bottom w:val="single" w:sz="8" w:color="auto"/>
            </w:tcBorders>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PERCENTAGE VESTING</w:t>
            </w:r>
          </w:p>
        </w:tc>
        <w:tc>
          <w:tcPr>
            <w:tcW w:w="180" w:type="dxa"/>
            <w:vAlign w:val="bottom"/>
            <w:tcBorders>
              <w:right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VEST DATES</w:t>
            </w:r>
          </w:p>
        </w:tc>
      </w:tr>
      <w:tr>
        <w:trPr>
          <w:trHeight w:val="192"/>
        </w:trPr>
        <w:tc>
          <w:tcPr>
            <w:tcW w:w="10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5a</w:t>
            </w:r>
          </w:p>
        </w:tc>
        <w:tc>
          <w:tcPr>
            <w:tcW w:w="180" w:type="dxa"/>
            <w:vAlign w:val="bottom"/>
            <w:tcBorders>
              <w:bottom w:val="single" w:sz="8" w:color="E7E7E8"/>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w:t>
            </w:r>
          </w:p>
        </w:tc>
        <w:tc>
          <w:tcPr>
            <w:tcW w:w="180" w:type="dxa"/>
            <w:vAlign w:val="bottom"/>
            <w:tcBorders>
              <w:bottom w:val="single" w:sz="8" w:color="E7E7E8"/>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12/10/2024</w:t>
            </w:r>
          </w:p>
        </w:tc>
        <w:tc>
          <w:tcPr>
            <w:tcW w:w="100" w:type="dxa"/>
            <w:vAlign w:val="bottom"/>
            <w:tcBorders>
              <w:bottom w:val="single" w:sz="8" w:color="E7E7E8"/>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0" w:type="dxa"/>
            <w:vAlign w:val="bottom"/>
            <w:tcBorders>
              <w:bottom w:val="single" w:sz="8" w:color="E7E7E8"/>
            </w:tcBorders>
          </w:tcPr>
          <w:p>
            <w:pPr>
              <w:spacing w:after="0"/>
              <w:rPr>
                <w:sz w:val="16"/>
                <w:szCs w:val="16"/>
                <w:color w:val="auto"/>
              </w:rPr>
            </w:pPr>
          </w:p>
        </w:tc>
        <w:tc>
          <w:tcPr>
            <w:tcW w:w="2420" w:type="dxa"/>
            <w:vAlign w:val="bottom"/>
            <w:tcBorders>
              <w:bottom w:val="single" w:sz="8" w:color="auto"/>
            </w:tcBorders>
          </w:tcPr>
          <w:p>
            <w:pPr>
              <w:spacing w:after="0"/>
              <w:rPr>
                <w:sz w:val="16"/>
                <w:szCs w:val="16"/>
                <w:color w:val="auto"/>
              </w:rPr>
            </w:pPr>
          </w:p>
        </w:tc>
      </w:tr>
      <w:tr>
        <w:trPr>
          <w:trHeight w:val="192"/>
        </w:trPr>
        <w:tc>
          <w:tcPr>
            <w:tcW w:w="1080" w:type="dxa"/>
            <w:vAlign w:val="bottom"/>
            <w:tcBorders>
              <w:bottom w:val="single" w:sz="8" w:color="auto"/>
            </w:tcBorders>
            <w:shd w:val="clear" w:color="auto" w:fill="E7E7E8"/>
          </w:tcPr>
          <w:p>
            <w:pPr>
              <w:spacing w:after="0"/>
              <w:rPr>
                <w:sz w:val="20"/>
                <w:szCs w:val="20"/>
                <w:color w:val="auto"/>
              </w:rPr>
            </w:pPr>
            <w:r>
              <w:rPr>
                <w:rFonts w:ascii="Arial" w:cs="Arial" w:eastAsia="Arial" w:hAnsi="Arial"/>
                <w:sz w:val="13"/>
                <w:szCs w:val="13"/>
                <w:color w:val="auto"/>
              </w:rPr>
              <w:t>5b</w:t>
            </w:r>
          </w:p>
        </w:tc>
        <w:tc>
          <w:tcPr>
            <w:tcW w:w="180" w:type="dxa"/>
            <w:vAlign w:val="bottom"/>
            <w:tcBorders>
              <w:right w:val="single" w:sz="8" w:color="E7E7E8"/>
            </w:tcBorders>
            <w:shd w:val="clear" w:color="auto" w:fill="E7E7E8"/>
          </w:tcPr>
          <w:p>
            <w:pPr>
              <w:spacing w:after="0"/>
              <w:rPr>
                <w:sz w:val="16"/>
                <w:szCs w:val="16"/>
                <w:color w:val="auto"/>
              </w:rPr>
            </w:pPr>
          </w:p>
        </w:tc>
        <w:tc>
          <w:tcPr>
            <w:tcW w:w="16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50%</w:t>
            </w:r>
          </w:p>
        </w:tc>
        <w:tc>
          <w:tcPr>
            <w:tcW w:w="180" w:type="dxa"/>
            <w:vAlign w:val="bottom"/>
            <w:tcBorders>
              <w:right w:val="single" w:sz="8" w:color="E7E7E8"/>
            </w:tcBorders>
            <w:shd w:val="clear" w:color="auto" w:fill="E7E7E8"/>
          </w:tcPr>
          <w:p>
            <w:pPr>
              <w:spacing w:after="0"/>
              <w:rPr>
                <w:sz w:val="16"/>
                <w:szCs w:val="16"/>
                <w:color w:val="auto"/>
              </w:rPr>
            </w:pPr>
          </w:p>
        </w:tc>
        <w:tc>
          <w:tcPr>
            <w:tcW w:w="10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12/10/2024</w:t>
            </w:r>
          </w:p>
        </w:tc>
        <w:tc>
          <w:tcPr>
            <w:tcW w:w="100" w:type="dxa"/>
            <w:vAlign w:val="bottom"/>
            <w:shd w:val="clear" w:color="auto" w:fill="E7E7E8"/>
          </w:tcPr>
          <w:p>
            <w:pPr>
              <w:spacing w:after="0"/>
              <w:rPr>
                <w:sz w:val="16"/>
                <w:szCs w:val="16"/>
                <w:color w:val="auto"/>
              </w:rPr>
            </w:pPr>
          </w:p>
        </w:tc>
        <w:tc>
          <w:tcPr>
            <w:tcW w:w="10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12/10/2025</w:t>
            </w:r>
          </w:p>
        </w:tc>
        <w:tc>
          <w:tcPr>
            <w:tcW w:w="160" w:type="dxa"/>
            <w:vAlign w:val="bottom"/>
            <w:shd w:val="clear" w:color="auto" w:fill="E7E7E8"/>
          </w:tcPr>
          <w:p>
            <w:pPr>
              <w:spacing w:after="0"/>
              <w:rPr>
                <w:sz w:val="16"/>
                <w:szCs w:val="16"/>
                <w:color w:val="auto"/>
              </w:rPr>
            </w:pPr>
          </w:p>
        </w:tc>
        <w:tc>
          <w:tcPr>
            <w:tcW w:w="2420" w:type="dxa"/>
            <w:vAlign w:val="bottom"/>
            <w:tcBorders>
              <w:bottom w:val="single" w:sz="8" w:color="auto"/>
            </w:tcBorders>
            <w:shd w:val="clear" w:color="auto" w:fill="E7E7E8"/>
          </w:tcPr>
          <w:p>
            <w:pPr>
              <w:spacing w:after="0"/>
              <w:rPr>
                <w:sz w:val="16"/>
                <w:szCs w:val="16"/>
                <w:color w:val="auto"/>
              </w:rPr>
            </w:pPr>
          </w:p>
        </w:tc>
      </w:tr>
      <w:tr>
        <w:trPr>
          <w:trHeight w:val="192"/>
        </w:trPr>
        <w:tc>
          <w:tcPr>
            <w:tcW w:w="10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5c</w:t>
            </w:r>
          </w:p>
        </w:tc>
        <w:tc>
          <w:tcPr>
            <w:tcW w:w="18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w:t>
            </w:r>
          </w:p>
        </w:tc>
        <w:tc>
          <w:tcPr>
            <w:tcW w:w="18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12/10/2024</w:t>
            </w:r>
          </w:p>
        </w:tc>
        <w:tc>
          <w:tcPr>
            <w:tcW w:w="10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12/10/2025</w:t>
            </w:r>
          </w:p>
        </w:tc>
        <w:tc>
          <w:tcPr>
            <w:tcW w:w="160" w:type="dxa"/>
            <w:vAlign w:val="bottom"/>
          </w:tcPr>
          <w:p>
            <w:pPr>
              <w:spacing w:after="0"/>
              <w:rPr>
                <w:sz w:val="16"/>
                <w:szCs w:val="16"/>
                <w:color w:val="auto"/>
              </w:rPr>
            </w:pPr>
          </w:p>
        </w:tc>
        <w:tc>
          <w:tcPr>
            <w:tcW w:w="242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12/10/2026</w:t>
            </w:r>
          </w:p>
        </w:tc>
      </w:tr>
    </w:tbl>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020" w:type="dxa"/>
            <w:vAlign w:val="bottom"/>
          </w:tcPr>
          <w:p>
            <w:pPr>
              <w:ind w:left="9720"/>
              <w:spacing w:after="0"/>
              <w:rPr>
                <w:sz w:val="20"/>
                <w:szCs w:val="20"/>
                <w:color w:val="auto"/>
              </w:rPr>
            </w:pPr>
            <w:r>
              <w:rPr>
                <w:rFonts w:ascii="Times New Roman" w:cs="Times New Roman" w:eastAsia="Times New Roman" w:hAnsi="Times New Roman"/>
                <w:sz w:val="13"/>
                <w:szCs w:val="13"/>
                <w:b w:val="1"/>
                <w:bCs w:val="1"/>
                <w:color w:val="auto"/>
              </w:rPr>
              <w:t xml:space="preserve">2024 </w:t>
            </w:r>
            <w:r>
              <w:rPr>
                <w:rFonts w:ascii="Times New Roman" w:cs="Times New Roman" w:eastAsia="Times New Roman" w:hAnsi="Times New Roman"/>
                <w:sz w:val="13"/>
                <w:szCs w:val="13"/>
                <w:color w:val="auto"/>
              </w:rPr>
              <w:t>Proxy Statement</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244F"/>
              </w:rPr>
              <w:t>67</w:t>
            </w:r>
          </w:p>
        </w:tc>
      </w:tr>
      <w:tr>
        <w:trPr>
          <w:trHeight w:val="385"/>
        </w:trPr>
        <w:tc>
          <w:tcPr>
            <w:tcW w:w="1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3" w:right="339" w:bottom="1440" w:gutter="0" w:footer="0" w:header="0"/>
        </w:sectPr>
      </w:pPr>
    </w:p>
    <w:bookmarkStart w:id="72" w:name="page73"/>
    <w:bookmarkEnd w:id="72"/>
    <w:p>
      <w:pPr>
        <w:spacing w:after="0"/>
        <w:rPr>
          <w:sz w:val="20"/>
          <w:szCs w:val="20"/>
          <w:color w:val="auto"/>
        </w:rPr>
      </w:pPr>
      <w:r>
        <w:rPr>
          <w:rFonts w:ascii="Arial" w:cs="Arial" w:eastAsia="Arial" w:hAnsi="Arial"/>
          <w:sz w:val="17"/>
          <w:szCs w:val="17"/>
          <w:u w:val="single" w:color="auto"/>
          <w:color w:val="0000EE"/>
        </w:rPr>
        <w:t>Table of Contents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244F"/>
        </w:rPr>
        <w:t>2023 Options Exercises and Stock Vested Table</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shows aggregate stock option exercises and restricted stock awards vesting in 2023 and the related value realized for each of the NEOs.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Mr. August is omitted from the table because he does not have any outstanding equity awards.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7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680" w:type="dxa"/>
            <w:vAlign w:val="bottom"/>
            <w:tcBorders>
              <w:bottom w:val="single" w:sz="8" w:color="auto"/>
            </w:tcBorders>
            <w:gridSpan w:val="3"/>
          </w:tcPr>
          <w:p>
            <w:pPr>
              <w:ind w:left="1520"/>
              <w:spacing w:after="0"/>
              <w:rPr>
                <w:sz w:val="20"/>
                <w:szCs w:val="20"/>
                <w:color w:val="auto"/>
              </w:rPr>
            </w:pPr>
            <w:r>
              <w:rPr>
                <w:rFonts w:ascii="Arial" w:cs="Arial" w:eastAsia="Arial" w:hAnsi="Arial"/>
                <w:sz w:val="12"/>
                <w:szCs w:val="12"/>
                <w:b w:val="1"/>
                <w:bCs w:val="1"/>
                <w:color w:val="auto"/>
              </w:rPr>
              <w:t>OPTION AWARDS</w:t>
            </w:r>
          </w:p>
        </w:tc>
        <w:tc>
          <w:tcPr>
            <w:tcW w:w="5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840" w:type="dxa"/>
            <w:vAlign w:val="bottom"/>
            <w:tcBorders>
              <w:bottom w:val="single" w:sz="8" w:color="auto"/>
            </w:tcBorders>
            <w:gridSpan w:val="3"/>
          </w:tcPr>
          <w:p>
            <w:pPr>
              <w:ind w:left="1600"/>
              <w:spacing w:after="0"/>
              <w:rPr>
                <w:sz w:val="20"/>
                <w:szCs w:val="20"/>
                <w:color w:val="auto"/>
              </w:rPr>
            </w:pPr>
            <w:r>
              <w:rPr>
                <w:rFonts w:ascii="Arial" w:cs="Arial" w:eastAsia="Arial" w:hAnsi="Arial"/>
                <w:sz w:val="12"/>
                <w:szCs w:val="12"/>
                <w:b w:val="1"/>
                <w:bCs w:val="1"/>
                <w:color w:val="auto"/>
              </w:rPr>
              <w:t>STOCK AWARDS</w:t>
            </w:r>
          </w:p>
        </w:tc>
        <w:tc>
          <w:tcPr>
            <w:tcW w:w="4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r>
      <w:tr>
        <w:trPr>
          <w:trHeight w:val="107"/>
        </w:trPr>
        <w:tc>
          <w:tcPr>
            <w:tcW w:w="27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040" w:type="dxa"/>
            <w:vAlign w:val="bottom"/>
            <w:tcBorders>
              <w:right w:val="single" w:sz="8" w:color="auto"/>
            </w:tcBorders>
            <w:gridSpan w:val="2"/>
          </w:tcPr>
          <w:p>
            <w:pPr>
              <w:jc w:val="right"/>
              <w:ind w:right="220"/>
              <w:spacing w:after="0" w:line="107" w:lineRule="exact"/>
              <w:rPr>
                <w:sz w:val="20"/>
                <w:szCs w:val="20"/>
                <w:color w:val="auto"/>
              </w:rPr>
            </w:pPr>
            <w:r>
              <w:rPr>
                <w:rFonts w:ascii="Arial" w:cs="Arial" w:eastAsia="Arial" w:hAnsi="Arial"/>
                <w:sz w:val="12"/>
                <w:szCs w:val="12"/>
                <w:b w:val="1"/>
                <w:bCs w:val="1"/>
                <w:color w:val="auto"/>
              </w:rPr>
              <w:t>NUMBER OF SHARES</w:t>
            </w:r>
          </w:p>
        </w:tc>
        <w:tc>
          <w:tcPr>
            <w:tcW w:w="640" w:type="dxa"/>
            <w:vAlign w:val="bottom"/>
          </w:tcPr>
          <w:p>
            <w:pPr>
              <w:spacing w:after="0"/>
              <w:rPr>
                <w:sz w:val="9"/>
                <w:szCs w:val="9"/>
                <w:color w:val="auto"/>
              </w:rPr>
            </w:pPr>
          </w:p>
        </w:tc>
        <w:tc>
          <w:tcPr>
            <w:tcW w:w="1400" w:type="dxa"/>
            <w:vAlign w:val="bottom"/>
            <w:tcBorders>
              <w:right w:val="single" w:sz="8" w:color="auto"/>
            </w:tcBorders>
            <w:gridSpan w:val="3"/>
          </w:tcPr>
          <w:p>
            <w:pPr>
              <w:jc w:val="right"/>
              <w:ind w:right="200"/>
              <w:spacing w:after="0" w:line="107" w:lineRule="exact"/>
              <w:rPr>
                <w:sz w:val="20"/>
                <w:szCs w:val="20"/>
                <w:color w:val="auto"/>
              </w:rPr>
            </w:pPr>
            <w:r>
              <w:rPr>
                <w:rFonts w:ascii="Arial" w:cs="Arial" w:eastAsia="Arial" w:hAnsi="Arial"/>
                <w:sz w:val="12"/>
                <w:szCs w:val="12"/>
                <w:b w:val="1"/>
                <w:bCs w:val="1"/>
                <w:color w:val="auto"/>
              </w:rPr>
              <w:t>VALUE REALIZED</w:t>
            </w:r>
          </w:p>
        </w:tc>
        <w:tc>
          <w:tcPr>
            <w:tcW w:w="140" w:type="dxa"/>
            <w:vAlign w:val="bottom"/>
          </w:tcPr>
          <w:p>
            <w:pPr>
              <w:spacing w:after="0"/>
              <w:rPr>
                <w:sz w:val="9"/>
                <w:szCs w:val="9"/>
                <w:color w:val="auto"/>
              </w:rPr>
            </w:pPr>
          </w:p>
        </w:tc>
        <w:tc>
          <w:tcPr>
            <w:tcW w:w="2100" w:type="dxa"/>
            <w:vAlign w:val="bottom"/>
            <w:tcBorders>
              <w:right w:val="single" w:sz="8" w:color="auto"/>
            </w:tcBorders>
            <w:gridSpan w:val="2"/>
          </w:tcPr>
          <w:p>
            <w:pPr>
              <w:jc w:val="right"/>
              <w:ind w:right="200"/>
              <w:spacing w:after="0" w:line="107" w:lineRule="exact"/>
              <w:rPr>
                <w:sz w:val="20"/>
                <w:szCs w:val="20"/>
                <w:color w:val="auto"/>
              </w:rPr>
            </w:pPr>
            <w:r>
              <w:rPr>
                <w:rFonts w:ascii="Arial" w:cs="Arial" w:eastAsia="Arial" w:hAnsi="Arial"/>
                <w:sz w:val="12"/>
                <w:szCs w:val="12"/>
                <w:b w:val="1"/>
                <w:bCs w:val="1"/>
                <w:color w:val="auto"/>
              </w:rPr>
              <w:t>NUMBER OF SHARES</w:t>
            </w:r>
          </w:p>
        </w:tc>
        <w:tc>
          <w:tcPr>
            <w:tcW w:w="740" w:type="dxa"/>
            <w:vAlign w:val="bottom"/>
          </w:tcPr>
          <w:p>
            <w:pPr>
              <w:spacing w:after="0"/>
              <w:rPr>
                <w:sz w:val="9"/>
                <w:szCs w:val="9"/>
                <w:color w:val="auto"/>
              </w:rPr>
            </w:pPr>
          </w:p>
        </w:tc>
        <w:tc>
          <w:tcPr>
            <w:tcW w:w="1320" w:type="dxa"/>
            <w:vAlign w:val="bottom"/>
            <w:gridSpan w:val="2"/>
          </w:tcPr>
          <w:p>
            <w:pPr>
              <w:jc w:val="right"/>
              <w:spacing w:after="0" w:line="107" w:lineRule="exact"/>
              <w:rPr>
                <w:sz w:val="20"/>
                <w:szCs w:val="20"/>
                <w:color w:val="auto"/>
              </w:rPr>
            </w:pPr>
            <w:r>
              <w:rPr>
                <w:rFonts w:ascii="Arial" w:cs="Arial" w:eastAsia="Arial" w:hAnsi="Arial"/>
                <w:sz w:val="12"/>
                <w:szCs w:val="12"/>
                <w:b w:val="1"/>
                <w:bCs w:val="1"/>
                <w:color w:val="auto"/>
              </w:rPr>
              <w:t>VALUE REALIZED</w:t>
            </w:r>
          </w:p>
        </w:tc>
      </w:tr>
      <w:tr>
        <w:trPr>
          <w:trHeight w:val="173"/>
        </w:trPr>
        <w:tc>
          <w:tcPr>
            <w:tcW w:w="274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NAME</w:t>
            </w:r>
          </w:p>
        </w:tc>
        <w:tc>
          <w:tcPr>
            <w:tcW w:w="120" w:type="dxa"/>
            <w:vAlign w:val="bottom"/>
            <w:tcBorders>
              <w:right w:val="single" w:sz="8" w:color="auto"/>
            </w:tcBorders>
          </w:tcPr>
          <w:p>
            <w:pPr>
              <w:spacing w:after="0"/>
              <w:rPr>
                <w:sz w:val="15"/>
                <w:szCs w:val="15"/>
                <w:color w:val="auto"/>
              </w:rPr>
            </w:pPr>
          </w:p>
        </w:tc>
        <w:tc>
          <w:tcPr>
            <w:tcW w:w="188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2"/>
                <w:szCs w:val="12"/>
                <w:b w:val="1"/>
                <w:bCs w:val="1"/>
                <w:color w:val="auto"/>
              </w:rPr>
              <w:t>ACQUIRED ON EXERCISE</w:t>
            </w:r>
            <w:r>
              <w:rPr>
                <w:rFonts w:ascii="Arial" w:cs="Arial" w:eastAsia="Arial" w:hAnsi="Arial"/>
                <w:sz w:val="19"/>
                <w:szCs w:val="19"/>
                <w:b w:val="1"/>
                <w:bCs w:val="1"/>
                <w:color w:val="auto"/>
                <w:vertAlign w:val="superscript"/>
              </w:rPr>
              <w:t>1,6</w:t>
            </w:r>
          </w:p>
        </w:tc>
        <w:tc>
          <w:tcPr>
            <w:tcW w:w="160" w:type="dxa"/>
            <w:vAlign w:val="bottom"/>
            <w:tcBorders>
              <w:right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right"/>
              <w:spacing w:after="0" w:line="173" w:lineRule="exact"/>
              <w:rPr>
                <w:sz w:val="20"/>
                <w:szCs w:val="20"/>
                <w:color w:val="auto"/>
              </w:rPr>
            </w:pPr>
            <w:r>
              <w:rPr>
                <w:rFonts w:ascii="Arial" w:cs="Arial" w:eastAsia="Arial" w:hAnsi="Arial"/>
                <w:sz w:val="12"/>
                <w:szCs w:val="12"/>
                <w:b w:val="1"/>
                <w:bCs w:val="1"/>
                <w:color w:val="auto"/>
              </w:rPr>
              <w:t>ON EXERCISE</w:t>
            </w:r>
            <w:r>
              <w:rPr>
                <w:rFonts w:ascii="Arial" w:cs="Arial" w:eastAsia="Arial" w:hAnsi="Arial"/>
                <w:sz w:val="19"/>
                <w:szCs w:val="19"/>
                <w:b w:val="1"/>
                <w:bCs w:val="1"/>
                <w:color w:val="auto"/>
                <w:vertAlign w:val="superscript"/>
              </w:rPr>
              <w:t>2</w:t>
            </w:r>
          </w:p>
        </w:tc>
        <w:tc>
          <w:tcPr>
            <w:tcW w:w="1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94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2"/>
                <w:szCs w:val="12"/>
                <w:b w:val="1"/>
                <w:bCs w:val="1"/>
                <w:color w:val="auto"/>
              </w:rPr>
              <w:t>ACQUIRED ON VESTING</w:t>
            </w:r>
            <w:r>
              <w:rPr>
                <w:rFonts w:ascii="Arial" w:cs="Arial" w:eastAsia="Arial" w:hAnsi="Arial"/>
                <w:sz w:val="19"/>
                <w:szCs w:val="19"/>
                <w:b w:val="1"/>
                <w:bCs w:val="1"/>
                <w:color w:val="auto"/>
                <w:vertAlign w:val="superscript"/>
              </w:rPr>
              <w:t>6</w:t>
            </w:r>
          </w:p>
        </w:tc>
        <w:tc>
          <w:tcPr>
            <w:tcW w:w="160" w:type="dxa"/>
            <w:vAlign w:val="bottom"/>
            <w:tcBorders>
              <w:right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ON VESTING</w:t>
            </w:r>
          </w:p>
        </w:tc>
      </w:tr>
      <w:tr>
        <w:trPr>
          <w:trHeight w:val="217"/>
        </w:trPr>
        <w:tc>
          <w:tcPr>
            <w:tcW w:w="274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00254F"/>
              </w:rPr>
              <w:t>Robert W. Sharps</w:t>
            </w:r>
          </w:p>
        </w:tc>
        <w:tc>
          <w:tcPr>
            <w:tcW w:w="120" w:type="dxa"/>
            <w:vAlign w:val="bottom"/>
            <w:tcBorders>
              <w:bottom w:val="single" w:sz="8" w:color="E7E7E8"/>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2,757</w:t>
            </w:r>
          </w:p>
        </w:tc>
        <w:tc>
          <w:tcPr>
            <w:tcW w:w="160" w:type="dxa"/>
            <w:vAlign w:val="bottom"/>
            <w:tcBorders>
              <w:bottom w:val="single" w:sz="8" w:color="E7E7E8"/>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128,939</w:t>
            </w:r>
          </w:p>
        </w:tc>
        <w:tc>
          <w:tcPr>
            <w:tcW w:w="160" w:type="dxa"/>
            <w:vAlign w:val="bottom"/>
            <w:tcBorders>
              <w:bottom w:val="single" w:sz="8" w:color="E7E7E8"/>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line="218" w:lineRule="exact"/>
              <w:rPr>
                <w:sz w:val="20"/>
                <w:szCs w:val="20"/>
                <w:color w:val="auto"/>
              </w:rPr>
            </w:pPr>
            <w:r>
              <w:rPr>
                <w:rFonts w:ascii="Arial" w:cs="Arial" w:eastAsia="Arial" w:hAnsi="Arial"/>
                <w:sz w:val="15"/>
                <w:szCs w:val="15"/>
                <w:color w:val="auto"/>
              </w:rPr>
              <w:t>44,196</w:t>
            </w:r>
            <w:r>
              <w:rPr>
                <w:rFonts w:ascii="Arial" w:cs="Arial" w:eastAsia="Arial" w:hAnsi="Arial"/>
                <w:sz w:val="24"/>
                <w:szCs w:val="24"/>
                <w:color w:val="auto"/>
                <w:vertAlign w:val="superscript"/>
              </w:rPr>
              <w:t>3,4</w:t>
            </w:r>
          </w:p>
        </w:tc>
        <w:tc>
          <w:tcPr>
            <w:tcW w:w="160" w:type="dxa"/>
            <w:vAlign w:val="bottom"/>
            <w:tcBorders>
              <w:bottom w:val="single" w:sz="8" w:color="E7E7E8"/>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spacing w:after="0" w:line="218" w:lineRule="exact"/>
              <w:rPr>
                <w:sz w:val="20"/>
                <w:szCs w:val="20"/>
                <w:color w:val="auto"/>
              </w:rPr>
            </w:pPr>
            <w:r>
              <w:rPr>
                <w:rFonts w:ascii="Arial" w:cs="Arial" w:eastAsia="Arial" w:hAnsi="Arial"/>
                <w:sz w:val="15"/>
                <w:szCs w:val="15"/>
                <w:color w:val="auto"/>
                <w:w w:val="92"/>
              </w:rPr>
              <w:t>4,589,972</w:t>
            </w:r>
            <w:r>
              <w:rPr>
                <w:rFonts w:ascii="Arial" w:cs="Arial" w:eastAsia="Arial" w:hAnsi="Arial"/>
                <w:sz w:val="24"/>
                <w:szCs w:val="24"/>
                <w:color w:val="auto"/>
                <w:w w:val="92"/>
                <w:vertAlign w:val="superscript"/>
              </w:rPr>
              <w:t>3,4</w:t>
            </w:r>
          </w:p>
        </w:tc>
      </w:tr>
      <w:tr>
        <w:trPr>
          <w:trHeight w:val="217"/>
        </w:trPr>
        <w:tc>
          <w:tcPr>
            <w:tcW w:w="2740" w:type="dxa"/>
            <w:vAlign w:val="bottom"/>
            <w:tcBorders>
              <w:bottom w:val="single" w:sz="8" w:color="auto"/>
            </w:tcBorders>
            <w:shd w:val="clear" w:color="auto" w:fill="E7E7E8"/>
          </w:tcPr>
          <w:p>
            <w:pPr>
              <w:ind w:left="60"/>
              <w:spacing w:after="0"/>
              <w:rPr>
                <w:sz w:val="20"/>
                <w:szCs w:val="20"/>
                <w:color w:val="auto"/>
              </w:rPr>
            </w:pPr>
            <w:r>
              <w:rPr>
                <w:rFonts w:ascii="Arial" w:cs="Arial" w:eastAsia="Arial" w:hAnsi="Arial"/>
                <w:sz w:val="15"/>
                <w:szCs w:val="15"/>
                <w:b w:val="1"/>
                <w:bCs w:val="1"/>
                <w:color w:val="00254F"/>
              </w:rPr>
              <w:t>Jennifer B. Dardis</w:t>
            </w:r>
          </w:p>
        </w:tc>
        <w:tc>
          <w:tcPr>
            <w:tcW w:w="120" w:type="dxa"/>
            <w:vAlign w:val="bottom"/>
            <w:tcBorders>
              <w:right w:val="single" w:sz="8" w:color="E7E7E8"/>
            </w:tcBorders>
            <w:shd w:val="clear" w:color="auto" w:fill="E7E7E8"/>
          </w:tcPr>
          <w:p>
            <w:pPr>
              <w:spacing w:after="0"/>
              <w:rPr>
                <w:sz w:val="18"/>
                <w:szCs w:val="18"/>
                <w:color w:val="auto"/>
              </w:rPr>
            </w:pPr>
          </w:p>
        </w:tc>
        <w:tc>
          <w:tcPr>
            <w:tcW w:w="18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right w:val="single" w:sz="8" w:color="E7E7E8"/>
            </w:tcBorders>
            <w:shd w:val="clear" w:color="auto" w:fill="E7E7E8"/>
          </w:tcPr>
          <w:p>
            <w:pPr>
              <w:spacing w:after="0"/>
              <w:rPr>
                <w:sz w:val="18"/>
                <w:szCs w:val="18"/>
                <w:color w:val="auto"/>
              </w:rPr>
            </w:pPr>
          </w:p>
        </w:tc>
        <w:tc>
          <w:tcPr>
            <w:tcW w:w="640" w:type="dxa"/>
            <w:vAlign w:val="bottom"/>
            <w:tcBorders>
              <w:bottom w:val="single" w:sz="8" w:color="auto"/>
            </w:tcBorders>
            <w:shd w:val="clear" w:color="auto" w:fill="E7E7E8"/>
          </w:tcPr>
          <w:p>
            <w:pPr>
              <w:spacing w:after="0"/>
              <w:rPr>
                <w:sz w:val="18"/>
                <w:szCs w:val="18"/>
                <w:color w:val="auto"/>
              </w:rPr>
            </w:pPr>
          </w:p>
        </w:tc>
        <w:tc>
          <w:tcPr>
            <w:tcW w:w="5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right w:val="single" w:sz="8" w:color="E7E7E8"/>
            </w:tcBorders>
            <w:shd w:val="clear" w:color="auto" w:fill="E7E7E8"/>
          </w:tcPr>
          <w:p>
            <w:pPr>
              <w:spacing w:after="0"/>
              <w:rPr>
                <w:sz w:val="18"/>
                <w:szCs w:val="18"/>
                <w:color w:val="auto"/>
              </w:rPr>
            </w:pPr>
          </w:p>
        </w:tc>
        <w:tc>
          <w:tcPr>
            <w:tcW w:w="2080" w:type="dxa"/>
            <w:vAlign w:val="bottom"/>
            <w:tcBorders>
              <w:bottom w:val="single" w:sz="8" w:color="auto"/>
            </w:tcBorders>
            <w:gridSpan w:val="2"/>
            <w:shd w:val="clear" w:color="auto" w:fill="E7E7E8"/>
          </w:tcPr>
          <w:p>
            <w:pPr>
              <w:jc w:val="right"/>
              <w:ind w:right="98"/>
              <w:spacing w:after="0" w:line="218" w:lineRule="exact"/>
              <w:rPr>
                <w:sz w:val="20"/>
                <w:szCs w:val="20"/>
                <w:color w:val="auto"/>
              </w:rPr>
            </w:pPr>
            <w:r>
              <w:rPr>
                <w:rFonts w:ascii="Arial" w:cs="Arial" w:eastAsia="Arial" w:hAnsi="Arial"/>
                <w:sz w:val="15"/>
                <w:szCs w:val="15"/>
                <w:color w:val="auto"/>
              </w:rPr>
              <w:t>4,884</w:t>
            </w:r>
            <w:r>
              <w:rPr>
                <w:rFonts w:ascii="Arial" w:cs="Arial" w:eastAsia="Arial" w:hAnsi="Arial"/>
                <w:sz w:val="24"/>
                <w:szCs w:val="24"/>
                <w:color w:val="auto"/>
                <w:vertAlign w:val="superscript"/>
              </w:rPr>
              <w:t>4</w:t>
            </w:r>
          </w:p>
        </w:tc>
        <w:tc>
          <w:tcPr>
            <w:tcW w:w="160" w:type="dxa"/>
            <w:vAlign w:val="bottom"/>
            <w:tcBorders>
              <w:right w:val="single" w:sz="8" w:color="E7E7E8"/>
            </w:tcBorders>
            <w:shd w:val="clear" w:color="auto" w:fill="E7E7E8"/>
          </w:tcPr>
          <w:p>
            <w:pPr>
              <w:spacing w:after="0"/>
              <w:rPr>
                <w:sz w:val="18"/>
                <w:szCs w:val="18"/>
                <w:color w:val="auto"/>
              </w:rPr>
            </w:pPr>
          </w:p>
        </w:tc>
        <w:tc>
          <w:tcPr>
            <w:tcW w:w="740" w:type="dxa"/>
            <w:vAlign w:val="bottom"/>
            <w:tcBorders>
              <w:bottom w:val="single" w:sz="8" w:color="auto"/>
            </w:tcBorders>
            <w:shd w:val="clear" w:color="auto" w:fill="E7E7E8"/>
          </w:tcPr>
          <w:p>
            <w:pPr>
              <w:spacing w:after="0"/>
              <w:rPr>
                <w:sz w:val="18"/>
                <w:szCs w:val="18"/>
                <w:color w:val="auto"/>
              </w:rPr>
            </w:pPr>
          </w:p>
        </w:tc>
        <w:tc>
          <w:tcPr>
            <w:tcW w:w="4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shd w:val="clear" w:color="auto" w:fill="E7E7E8"/>
          </w:tcPr>
          <w:p>
            <w:pPr>
              <w:jc w:val="right"/>
              <w:ind w:right="68"/>
              <w:spacing w:after="0" w:line="218" w:lineRule="exact"/>
              <w:rPr>
                <w:sz w:val="20"/>
                <w:szCs w:val="20"/>
                <w:color w:val="auto"/>
              </w:rPr>
            </w:pPr>
            <w:r>
              <w:rPr>
                <w:rFonts w:ascii="Arial" w:cs="Arial" w:eastAsia="Arial" w:hAnsi="Arial"/>
                <w:sz w:val="15"/>
                <w:szCs w:val="15"/>
                <w:color w:val="auto"/>
              </w:rPr>
              <w:t>488,107</w:t>
            </w:r>
            <w:r>
              <w:rPr>
                <w:rFonts w:ascii="Arial" w:cs="Arial" w:eastAsia="Arial" w:hAnsi="Arial"/>
                <w:sz w:val="24"/>
                <w:szCs w:val="24"/>
                <w:color w:val="auto"/>
                <w:vertAlign w:val="superscript"/>
              </w:rPr>
              <w:t>4</w:t>
            </w:r>
          </w:p>
        </w:tc>
      </w:tr>
      <w:tr>
        <w:trPr>
          <w:trHeight w:val="217"/>
        </w:trPr>
        <w:tc>
          <w:tcPr>
            <w:tcW w:w="274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00254F"/>
              </w:rPr>
              <w:t>Justin Thomson</w:t>
            </w:r>
          </w:p>
        </w:tc>
        <w:tc>
          <w:tcPr>
            <w:tcW w:w="120" w:type="dxa"/>
            <w:vAlign w:val="bottom"/>
            <w:tcBorders>
              <w:bottom w:val="single" w:sz="8" w:color="E7E7E8"/>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35,907</w:t>
            </w:r>
          </w:p>
        </w:tc>
        <w:tc>
          <w:tcPr>
            <w:tcW w:w="160" w:type="dxa"/>
            <w:vAlign w:val="bottom"/>
            <w:tcBorders>
              <w:bottom w:val="single" w:sz="8" w:color="E7E7E8"/>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1,408,531</w:t>
            </w:r>
          </w:p>
        </w:tc>
        <w:tc>
          <w:tcPr>
            <w:tcW w:w="160" w:type="dxa"/>
            <w:vAlign w:val="bottom"/>
            <w:tcBorders>
              <w:bottom w:val="single" w:sz="8" w:color="E7E7E8"/>
            </w:tcBorders>
          </w:tcPr>
          <w:p>
            <w:pPr>
              <w:spacing w:after="0"/>
              <w:rPr>
                <w:sz w:val="18"/>
                <w:szCs w:val="18"/>
                <w:color w:val="auto"/>
              </w:rPr>
            </w:pPr>
          </w:p>
        </w:tc>
        <w:tc>
          <w:tcPr>
            <w:tcW w:w="2080" w:type="dxa"/>
            <w:vAlign w:val="bottom"/>
            <w:tcBorders>
              <w:bottom w:val="single" w:sz="8" w:color="auto"/>
            </w:tcBorders>
            <w:gridSpan w:val="2"/>
          </w:tcPr>
          <w:p>
            <w:pPr>
              <w:jc w:val="right"/>
              <w:ind w:right="98"/>
              <w:spacing w:after="0" w:line="218" w:lineRule="exact"/>
              <w:rPr>
                <w:sz w:val="20"/>
                <w:szCs w:val="20"/>
                <w:color w:val="auto"/>
              </w:rPr>
            </w:pPr>
            <w:r>
              <w:rPr>
                <w:rFonts w:ascii="Arial" w:cs="Arial" w:eastAsia="Arial" w:hAnsi="Arial"/>
                <w:sz w:val="15"/>
                <w:szCs w:val="15"/>
                <w:color w:val="auto"/>
              </w:rPr>
              <w:t>12,278</w:t>
            </w:r>
            <w:r>
              <w:rPr>
                <w:rFonts w:ascii="Arial" w:cs="Arial" w:eastAsia="Arial" w:hAnsi="Arial"/>
                <w:sz w:val="24"/>
                <w:szCs w:val="24"/>
                <w:color w:val="auto"/>
                <w:vertAlign w:val="superscript"/>
              </w:rPr>
              <w:t>5</w:t>
            </w:r>
          </w:p>
        </w:tc>
        <w:tc>
          <w:tcPr>
            <w:tcW w:w="160" w:type="dxa"/>
            <w:vAlign w:val="bottom"/>
            <w:tcBorders>
              <w:bottom w:val="single" w:sz="8" w:color="E7E7E8"/>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68"/>
              <w:spacing w:after="0" w:line="218" w:lineRule="exact"/>
              <w:rPr>
                <w:sz w:val="20"/>
                <w:szCs w:val="20"/>
                <w:color w:val="auto"/>
              </w:rPr>
            </w:pPr>
            <w:r>
              <w:rPr>
                <w:rFonts w:ascii="Arial" w:cs="Arial" w:eastAsia="Arial" w:hAnsi="Arial"/>
                <w:sz w:val="15"/>
                <w:szCs w:val="15"/>
                <w:color w:val="auto"/>
                <w:w w:val="95"/>
              </w:rPr>
              <w:t>1,211,917</w:t>
            </w:r>
            <w:r>
              <w:rPr>
                <w:rFonts w:ascii="Arial" w:cs="Arial" w:eastAsia="Arial" w:hAnsi="Arial"/>
                <w:sz w:val="24"/>
                <w:szCs w:val="24"/>
                <w:color w:val="auto"/>
                <w:w w:val="95"/>
                <w:vertAlign w:val="superscript"/>
              </w:rPr>
              <w:t>5</w:t>
            </w:r>
          </w:p>
        </w:tc>
      </w:tr>
      <w:tr>
        <w:trPr>
          <w:trHeight w:val="217"/>
        </w:trPr>
        <w:tc>
          <w:tcPr>
            <w:tcW w:w="2740" w:type="dxa"/>
            <w:vAlign w:val="bottom"/>
            <w:tcBorders>
              <w:bottom w:val="single" w:sz="8" w:color="auto"/>
            </w:tcBorders>
            <w:shd w:val="clear" w:color="auto" w:fill="E7E7E8"/>
          </w:tcPr>
          <w:p>
            <w:pPr>
              <w:ind w:left="60"/>
              <w:spacing w:after="0"/>
              <w:rPr>
                <w:sz w:val="20"/>
                <w:szCs w:val="20"/>
                <w:color w:val="auto"/>
              </w:rPr>
            </w:pPr>
            <w:r>
              <w:rPr>
                <w:rFonts w:ascii="Arial" w:cs="Arial" w:eastAsia="Arial" w:hAnsi="Arial"/>
                <w:sz w:val="15"/>
                <w:szCs w:val="15"/>
                <w:b w:val="1"/>
                <w:bCs w:val="1"/>
                <w:color w:val="00254F"/>
              </w:rPr>
              <w:t>Eric L. Veiel</w:t>
            </w:r>
          </w:p>
        </w:tc>
        <w:tc>
          <w:tcPr>
            <w:tcW w:w="120" w:type="dxa"/>
            <w:vAlign w:val="bottom"/>
            <w:tcBorders>
              <w:right w:val="single" w:sz="8" w:color="E7E7E8"/>
            </w:tcBorders>
            <w:shd w:val="clear" w:color="auto" w:fill="E7E7E8"/>
          </w:tcPr>
          <w:p>
            <w:pPr>
              <w:spacing w:after="0"/>
              <w:rPr>
                <w:sz w:val="18"/>
                <w:szCs w:val="18"/>
                <w:color w:val="auto"/>
              </w:rPr>
            </w:pPr>
          </w:p>
        </w:tc>
        <w:tc>
          <w:tcPr>
            <w:tcW w:w="18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right w:val="single" w:sz="8" w:color="E7E7E8"/>
            </w:tcBorders>
            <w:shd w:val="clear" w:color="auto" w:fill="E7E7E8"/>
          </w:tcPr>
          <w:p>
            <w:pPr>
              <w:spacing w:after="0"/>
              <w:rPr>
                <w:sz w:val="18"/>
                <w:szCs w:val="18"/>
                <w:color w:val="auto"/>
              </w:rPr>
            </w:pPr>
          </w:p>
        </w:tc>
        <w:tc>
          <w:tcPr>
            <w:tcW w:w="640" w:type="dxa"/>
            <w:vAlign w:val="bottom"/>
            <w:tcBorders>
              <w:bottom w:val="single" w:sz="8" w:color="auto"/>
            </w:tcBorders>
            <w:shd w:val="clear" w:color="auto" w:fill="E7E7E8"/>
          </w:tcPr>
          <w:p>
            <w:pPr>
              <w:spacing w:after="0"/>
              <w:rPr>
                <w:sz w:val="18"/>
                <w:szCs w:val="18"/>
                <w:color w:val="auto"/>
              </w:rPr>
            </w:pPr>
          </w:p>
        </w:tc>
        <w:tc>
          <w:tcPr>
            <w:tcW w:w="5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right w:val="single" w:sz="8" w:color="E7E7E8"/>
            </w:tcBorders>
            <w:shd w:val="clear" w:color="auto" w:fill="E7E7E8"/>
          </w:tcPr>
          <w:p>
            <w:pPr>
              <w:spacing w:after="0"/>
              <w:rPr>
                <w:sz w:val="18"/>
                <w:szCs w:val="18"/>
                <w:color w:val="auto"/>
              </w:rPr>
            </w:pPr>
          </w:p>
        </w:tc>
        <w:tc>
          <w:tcPr>
            <w:tcW w:w="2080" w:type="dxa"/>
            <w:vAlign w:val="bottom"/>
            <w:tcBorders>
              <w:bottom w:val="single" w:sz="8" w:color="auto"/>
            </w:tcBorders>
            <w:gridSpan w:val="2"/>
            <w:shd w:val="clear" w:color="auto" w:fill="E7E7E8"/>
          </w:tcPr>
          <w:p>
            <w:pPr>
              <w:jc w:val="right"/>
              <w:ind w:right="98"/>
              <w:spacing w:after="0" w:line="218" w:lineRule="exact"/>
              <w:rPr>
                <w:sz w:val="20"/>
                <w:szCs w:val="20"/>
                <w:color w:val="auto"/>
              </w:rPr>
            </w:pPr>
            <w:r>
              <w:rPr>
                <w:rFonts w:ascii="Arial" w:cs="Arial" w:eastAsia="Arial" w:hAnsi="Arial"/>
                <w:sz w:val="15"/>
                <w:szCs w:val="15"/>
                <w:color w:val="auto"/>
              </w:rPr>
              <w:t>24,157</w:t>
            </w:r>
            <w:r>
              <w:rPr>
                <w:rFonts w:ascii="Arial" w:cs="Arial" w:eastAsia="Arial" w:hAnsi="Arial"/>
                <w:sz w:val="24"/>
                <w:szCs w:val="24"/>
                <w:color w:val="auto"/>
                <w:vertAlign w:val="superscript"/>
              </w:rPr>
              <w:t>4</w:t>
            </w:r>
          </w:p>
        </w:tc>
        <w:tc>
          <w:tcPr>
            <w:tcW w:w="160" w:type="dxa"/>
            <w:vAlign w:val="bottom"/>
            <w:tcBorders>
              <w:right w:val="single" w:sz="8" w:color="E7E7E8"/>
            </w:tcBorders>
            <w:shd w:val="clear" w:color="auto" w:fill="E7E7E8"/>
          </w:tcPr>
          <w:p>
            <w:pPr>
              <w:spacing w:after="0"/>
              <w:rPr>
                <w:sz w:val="18"/>
                <w:szCs w:val="18"/>
                <w:color w:val="auto"/>
              </w:rPr>
            </w:pPr>
          </w:p>
        </w:tc>
        <w:tc>
          <w:tcPr>
            <w:tcW w:w="740" w:type="dxa"/>
            <w:vAlign w:val="bottom"/>
            <w:tcBorders>
              <w:bottom w:val="single" w:sz="8" w:color="auto"/>
            </w:tcBorders>
            <w:shd w:val="clear" w:color="auto" w:fill="E7E7E8"/>
          </w:tcPr>
          <w:p>
            <w:pPr>
              <w:spacing w:after="0"/>
              <w:rPr>
                <w:sz w:val="18"/>
                <w:szCs w:val="18"/>
                <w:color w:val="auto"/>
              </w:rPr>
            </w:pPr>
          </w:p>
        </w:tc>
        <w:tc>
          <w:tcPr>
            <w:tcW w:w="4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shd w:val="clear" w:color="auto" w:fill="E7E7E8"/>
          </w:tcPr>
          <w:p>
            <w:pPr>
              <w:jc w:val="right"/>
              <w:ind w:right="68"/>
              <w:spacing w:after="0" w:line="218" w:lineRule="exact"/>
              <w:rPr>
                <w:sz w:val="20"/>
                <w:szCs w:val="20"/>
                <w:color w:val="auto"/>
              </w:rPr>
            </w:pPr>
            <w:r>
              <w:rPr>
                <w:rFonts w:ascii="Arial" w:cs="Arial" w:eastAsia="Arial" w:hAnsi="Arial"/>
                <w:sz w:val="15"/>
                <w:szCs w:val="15"/>
                <w:color w:val="auto"/>
                <w:w w:val="95"/>
              </w:rPr>
              <w:t>2,414,251</w:t>
            </w:r>
            <w:r>
              <w:rPr>
                <w:rFonts w:ascii="Arial" w:cs="Arial" w:eastAsia="Arial" w:hAnsi="Arial"/>
                <w:sz w:val="24"/>
                <w:szCs w:val="24"/>
                <w:color w:val="auto"/>
                <w:w w:val="95"/>
                <w:vertAlign w:val="superscript"/>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-459740</wp:posOffset>
            </wp:positionV>
            <wp:extent cx="63500" cy="15049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3500" cy="150495"/>
                    </a:xfrm>
                    <a:prstGeom prst="rect">
                      <a:avLst/>
                    </a:prstGeom>
                    <a:noFill/>
                  </pic:spPr>
                </pic:pic>
              </a:graphicData>
            </a:graphic>
          </wp:anchor>
        </w:drawing>
        <w:drawing>
          <wp:anchor simplePos="0" relativeHeight="251657728" behindDoc="1" locked="0" layoutInCell="0" allowOverlap="1">
            <wp:simplePos x="0" y="0"/>
            <wp:positionH relativeFrom="column">
              <wp:posOffset>3007995</wp:posOffset>
            </wp:positionH>
            <wp:positionV relativeFrom="paragraph">
              <wp:posOffset>-459740</wp:posOffset>
            </wp:positionV>
            <wp:extent cx="86995" cy="15049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6995" cy="150495"/>
                    </a:xfrm>
                    <a:prstGeom prst="rect">
                      <a:avLst/>
                    </a:prstGeom>
                    <a:noFill/>
                  </pic:spPr>
                </pic:pic>
              </a:graphicData>
            </a:graphic>
          </wp:anchor>
        </w:drawing>
        <w:drawing>
          <wp:anchor simplePos="0" relativeHeight="251657728" behindDoc="1" locked="0" layoutInCell="0" allowOverlap="1">
            <wp:simplePos x="0" y="0"/>
            <wp:positionH relativeFrom="column">
              <wp:posOffset>4309110</wp:posOffset>
            </wp:positionH>
            <wp:positionV relativeFrom="paragraph">
              <wp:posOffset>-459740</wp:posOffset>
            </wp:positionV>
            <wp:extent cx="86995" cy="15049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6995" cy="150495"/>
                    </a:xfrm>
                    <a:prstGeom prst="rect">
                      <a:avLst/>
                    </a:prstGeom>
                    <a:noFill/>
                  </pic:spPr>
                </pic:pic>
              </a:graphicData>
            </a:graphic>
          </wp:anchor>
        </w:drawing>
        <w:drawing>
          <wp:anchor simplePos="0" relativeHeight="251657728" behindDoc="1" locked="0" layoutInCell="0" allowOverlap="1">
            <wp:simplePos x="0" y="0"/>
            <wp:positionH relativeFrom="column">
              <wp:posOffset>5729605</wp:posOffset>
            </wp:positionH>
            <wp:positionV relativeFrom="paragraph">
              <wp:posOffset>-459740</wp:posOffset>
            </wp:positionV>
            <wp:extent cx="86995" cy="15049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6995" cy="150495"/>
                    </a:xfrm>
                    <a:prstGeom prst="rect">
                      <a:avLst/>
                    </a:prstGeom>
                    <a:noFill/>
                  </pic:spPr>
                </pic:pic>
              </a:graphicData>
            </a:graphic>
          </wp:anchor>
        </w:drawing>
        <w:drawing>
          <wp:anchor simplePos="0" relativeHeight="251657728" behindDoc="1" locked="0" layoutInCell="0" allowOverlap="1">
            <wp:simplePos x="0" y="0"/>
            <wp:positionH relativeFrom="column">
              <wp:posOffset>1746250</wp:posOffset>
            </wp:positionH>
            <wp:positionV relativeFrom="paragraph">
              <wp:posOffset>-158115</wp:posOffset>
            </wp:positionV>
            <wp:extent cx="63500" cy="15049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3500" cy="150495"/>
                    </a:xfrm>
                    <a:prstGeom prst="rect">
                      <a:avLst/>
                    </a:prstGeom>
                    <a:noFill/>
                  </pic:spPr>
                </pic:pic>
              </a:graphicData>
            </a:graphic>
          </wp:anchor>
        </w:drawing>
        <w:drawing>
          <wp:anchor simplePos="0" relativeHeight="251657728" behindDoc="1" locked="0" layoutInCell="0" allowOverlap="1">
            <wp:simplePos x="0" y="0"/>
            <wp:positionH relativeFrom="column">
              <wp:posOffset>3007995</wp:posOffset>
            </wp:positionH>
            <wp:positionV relativeFrom="paragraph">
              <wp:posOffset>-158115</wp:posOffset>
            </wp:positionV>
            <wp:extent cx="86995" cy="15049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6995" cy="150495"/>
                    </a:xfrm>
                    <a:prstGeom prst="rect">
                      <a:avLst/>
                    </a:prstGeom>
                    <a:noFill/>
                  </pic:spPr>
                </pic:pic>
              </a:graphicData>
            </a:graphic>
          </wp:anchor>
        </w:drawing>
        <w:drawing>
          <wp:anchor simplePos="0" relativeHeight="251657728" behindDoc="1" locked="0" layoutInCell="0" allowOverlap="1">
            <wp:simplePos x="0" y="0"/>
            <wp:positionH relativeFrom="column">
              <wp:posOffset>4309110</wp:posOffset>
            </wp:positionH>
            <wp:positionV relativeFrom="paragraph">
              <wp:posOffset>-158115</wp:posOffset>
            </wp:positionV>
            <wp:extent cx="86995" cy="15049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6995" cy="150495"/>
                    </a:xfrm>
                    <a:prstGeom prst="rect">
                      <a:avLst/>
                    </a:prstGeom>
                    <a:noFill/>
                  </pic:spPr>
                </pic:pic>
              </a:graphicData>
            </a:graphic>
          </wp:anchor>
        </w:drawing>
        <w:drawing>
          <wp:anchor simplePos="0" relativeHeight="251657728" behindDoc="1" locked="0" layoutInCell="0" allowOverlap="1">
            <wp:simplePos x="0" y="0"/>
            <wp:positionH relativeFrom="column">
              <wp:posOffset>5729605</wp:posOffset>
            </wp:positionH>
            <wp:positionV relativeFrom="paragraph">
              <wp:posOffset>-158115</wp:posOffset>
            </wp:positionV>
            <wp:extent cx="86995" cy="15049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6995" cy="150495"/>
                    </a:xfrm>
                    <a:prstGeom prst="rect">
                      <a:avLst/>
                    </a:prstGeom>
                    <a:noFill/>
                  </pic:spPr>
                </pic:pic>
              </a:graphicData>
            </a:graphic>
          </wp:anchor>
        </w:drawing>
      </w:r>
    </w:p>
    <w:p>
      <w:pPr>
        <w:spacing w:after="0" w:line="94" w:lineRule="exact"/>
        <w:rPr>
          <w:sz w:val="20"/>
          <w:szCs w:val="20"/>
          <w:color w:val="auto"/>
        </w:rPr>
      </w:pPr>
    </w:p>
    <w:p>
      <w:pPr>
        <w:ind w:left="300" w:hanging="300"/>
        <w:spacing w:after="0"/>
        <w:tabs>
          <w:tab w:leader="none" w:pos="300" w:val="left"/>
        </w:tabs>
        <w:numPr>
          <w:ilvl w:val="0"/>
          <w:numId w:val="106"/>
        </w:numPr>
        <w:rPr>
          <w:rFonts w:ascii="Arial" w:cs="Arial" w:eastAsia="Arial" w:hAnsi="Arial"/>
          <w:sz w:val="22"/>
          <w:szCs w:val="22"/>
          <w:color w:val="auto"/>
          <w:vertAlign w:val="superscript"/>
        </w:rPr>
      </w:pPr>
      <w:r>
        <w:rPr>
          <w:rFonts w:ascii="Arial" w:cs="Arial" w:eastAsia="Arial" w:hAnsi="Arial"/>
          <w:sz w:val="13"/>
          <w:szCs w:val="13"/>
          <w:color w:val="auto"/>
        </w:rPr>
        <w:t>Represents the total number of shares underlying the exercised stock options.</w:t>
      </w:r>
    </w:p>
    <w:p>
      <w:pPr>
        <w:spacing w:after="0" w:line="9" w:lineRule="exact"/>
        <w:rPr>
          <w:sz w:val="20"/>
          <w:szCs w:val="20"/>
          <w:color w:val="auto"/>
        </w:rPr>
      </w:pPr>
    </w:p>
    <w:p>
      <w:pPr>
        <w:ind w:left="300" w:hanging="300"/>
        <w:spacing w:after="0"/>
        <w:tabs>
          <w:tab w:leader="none" w:pos="300" w:val="left"/>
        </w:tabs>
        <w:numPr>
          <w:ilvl w:val="0"/>
          <w:numId w:val="107"/>
        </w:numPr>
        <w:rPr>
          <w:rFonts w:ascii="Arial" w:cs="Arial" w:eastAsia="Arial" w:hAnsi="Arial"/>
          <w:sz w:val="22"/>
          <w:szCs w:val="22"/>
          <w:color w:val="auto"/>
          <w:vertAlign w:val="superscript"/>
        </w:rPr>
      </w:pPr>
      <w:r>
        <w:rPr>
          <w:rFonts w:ascii="Arial" w:cs="Arial" w:eastAsia="Arial" w:hAnsi="Arial"/>
          <w:sz w:val="13"/>
          <w:szCs w:val="13"/>
          <w:color w:val="auto"/>
        </w:rPr>
        <w:t>Computed using the difference between the market price of Price Group's common stock on the date of exercise and the exercise price, multiplied by the number of shares acquired.</w:t>
      </w:r>
    </w:p>
    <w:p>
      <w:pPr>
        <w:spacing w:after="0" w:line="97" w:lineRule="exact"/>
        <w:rPr>
          <w:sz w:val="20"/>
          <w:szCs w:val="20"/>
          <w:color w:val="auto"/>
        </w:rPr>
      </w:pPr>
    </w:p>
    <w:p>
      <w:pPr>
        <w:ind w:left="300" w:right="20" w:hanging="300"/>
        <w:spacing w:after="0" w:line="202" w:lineRule="auto"/>
        <w:tabs>
          <w:tab w:leader="none" w:pos="300" w:val="left"/>
        </w:tabs>
        <w:numPr>
          <w:ilvl w:val="0"/>
          <w:numId w:val="108"/>
        </w:numPr>
        <w:rPr>
          <w:rFonts w:ascii="Times New Roman" w:cs="Times New Roman" w:eastAsia="Times New Roman" w:hAnsi="Times New Roman"/>
          <w:sz w:val="22"/>
          <w:szCs w:val="22"/>
          <w:color w:val="auto"/>
          <w:vertAlign w:val="superscript"/>
        </w:rPr>
      </w:pPr>
      <w:r>
        <w:rPr>
          <w:rFonts w:ascii="Arial" w:cs="Arial" w:eastAsia="Arial" w:hAnsi="Arial"/>
          <w:sz w:val="13"/>
          <w:szCs w:val="13"/>
          <w:color w:val="auto"/>
        </w:rPr>
        <w:t>Reflects Mr. Sharp's number of shares underlying the performance-based RSUs earned and vested. The value realized for awards vesting is computed using the closing market price per share of Price Group's common stock the day before the vest date multiplied by the number of RSUs vesting. The following table shows the aggregate RSUs by Mr. Sharps listed in the table above by date of award:</w:t>
      </w:r>
    </w:p>
    <w:p>
      <w:pPr>
        <w:spacing w:after="0" w:line="179" w:lineRule="exact"/>
        <w:rPr>
          <w:sz w:val="20"/>
          <w:szCs w:val="20"/>
          <w:color w:val="auto"/>
        </w:rPr>
      </w:pPr>
    </w:p>
    <w:tbl>
      <w:tblPr>
        <w:tblLayout w:type="fixed"/>
        <w:tblInd w:w="300" w:type="dxa"/>
        <w:tblCellMar>
          <w:top w:w="0" w:type="dxa"/>
          <w:left w:w="0" w:type="dxa"/>
          <w:bottom w:w="0" w:type="dxa"/>
          <w:right w:w="0" w:type="dxa"/>
        </w:tblCellMar>
      </w:tblPr>
      <w:tr>
        <w:trPr>
          <w:trHeight w:val="138"/>
        </w:trPr>
        <w:tc>
          <w:tcPr>
            <w:tcW w:w="19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 OF AWARD</w:t>
            </w:r>
          </w:p>
        </w:tc>
        <w:tc>
          <w:tcPr>
            <w:tcW w:w="160" w:type="dxa"/>
            <w:vAlign w:val="bottom"/>
            <w:tcBorders>
              <w:right w:val="single" w:sz="8" w:color="auto"/>
            </w:tcBorders>
          </w:tcPr>
          <w:p>
            <w:pPr>
              <w:spacing w:after="0"/>
              <w:rPr>
                <w:sz w:val="12"/>
                <w:szCs w:val="12"/>
                <w:color w:val="auto"/>
              </w:rPr>
            </w:pPr>
          </w:p>
        </w:tc>
        <w:tc>
          <w:tcPr>
            <w:tcW w:w="19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b w:val="1"/>
                <w:bCs w:val="1"/>
                <w:color w:val="auto"/>
              </w:rPr>
              <w:t>PERFORMANCE PERIOD</w:t>
            </w:r>
          </w:p>
        </w:tc>
        <w:tc>
          <w:tcPr>
            <w:tcW w:w="14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VESTING DATE</w:t>
            </w:r>
          </w:p>
        </w:tc>
        <w:tc>
          <w:tcPr>
            <w:tcW w:w="160" w:type="dxa"/>
            <w:vAlign w:val="bottom"/>
            <w:tcBorders>
              <w:right w:val="single" w:sz="8" w:color="auto"/>
            </w:tcBorders>
            <w:vMerge w:val="restart"/>
          </w:tcPr>
          <w:p>
            <w:pPr>
              <w:spacing w:after="0"/>
              <w:rPr>
                <w:sz w:val="12"/>
                <w:szCs w:val="12"/>
                <w:color w:val="auto"/>
              </w:rPr>
            </w:pPr>
          </w:p>
        </w:tc>
        <w:tc>
          <w:tcPr>
            <w:tcW w:w="19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b w:val="1"/>
                <w:bCs w:val="1"/>
                <w:color w:val="auto"/>
              </w:rPr>
              <w:t>NUMBER OF SHARES</w:t>
            </w:r>
          </w:p>
        </w:tc>
        <w:tc>
          <w:tcPr>
            <w:tcW w:w="16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b w:val="1"/>
                <w:bCs w:val="1"/>
                <w:color w:val="auto"/>
              </w:rPr>
              <w:t>MARKET PRICE</w:t>
            </w:r>
          </w:p>
        </w:tc>
        <w:tc>
          <w:tcPr>
            <w:tcW w:w="1580" w:type="dxa"/>
            <w:vAlign w:val="bottom"/>
            <w:gridSpan w:val="2"/>
          </w:tcPr>
          <w:p>
            <w:pPr>
              <w:jc w:val="right"/>
              <w:spacing w:after="0"/>
              <w:rPr>
                <w:sz w:val="20"/>
                <w:szCs w:val="20"/>
                <w:color w:val="auto"/>
              </w:rPr>
            </w:pPr>
            <w:r>
              <w:rPr>
                <w:rFonts w:ascii="Arial" w:cs="Arial" w:eastAsia="Arial" w:hAnsi="Arial"/>
                <w:sz w:val="12"/>
                <w:szCs w:val="12"/>
                <w:b w:val="1"/>
                <w:bCs w:val="1"/>
                <w:color w:val="auto"/>
              </w:rPr>
              <w:t>VALUE REALIZED</w:t>
            </w:r>
          </w:p>
        </w:tc>
        <w:tc>
          <w:tcPr>
            <w:tcW w:w="0" w:type="dxa"/>
            <w:vAlign w:val="bottom"/>
          </w:tcPr>
          <w:p>
            <w:pPr>
              <w:spacing w:after="0"/>
              <w:rPr>
                <w:sz w:val="1"/>
                <w:szCs w:val="1"/>
                <w:color w:val="auto"/>
              </w:rPr>
            </w:pPr>
          </w:p>
        </w:tc>
      </w:tr>
      <w:tr>
        <w:trPr>
          <w:trHeight w:val="164"/>
        </w:trPr>
        <w:tc>
          <w:tcPr>
            <w:tcW w:w="1980" w:type="dxa"/>
            <w:vAlign w:val="bottom"/>
            <w:tcBorders>
              <w:bottom w:val="single" w:sz="8" w:color="auto"/>
            </w:tcBorders>
            <w:vMerge w:val="continue"/>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COMPLETION DATE</w:t>
            </w:r>
          </w:p>
        </w:tc>
        <w:tc>
          <w:tcPr>
            <w:tcW w:w="160" w:type="dxa"/>
            <w:vAlign w:val="bottom"/>
            <w:tcBorders>
              <w:right w:val="single" w:sz="8" w:color="auto"/>
            </w:tcBorders>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160" w:type="dxa"/>
            <w:vAlign w:val="bottom"/>
            <w:tcBorders>
              <w:right w:val="single" w:sz="8" w:color="auto"/>
            </w:tcBorders>
            <w:vMerge w:val="continue"/>
          </w:tcPr>
          <w:p>
            <w:pPr>
              <w:spacing w:after="0"/>
              <w:rPr>
                <w:sz w:val="14"/>
                <w:szCs w:val="14"/>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ACQUIRED ON VESTING</w:t>
            </w:r>
          </w:p>
        </w:tc>
        <w:tc>
          <w:tcPr>
            <w:tcW w:w="160" w:type="dxa"/>
            <w:vAlign w:val="bottom"/>
            <w:tcBorders>
              <w:right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AT VEST</w:t>
            </w:r>
          </w:p>
        </w:tc>
        <w:tc>
          <w:tcPr>
            <w:tcW w:w="160" w:type="dxa"/>
            <w:vAlign w:val="bottom"/>
            <w:tcBorders>
              <w:right w:val="single" w:sz="8" w:color="auto"/>
            </w:tcBorders>
          </w:tcPr>
          <w:p>
            <w:pPr>
              <w:spacing w:after="0"/>
              <w:rPr>
                <w:sz w:val="14"/>
                <w:szCs w:val="14"/>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ON VESTING</w:t>
            </w:r>
          </w:p>
        </w:tc>
        <w:tc>
          <w:tcPr>
            <w:tcW w:w="0" w:type="dxa"/>
            <w:vAlign w:val="bottom"/>
          </w:tcPr>
          <w:p>
            <w:pPr>
              <w:spacing w:after="0"/>
              <w:rPr>
                <w:sz w:val="1"/>
                <w:szCs w:val="1"/>
                <w:color w:val="auto"/>
              </w:rPr>
            </w:pPr>
          </w:p>
        </w:tc>
      </w:tr>
      <w:tr>
        <w:trPr>
          <w:trHeight w:val="192"/>
        </w:trPr>
        <w:tc>
          <w:tcPr>
            <w:tcW w:w="198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12/6/2017</w:t>
            </w:r>
          </w:p>
        </w:tc>
        <w:tc>
          <w:tcPr>
            <w:tcW w:w="160" w:type="dxa"/>
            <w:vAlign w:val="bottom"/>
            <w:tcBorders>
              <w:bottom w:val="single" w:sz="8" w:color="E7E7E8"/>
            </w:tcBorders>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12/31/2018</w:t>
            </w:r>
          </w:p>
        </w:tc>
        <w:tc>
          <w:tcPr>
            <w:tcW w:w="160" w:type="dxa"/>
            <w:vAlign w:val="bottom"/>
            <w:tcBorders>
              <w:bottom w:val="single" w:sz="8" w:color="E7E7E8"/>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2/28/2023</w:t>
            </w:r>
          </w:p>
        </w:tc>
        <w:tc>
          <w:tcPr>
            <w:tcW w:w="160" w:type="dxa"/>
            <w:vAlign w:val="bottom"/>
            <w:tcBorders>
              <w:bottom w:val="single" w:sz="8" w:color="E7E7E8"/>
            </w:tcBorders>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5,993</w:t>
            </w:r>
          </w:p>
        </w:tc>
        <w:tc>
          <w:tcPr>
            <w:tcW w:w="160" w:type="dxa"/>
            <w:vAlign w:val="bottom"/>
            <w:tcBorders>
              <w:bottom w:val="single" w:sz="8" w:color="E7E7E8"/>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$111.55</w:t>
            </w:r>
          </w:p>
        </w:tc>
        <w:tc>
          <w:tcPr>
            <w:tcW w:w="160" w:type="dxa"/>
            <w:vAlign w:val="bottom"/>
            <w:tcBorders>
              <w:bottom w:val="single" w:sz="8" w:color="E7E7E8"/>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668,519</w:t>
            </w:r>
          </w:p>
        </w:tc>
        <w:tc>
          <w:tcPr>
            <w:tcW w:w="0" w:type="dxa"/>
            <w:vAlign w:val="bottom"/>
          </w:tcPr>
          <w:p>
            <w:pPr>
              <w:spacing w:after="0"/>
              <w:rPr>
                <w:sz w:val="1"/>
                <w:szCs w:val="1"/>
                <w:color w:val="auto"/>
              </w:rPr>
            </w:pPr>
          </w:p>
        </w:tc>
      </w:tr>
      <w:tr>
        <w:trPr>
          <w:trHeight w:val="192"/>
        </w:trPr>
        <w:tc>
          <w:tcPr>
            <w:tcW w:w="1980" w:type="dxa"/>
            <w:vAlign w:val="bottom"/>
            <w:tcBorders>
              <w:bottom w:val="single" w:sz="8" w:color="auto"/>
            </w:tcBorders>
            <w:shd w:val="clear" w:color="auto" w:fill="E7E7E8"/>
          </w:tcPr>
          <w:p>
            <w:pPr>
              <w:ind w:left="60"/>
              <w:spacing w:after="0"/>
              <w:rPr>
                <w:sz w:val="20"/>
                <w:szCs w:val="20"/>
                <w:color w:val="auto"/>
              </w:rPr>
            </w:pPr>
            <w:r>
              <w:rPr>
                <w:rFonts w:ascii="Arial" w:cs="Arial" w:eastAsia="Arial" w:hAnsi="Arial"/>
                <w:sz w:val="13"/>
                <w:szCs w:val="13"/>
                <w:color w:val="auto"/>
              </w:rPr>
              <w:t>12/11/2018</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18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13/31/2019</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14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2/28/2023</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18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8,910</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14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$111.55</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9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993,911</w:t>
            </w:r>
          </w:p>
        </w:tc>
        <w:tc>
          <w:tcPr>
            <w:tcW w:w="0" w:type="dxa"/>
            <w:vAlign w:val="bottom"/>
          </w:tcPr>
          <w:p>
            <w:pPr>
              <w:spacing w:after="0"/>
              <w:rPr>
                <w:sz w:val="1"/>
                <w:szCs w:val="1"/>
                <w:color w:val="auto"/>
              </w:rPr>
            </w:pPr>
          </w:p>
        </w:tc>
      </w:tr>
      <w:tr>
        <w:trPr>
          <w:trHeight w:val="192"/>
        </w:trPr>
        <w:tc>
          <w:tcPr>
            <w:tcW w:w="1980" w:type="dxa"/>
            <w:vAlign w:val="bottom"/>
            <w:tcBorders>
              <w:bottom w:val="single" w:sz="8" w:color="auto"/>
            </w:tcBorders>
            <w:shd w:val="clear" w:color="auto" w:fill="E7E7E8"/>
          </w:tcPr>
          <w:p>
            <w:pPr>
              <w:ind w:left="60"/>
              <w:spacing w:after="0"/>
              <w:rPr>
                <w:sz w:val="20"/>
                <w:szCs w:val="20"/>
                <w:color w:val="auto"/>
              </w:rPr>
            </w:pPr>
            <w:r>
              <w:rPr>
                <w:rFonts w:ascii="Arial" w:cs="Arial" w:eastAsia="Arial" w:hAnsi="Arial"/>
                <w:sz w:val="13"/>
                <w:szCs w:val="13"/>
                <w:color w:val="auto"/>
              </w:rPr>
              <w:t>12/3/2019</w:t>
            </w:r>
          </w:p>
        </w:tc>
        <w:tc>
          <w:tcPr>
            <w:tcW w:w="160" w:type="dxa"/>
            <w:vAlign w:val="bottom"/>
            <w:tcBorders>
              <w:right w:val="single" w:sz="8" w:color="E7E7E8"/>
            </w:tcBorders>
            <w:shd w:val="clear" w:color="auto" w:fill="E7E7E8"/>
          </w:tcPr>
          <w:p>
            <w:pPr>
              <w:spacing w:after="0"/>
              <w:rPr>
                <w:sz w:val="16"/>
                <w:szCs w:val="16"/>
                <w:color w:val="auto"/>
              </w:rPr>
            </w:pPr>
          </w:p>
        </w:tc>
        <w:tc>
          <w:tcPr>
            <w:tcW w:w="18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12/31/2022</w:t>
            </w:r>
          </w:p>
        </w:tc>
        <w:tc>
          <w:tcPr>
            <w:tcW w:w="160" w:type="dxa"/>
            <w:vAlign w:val="bottom"/>
            <w:tcBorders>
              <w:right w:val="single" w:sz="8" w:color="E7E7E8"/>
            </w:tcBorders>
            <w:shd w:val="clear" w:color="auto" w:fill="E7E7E8"/>
          </w:tcPr>
          <w:p>
            <w:pPr>
              <w:spacing w:after="0"/>
              <w:rPr>
                <w:sz w:val="16"/>
                <w:szCs w:val="16"/>
                <w:color w:val="auto"/>
              </w:rPr>
            </w:pPr>
          </w:p>
        </w:tc>
        <w:tc>
          <w:tcPr>
            <w:tcW w:w="14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12/8/2023</w:t>
            </w:r>
          </w:p>
        </w:tc>
        <w:tc>
          <w:tcPr>
            <w:tcW w:w="160" w:type="dxa"/>
            <w:vAlign w:val="bottom"/>
            <w:tcBorders>
              <w:right w:val="single" w:sz="8" w:color="E7E7E8"/>
            </w:tcBorders>
            <w:shd w:val="clear" w:color="auto" w:fill="E7E7E8"/>
          </w:tcPr>
          <w:p>
            <w:pPr>
              <w:spacing w:after="0"/>
              <w:rPr>
                <w:sz w:val="16"/>
                <w:szCs w:val="16"/>
                <w:color w:val="auto"/>
              </w:rPr>
            </w:pPr>
          </w:p>
        </w:tc>
        <w:tc>
          <w:tcPr>
            <w:tcW w:w="18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10,246</w:t>
            </w:r>
          </w:p>
        </w:tc>
        <w:tc>
          <w:tcPr>
            <w:tcW w:w="160" w:type="dxa"/>
            <w:vAlign w:val="bottom"/>
            <w:tcBorders>
              <w:right w:val="single" w:sz="8" w:color="E7E7E8"/>
            </w:tcBorders>
            <w:shd w:val="clear" w:color="auto" w:fill="E7E7E8"/>
          </w:tcPr>
          <w:p>
            <w:pPr>
              <w:spacing w:after="0"/>
              <w:rPr>
                <w:sz w:val="16"/>
                <w:szCs w:val="16"/>
                <w:color w:val="auto"/>
              </w:rPr>
            </w:pPr>
          </w:p>
        </w:tc>
        <w:tc>
          <w:tcPr>
            <w:tcW w:w="14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$ 99.94</w:t>
            </w:r>
          </w:p>
        </w:tc>
        <w:tc>
          <w:tcPr>
            <w:tcW w:w="160" w:type="dxa"/>
            <w:vAlign w:val="bottom"/>
            <w:tcBorders>
              <w:right w:val="single" w:sz="8" w:color="E7E7E8"/>
            </w:tcBorders>
            <w:shd w:val="clear" w:color="auto" w:fill="E7E7E8"/>
          </w:tcPr>
          <w:p>
            <w:pPr>
              <w:spacing w:after="0"/>
              <w:rPr>
                <w:sz w:val="16"/>
                <w:szCs w:val="16"/>
                <w:color w:val="auto"/>
              </w:rPr>
            </w:pPr>
          </w:p>
        </w:tc>
        <w:tc>
          <w:tcPr>
            <w:tcW w:w="9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1,023,985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-276860</wp:posOffset>
            </wp:positionV>
            <wp:extent cx="6928485" cy="26987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928485" cy="269875"/>
                    </a:xfrm>
                    <a:prstGeom prst="rect">
                      <a:avLst/>
                    </a:prstGeom>
                    <a:noFill/>
                  </pic:spPr>
                </pic:pic>
              </a:graphicData>
            </a:graphic>
          </wp:anchor>
        </w:drawing>
      </w:r>
    </w:p>
    <w:p>
      <w:pPr>
        <w:spacing w:after="0" w:line="172" w:lineRule="exact"/>
        <w:rPr>
          <w:sz w:val="20"/>
          <w:szCs w:val="20"/>
          <w:color w:val="auto"/>
        </w:rPr>
      </w:pPr>
    </w:p>
    <w:p>
      <w:pPr>
        <w:ind w:left="300" w:right="440" w:hanging="300"/>
        <w:spacing w:after="0" w:line="193" w:lineRule="auto"/>
        <w:tabs>
          <w:tab w:leader="none" w:pos="300" w:val="left"/>
        </w:tabs>
        <w:numPr>
          <w:ilvl w:val="0"/>
          <w:numId w:val="109"/>
        </w:numPr>
        <w:rPr>
          <w:rFonts w:ascii="Arial" w:cs="Arial" w:eastAsia="Arial" w:hAnsi="Arial"/>
          <w:sz w:val="22"/>
          <w:szCs w:val="22"/>
          <w:color w:val="auto"/>
          <w:vertAlign w:val="superscript"/>
        </w:rPr>
      </w:pPr>
      <w:r>
        <w:rPr>
          <w:rFonts w:ascii="Arial" w:cs="Arial" w:eastAsia="Arial" w:hAnsi="Arial"/>
          <w:sz w:val="13"/>
          <w:szCs w:val="13"/>
          <w:color w:val="auto"/>
        </w:rPr>
        <w:t>The table below shows, by date of the award, the number of time-vested RSUs and value realized that are included in the table above. The value realized was computed using the closing market price per share of Price Group's common stock on the day before the vest date multiplied by the number of RSUs vesting.</w:t>
      </w:r>
    </w:p>
    <w:p>
      <w:pPr>
        <w:spacing w:after="0" w:line="178" w:lineRule="exact"/>
        <w:rPr>
          <w:sz w:val="20"/>
          <w:szCs w:val="20"/>
          <w:color w:val="auto"/>
        </w:rPr>
      </w:pPr>
    </w:p>
    <w:tbl>
      <w:tblPr>
        <w:tblLayout w:type="fixed"/>
        <w:tblInd w:w="300" w:type="dxa"/>
        <w:tblCellMar>
          <w:top w:w="0" w:type="dxa"/>
          <w:left w:w="0" w:type="dxa"/>
          <w:bottom w:w="0" w:type="dxa"/>
          <w:right w:w="0" w:type="dxa"/>
        </w:tblCellMar>
      </w:tblPr>
      <w:tr>
        <w:trPr>
          <w:trHeight w:val="138"/>
        </w:trPr>
        <w:tc>
          <w:tcPr>
            <w:tcW w:w="390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2"/>
                <w:szCs w:val="12"/>
                <w:b w:val="1"/>
                <w:bCs w:val="1"/>
                <w:color w:val="auto"/>
              </w:rPr>
              <w:t>DATE OF AWARD</w:t>
            </w:r>
          </w:p>
        </w:tc>
        <w:tc>
          <w:tcPr>
            <w:tcW w:w="166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2"/>
                <w:szCs w:val="12"/>
                <w:b w:val="1"/>
                <w:bCs w:val="1"/>
                <w:color w:val="auto"/>
              </w:rPr>
              <w:t>VESTING DATE</w:t>
            </w:r>
          </w:p>
        </w:tc>
        <w:tc>
          <w:tcPr>
            <w:tcW w:w="2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b w:val="1"/>
                <w:bCs w:val="1"/>
                <w:color w:val="auto"/>
              </w:rPr>
              <w:t>NUMBER OF SHARES</w:t>
            </w:r>
          </w:p>
        </w:tc>
        <w:tc>
          <w:tcPr>
            <w:tcW w:w="16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b w:val="1"/>
                <w:bCs w:val="1"/>
                <w:color w:val="auto"/>
              </w:rPr>
              <w:t>MARKET PRICE</w:t>
            </w:r>
          </w:p>
        </w:tc>
        <w:tc>
          <w:tcPr>
            <w:tcW w:w="1660" w:type="dxa"/>
            <w:vAlign w:val="bottom"/>
            <w:gridSpan w:val="2"/>
          </w:tcPr>
          <w:p>
            <w:pPr>
              <w:jc w:val="right"/>
              <w:spacing w:after="0"/>
              <w:rPr>
                <w:sz w:val="20"/>
                <w:szCs w:val="20"/>
                <w:color w:val="auto"/>
              </w:rPr>
            </w:pPr>
            <w:r>
              <w:rPr>
                <w:rFonts w:ascii="Arial" w:cs="Arial" w:eastAsia="Arial" w:hAnsi="Arial"/>
                <w:sz w:val="12"/>
                <w:szCs w:val="12"/>
                <w:b w:val="1"/>
                <w:bCs w:val="1"/>
                <w:color w:val="auto"/>
              </w:rPr>
              <w:t>VALUE REALIZED</w:t>
            </w:r>
          </w:p>
        </w:tc>
        <w:tc>
          <w:tcPr>
            <w:tcW w:w="0" w:type="dxa"/>
            <w:vAlign w:val="bottom"/>
          </w:tcPr>
          <w:p>
            <w:pPr>
              <w:spacing w:after="0"/>
              <w:rPr>
                <w:sz w:val="1"/>
                <w:szCs w:val="1"/>
                <w:color w:val="auto"/>
              </w:rPr>
            </w:pPr>
          </w:p>
        </w:tc>
      </w:tr>
      <w:tr>
        <w:trPr>
          <w:trHeight w:val="164"/>
        </w:trPr>
        <w:tc>
          <w:tcPr>
            <w:tcW w:w="3900" w:type="dxa"/>
            <w:vAlign w:val="bottom"/>
            <w:tcBorders>
              <w:right w:val="single" w:sz="8" w:color="auto"/>
            </w:tcBorders>
            <w:gridSpan w:val="2"/>
            <w:vMerge w:val="continue"/>
          </w:tcPr>
          <w:p>
            <w:pPr>
              <w:spacing w:after="0"/>
              <w:rPr>
                <w:sz w:val="14"/>
                <w:szCs w:val="14"/>
                <w:color w:val="auto"/>
              </w:rPr>
            </w:pPr>
          </w:p>
        </w:tc>
        <w:tc>
          <w:tcPr>
            <w:tcW w:w="1660" w:type="dxa"/>
            <w:vAlign w:val="bottom"/>
            <w:tcBorders>
              <w:right w:val="single" w:sz="8" w:color="auto"/>
            </w:tcBorders>
            <w:gridSpan w:val="2"/>
            <w:vMerge w:val="continue"/>
          </w:tcPr>
          <w:p>
            <w:pPr>
              <w:spacing w:after="0"/>
              <w:rPr>
                <w:sz w:val="14"/>
                <w:szCs w:val="14"/>
                <w:color w:val="auto"/>
              </w:rPr>
            </w:pPr>
          </w:p>
        </w:tc>
        <w:tc>
          <w:tcPr>
            <w:tcW w:w="2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b w:val="1"/>
                <w:bCs w:val="1"/>
                <w:color w:val="auto"/>
              </w:rPr>
              <w:t>ACQUIRED ON VESTING</w:t>
            </w:r>
          </w:p>
        </w:tc>
        <w:tc>
          <w:tcPr>
            <w:tcW w:w="16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b w:val="1"/>
                <w:bCs w:val="1"/>
                <w:color w:val="auto"/>
              </w:rPr>
              <w:t>AT VEST</w:t>
            </w:r>
          </w:p>
        </w:tc>
        <w:tc>
          <w:tcPr>
            <w:tcW w:w="1660" w:type="dxa"/>
            <w:vAlign w:val="bottom"/>
            <w:gridSpan w:val="2"/>
          </w:tcPr>
          <w:p>
            <w:pPr>
              <w:jc w:val="right"/>
              <w:spacing w:after="0"/>
              <w:rPr>
                <w:sz w:val="20"/>
                <w:szCs w:val="20"/>
                <w:color w:val="auto"/>
              </w:rPr>
            </w:pPr>
            <w:r>
              <w:rPr>
                <w:rFonts w:ascii="Arial" w:cs="Arial" w:eastAsia="Arial" w:hAnsi="Arial"/>
                <w:sz w:val="12"/>
                <w:szCs w:val="12"/>
                <w:b w:val="1"/>
                <w:bCs w:val="1"/>
                <w:color w:val="auto"/>
              </w:rPr>
              <w:t>ON VESTING</w:t>
            </w:r>
          </w:p>
        </w:tc>
        <w:tc>
          <w:tcPr>
            <w:tcW w:w="0" w:type="dxa"/>
            <w:vAlign w:val="bottom"/>
          </w:tcPr>
          <w:p>
            <w:pPr>
              <w:spacing w:after="0"/>
              <w:rPr>
                <w:sz w:val="1"/>
                <w:szCs w:val="1"/>
                <w:color w:val="auto"/>
              </w:rPr>
            </w:pPr>
          </w:p>
        </w:tc>
      </w:tr>
      <w:tr>
        <w:trPr>
          <w:trHeight w:val="192"/>
        </w:trPr>
        <w:tc>
          <w:tcPr>
            <w:tcW w:w="37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3"/>
                <w:szCs w:val="13"/>
                <w:color w:val="auto"/>
              </w:rPr>
              <w:t>12/11/2018</w:t>
            </w:r>
          </w:p>
        </w:tc>
        <w:tc>
          <w:tcPr>
            <w:tcW w:w="160" w:type="dxa"/>
            <w:vAlign w:val="bottom"/>
            <w:tcBorders>
              <w:bottom w:val="single" w:sz="8" w:color="E7E7E8"/>
            </w:tcBorders>
          </w:tcPr>
          <w:p>
            <w:pPr>
              <w:spacing w:after="0"/>
              <w:rPr>
                <w:sz w:val="16"/>
                <w:szCs w:val="16"/>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12/8/2023</w:t>
            </w:r>
          </w:p>
        </w:tc>
        <w:tc>
          <w:tcPr>
            <w:tcW w:w="140" w:type="dxa"/>
            <w:vAlign w:val="bottom"/>
            <w:tcBorders>
              <w:bottom w:val="single" w:sz="8" w:color="E7E7E8"/>
            </w:tcBorders>
          </w:tcPr>
          <w:p>
            <w:pPr>
              <w:spacing w:after="0"/>
              <w:rPr>
                <w:sz w:val="16"/>
                <w:szCs w:val="16"/>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6,086</w:t>
            </w:r>
          </w:p>
        </w:tc>
        <w:tc>
          <w:tcPr>
            <w:tcW w:w="160" w:type="dxa"/>
            <w:vAlign w:val="bottom"/>
            <w:tcBorders>
              <w:bottom w:val="single" w:sz="8" w:color="E7E7E8"/>
            </w:tcBorders>
          </w:tcPr>
          <w:p>
            <w:pPr>
              <w:spacing w:after="0"/>
              <w:rPr>
                <w:sz w:val="16"/>
                <w:szCs w:val="16"/>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$99.94</w:t>
            </w:r>
          </w:p>
        </w:tc>
        <w:tc>
          <w:tcPr>
            <w:tcW w:w="140" w:type="dxa"/>
            <w:vAlign w:val="bottom"/>
            <w:tcBorders>
              <w:bottom w:val="single" w:sz="8" w:color="E7E7E8"/>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608,235</w:t>
            </w:r>
          </w:p>
        </w:tc>
        <w:tc>
          <w:tcPr>
            <w:tcW w:w="0" w:type="dxa"/>
            <w:vAlign w:val="bottom"/>
          </w:tcPr>
          <w:p>
            <w:pPr>
              <w:spacing w:after="0"/>
              <w:rPr>
                <w:sz w:val="1"/>
                <w:szCs w:val="1"/>
                <w:color w:val="auto"/>
              </w:rPr>
            </w:pPr>
          </w:p>
        </w:tc>
      </w:tr>
      <w:tr>
        <w:trPr>
          <w:trHeight w:val="192"/>
        </w:trPr>
        <w:tc>
          <w:tcPr>
            <w:tcW w:w="3740" w:type="dxa"/>
            <w:vAlign w:val="bottom"/>
            <w:tcBorders>
              <w:bottom w:val="single" w:sz="8" w:color="auto"/>
            </w:tcBorders>
            <w:shd w:val="clear" w:color="auto" w:fill="E7E7E8"/>
          </w:tcPr>
          <w:p>
            <w:pPr>
              <w:ind w:left="60"/>
              <w:spacing w:after="0"/>
              <w:rPr>
                <w:sz w:val="20"/>
                <w:szCs w:val="20"/>
                <w:color w:val="auto"/>
              </w:rPr>
            </w:pPr>
            <w:r>
              <w:rPr>
                <w:rFonts w:ascii="Arial" w:cs="Arial" w:eastAsia="Arial" w:hAnsi="Arial"/>
                <w:sz w:val="13"/>
                <w:szCs w:val="13"/>
                <w:color w:val="auto"/>
              </w:rPr>
              <w:t>12/12/2018</w:t>
            </w:r>
          </w:p>
        </w:tc>
        <w:tc>
          <w:tcPr>
            <w:tcW w:w="160" w:type="dxa"/>
            <w:vAlign w:val="bottom"/>
            <w:tcBorders>
              <w:right w:val="single" w:sz="8" w:color="E7E7E8"/>
            </w:tcBorders>
            <w:shd w:val="clear" w:color="auto" w:fill="E7E7E8"/>
          </w:tcPr>
          <w:p>
            <w:pPr>
              <w:spacing w:after="0"/>
              <w:rPr>
                <w:sz w:val="16"/>
                <w:szCs w:val="16"/>
                <w:color w:val="auto"/>
              </w:rPr>
            </w:pPr>
          </w:p>
        </w:tc>
        <w:tc>
          <w:tcPr>
            <w:tcW w:w="15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12/8/2023</w:t>
            </w:r>
          </w:p>
        </w:tc>
        <w:tc>
          <w:tcPr>
            <w:tcW w:w="140" w:type="dxa"/>
            <w:vAlign w:val="bottom"/>
            <w:tcBorders>
              <w:right w:val="single" w:sz="8" w:color="E7E7E8"/>
            </w:tcBorders>
            <w:shd w:val="clear" w:color="auto" w:fill="E7E7E8"/>
          </w:tcPr>
          <w:p>
            <w:pPr>
              <w:spacing w:after="0"/>
              <w:rPr>
                <w:sz w:val="16"/>
                <w:szCs w:val="16"/>
                <w:color w:val="auto"/>
              </w:rPr>
            </w:pPr>
          </w:p>
        </w:tc>
        <w:tc>
          <w:tcPr>
            <w:tcW w:w="18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639</w:t>
            </w:r>
          </w:p>
        </w:tc>
        <w:tc>
          <w:tcPr>
            <w:tcW w:w="160" w:type="dxa"/>
            <w:vAlign w:val="bottom"/>
            <w:tcBorders>
              <w:right w:val="single" w:sz="8" w:color="E7E7E8"/>
            </w:tcBorders>
            <w:shd w:val="clear" w:color="auto" w:fill="E7E7E8"/>
          </w:tcPr>
          <w:p>
            <w:pPr>
              <w:spacing w:after="0"/>
              <w:rPr>
                <w:sz w:val="16"/>
                <w:szCs w:val="16"/>
                <w:color w:val="auto"/>
              </w:rPr>
            </w:pPr>
          </w:p>
        </w:tc>
        <w:tc>
          <w:tcPr>
            <w:tcW w:w="15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$99.94</w:t>
            </w:r>
          </w:p>
        </w:tc>
        <w:tc>
          <w:tcPr>
            <w:tcW w:w="140" w:type="dxa"/>
            <w:vAlign w:val="bottom"/>
            <w:tcBorders>
              <w:right w:val="single" w:sz="8" w:color="E7E7E8"/>
            </w:tcBorders>
            <w:shd w:val="clear" w:color="auto" w:fill="E7E7E8"/>
          </w:tcPr>
          <w:p>
            <w:pPr>
              <w:spacing w:after="0"/>
              <w:rPr>
                <w:sz w:val="16"/>
                <w:szCs w:val="16"/>
                <w:color w:val="auto"/>
              </w:rPr>
            </w:pPr>
          </w:p>
        </w:tc>
        <w:tc>
          <w:tcPr>
            <w:tcW w:w="10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63,862</w:t>
            </w:r>
          </w:p>
        </w:tc>
        <w:tc>
          <w:tcPr>
            <w:tcW w:w="0" w:type="dxa"/>
            <w:vAlign w:val="bottom"/>
          </w:tcPr>
          <w:p>
            <w:pPr>
              <w:spacing w:after="0"/>
              <w:rPr>
                <w:sz w:val="1"/>
                <w:szCs w:val="1"/>
                <w:color w:val="auto"/>
              </w:rPr>
            </w:pPr>
          </w:p>
        </w:tc>
      </w:tr>
      <w:tr>
        <w:trPr>
          <w:trHeight w:val="192"/>
        </w:trPr>
        <w:tc>
          <w:tcPr>
            <w:tcW w:w="374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12/3/2019</w:t>
            </w:r>
          </w:p>
        </w:tc>
        <w:tc>
          <w:tcPr>
            <w:tcW w:w="160" w:type="dxa"/>
            <w:vAlign w:val="bottom"/>
            <w:tcBorders>
              <w:bottom w:val="single" w:sz="8" w:color="E7E7E8"/>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12/8/2023</w:t>
            </w:r>
          </w:p>
        </w:tc>
        <w:tc>
          <w:tcPr>
            <w:tcW w:w="140" w:type="dxa"/>
            <w:vAlign w:val="bottom"/>
            <w:tcBorders>
              <w:bottom w:val="single" w:sz="8" w:color="E7E7E8"/>
            </w:tcBorders>
          </w:tcPr>
          <w:p>
            <w:pPr>
              <w:spacing w:after="0"/>
              <w:rPr>
                <w:sz w:val="16"/>
                <w:szCs w:val="16"/>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745</w:t>
            </w:r>
          </w:p>
        </w:tc>
        <w:tc>
          <w:tcPr>
            <w:tcW w:w="160" w:type="dxa"/>
            <w:vAlign w:val="bottom"/>
            <w:tcBorders>
              <w:bottom w:val="single" w:sz="8" w:color="E7E7E8"/>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$99.94</w:t>
            </w:r>
          </w:p>
        </w:tc>
        <w:tc>
          <w:tcPr>
            <w:tcW w:w="140" w:type="dxa"/>
            <w:vAlign w:val="bottom"/>
            <w:tcBorders>
              <w:bottom w:val="single" w:sz="8" w:color="E7E7E8"/>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74,455</w:t>
            </w:r>
          </w:p>
        </w:tc>
        <w:tc>
          <w:tcPr>
            <w:tcW w:w="0" w:type="dxa"/>
            <w:vAlign w:val="bottom"/>
          </w:tcPr>
          <w:p>
            <w:pPr>
              <w:spacing w:after="0"/>
              <w:rPr>
                <w:sz w:val="1"/>
                <w:szCs w:val="1"/>
                <w:color w:val="auto"/>
              </w:rPr>
            </w:pPr>
          </w:p>
        </w:tc>
      </w:tr>
      <w:tr>
        <w:trPr>
          <w:trHeight w:val="192"/>
        </w:trPr>
        <w:tc>
          <w:tcPr>
            <w:tcW w:w="3740" w:type="dxa"/>
            <w:vAlign w:val="bottom"/>
            <w:tcBorders>
              <w:bottom w:val="single" w:sz="8" w:color="auto"/>
            </w:tcBorders>
            <w:shd w:val="clear" w:color="auto" w:fill="E7E7E8"/>
          </w:tcPr>
          <w:p>
            <w:pPr>
              <w:ind w:left="60"/>
              <w:spacing w:after="0"/>
              <w:rPr>
                <w:sz w:val="20"/>
                <w:szCs w:val="20"/>
                <w:color w:val="auto"/>
              </w:rPr>
            </w:pPr>
            <w:r>
              <w:rPr>
                <w:rFonts w:ascii="Arial" w:cs="Arial" w:eastAsia="Arial" w:hAnsi="Arial"/>
                <w:sz w:val="13"/>
                <w:szCs w:val="13"/>
                <w:color w:val="auto"/>
              </w:rPr>
              <w:t>12/8/2020</w:t>
            </w:r>
          </w:p>
        </w:tc>
        <w:tc>
          <w:tcPr>
            <w:tcW w:w="160" w:type="dxa"/>
            <w:vAlign w:val="bottom"/>
            <w:tcBorders>
              <w:right w:val="single" w:sz="8" w:color="E7E7E8"/>
            </w:tcBorders>
            <w:shd w:val="clear" w:color="auto" w:fill="E7E7E8"/>
          </w:tcPr>
          <w:p>
            <w:pPr>
              <w:spacing w:after="0"/>
              <w:rPr>
                <w:sz w:val="16"/>
                <w:szCs w:val="16"/>
                <w:color w:val="auto"/>
              </w:rPr>
            </w:pPr>
          </w:p>
        </w:tc>
        <w:tc>
          <w:tcPr>
            <w:tcW w:w="15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12/8/2023</w:t>
            </w:r>
          </w:p>
        </w:tc>
        <w:tc>
          <w:tcPr>
            <w:tcW w:w="140" w:type="dxa"/>
            <w:vAlign w:val="bottom"/>
            <w:tcBorders>
              <w:right w:val="single" w:sz="8" w:color="E7E7E8"/>
            </w:tcBorders>
            <w:shd w:val="clear" w:color="auto" w:fill="E7E7E8"/>
          </w:tcPr>
          <w:p>
            <w:pPr>
              <w:spacing w:after="0"/>
              <w:rPr>
                <w:sz w:val="16"/>
                <w:szCs w:val="16"/>
                <w:color w:val="auto"/>
              </w:rPr>
            </w:pPr>
          </w:p>
        </w:tc>
        <w:tc>
          <w:tcPr>
            <w:tcW w:w="18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10,501</w:t>
            </w:r>
          </w:p>
        </w:tc>
        <w:tc>
          <w:tcPr>
            <w:tcW w:w="160" w:type="dxa"/>
            <w:vAlign w:val="bottom"/>
            <w:tcBorders>
              <w:right w:val="single" w:sz="8" w:color="E7E7E8"/>
            </w:tcBorders>
            <w:shd w:val="clear" w:color="auto" w:fill="E7E7E8"/>
          </w:tcPr>
          <w:p>
            <w:pPr>
              <w:spacing w:after="0"/>
              <w:rPr>
                <w:sz w:val="16"/>
                <w:szCs w:val="16"/>
                <w:color w:val="auto"/>
              </w:rPr>
            </w:pPr>
          </w:p>
        </w:tc>
        <w:tc>
          <w:tcPr>
            <w:tcW w:w="15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$99.94</w:t>
            </w:r>
          </w:p>
        </w:tc>
        <w:tc>
          <w:tcPr>
            <w:tcW w:w="140" w:type="dxa"/>
            <w:vAlign w:val="bottom"/>
            <w:tcBorders>
              <w:right w:val="single" w:sz="8" w:color="E7E7E8"/>
            </w:tcBorders>
            <w:shd w:val="clear" w:color="auto" w:fill="E7E7E8"/>
          </w:tcPr>
          <w:p>
            <w:pPr>
              <w:spacing w:after="0"/>
              <w:rPr>
                <w:sz w:val="16"/>
                <w:szCs w:val="16"/>
                <w:color w:val="auto"/>
              </w:rPr>
            </w:pPr>
          </w:p>
        </w:tc>
        <w:tc>
          <w:tcPr>
            <w:tcW w:w="10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1,049,470</w:t>
            </w:r>
          </w:p>
        </w:tc>
        <w:tc>
          <w:tcPr>
            <w:tcW w:w="0" w:type="dxa"/>
            <w:vAlign w:val="bottom"/>
          </w:tcPr>
          <w:p>
            <w:pPr>
              <w:spacing w:after="0"/>
              <w:rPr>
                <w:sz w:val="1"/>
                <w:szCs w:val="1"/>
                <w:color w:val="auto"/>
              </w:rPr>
            </w:pPr>
          </w:p>
        </w:tc>
      </w:tr>
      <w:tr>
        <w:trPr>
          <w:trHeight w:val="192"/>
        </w:trPr>
        <w:tc>
          <w:tcPr>
            <w:tcW w:w="374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12/7/2021</w:t>
            </w:r>
          </w:p>
        </w:tc>
        <w:tc>
          <w:tcPr>
            <w:tcW w:w="160" w:type="dxa"/>
            <w:vAlign w:val="bottom"/>
            <w:tcBorders>
              <w:bottom w:val="single" w:sz="8" w:color="E7E7E8"/>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12/8/2023</w:t>
            </w:r>
          </w:p>
        </w:tc>
        <w:tc>
          <w:tcPr>
            <w:tcW w:w="140" w:type="dxa"/>
            <w:vAlign w:val="bottom"/>
            <w:tcBorders>
              <w:bottom w:val="single" w:sz="8" w:color="E7E7E8"/>
            </w:tcBorders>
          </w:tcPr>
          <w:p>
            <w:pPr>
              <w:spacing w:after="0"/>
              <w:rPr>
                <w:sz w:val="16"/>
                <w:szCs w:val="16"/>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9,997</w:t>
            </w:r>
          </w:p>
        </w:tc>
        <w:tc>
          <w:tcPr>
            <w:tcW w:w="160" w:type="dxa"/>
            <w:vAlign w:val="bottom"/>
            <w:tcBorders>
              <w:bottom w:val="single" w:sz="8" w:color="E7E7E8"/>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$99.94</w:t>
            </w:r>
          </w:p>
        </w:tc>
        <w:tc>
          <w:tcPr>
            <w:tcW w:w="140" w:type="dxa"/>
            <w:vAlign w:val="bottom"/>
            <w:tcBorders>
              <w:bottom w:val="single" w:sz="8" w:color="E7E7E8"/>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999,100</w:t>
            </w:r>
          </w:p>
        </w:tc>
        <w:tc>
          <w:tcPr>
            <w:tcW w:w="0" w:type="dxa"/>
            <w:vAlign w:val="bottom"/>
          </w:tcPr>
          <w:p>
            <w:pPr>
              <w:spacing w:after="0"/>
              <w:rPr>
                <w:sz w:val="1"/>
                <w:szCs w:val="1"/>
                <w:color w:val="auto"/>
              </w:rPr>
            </w:pPr>
          </w:p>
        </w:tc>
      </w:tr>
      <w:tr>
        <w:trPr>
          <w:trHeight w:val="192"/>
        </w:trPr>
        <w:tc>
          <w:tcPr>
            <w:tcW w:w="3740" w:type="dxa"/>
            <w:vAlign w:val="bottom"/>
            <w:tcBorders>
              <w:bottom w:val="single" w:sz="8" w:color="auto"/>
            </w:tcBorders>
            <w:shd w:val="clear" w:color="auto" w:fill="E7E7E8"/>
          </w:tcPr>
          <w:p>
            <w:pPr>
              <w:ind w:left="60"/>
              <w:spacing w:after="0"/>
              <w:rPr>
                <w:sz w:val="20"/>
                <w:szCs w:val="20"/>
                <w:color w:val="auto"/>
              </w:rPr>
            </w:pPr>
            <w:r>
              <w:rPr>
                <w:rFonts w:ascii="Arial" w:cs="Arial" w:eastAsia="Arial" w:hAnsi="Arial"/>
                <w:sz w:val="13"/>
                <w:szCs w:val="13"/>
                <w:color w:val="auto"/>
              </w:rPr>
              <w:t>12/6/2022</w:t>
            </w:r>
          </w:p>
        </w:tc>
        <w:tc>
          <w:tcPr>
            <w:tcW w:w="160" w:type="dxa"/>
            <w:vAlign w:val="bottom"/>
            <w:tcBorders>
              <w:right w:val="single" w:sz="8" w:color="E7E7E8"/>
            </w:tcBorders>
            <w:shd w:val="clear" w:color="auto" w:fill="E7E7E8"/>
          </w:tcPr>
          <w:p>
            <w:pPr>
              <w:spacing w:after="0"/>
              <w:rPr>
                <w:sz w:val="16"/>
                <w:szCs w:val="16"/>
                <w:color w:val="auto"/>
              </w:rPr>
            </w:pPr>
          </w:p>
        </w:tc>
        <w:tc>
          <w:tcPr>
            <w:tcW w:w="15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12/8/2023</w:t>
            </w:r>
          </w:p>
        </w:tc>
        <w:tc>
          <w:tcPr>
            <w:tcW w:w="140" w:type="dxa"/>
            <w:vAlign w:val="bottom"/>
            <w:tcBorders>
              <w:right w:val="single" w:sz="8" w:color="E7E7E8"/>
            </w:tcBorders>
            <w:shd w:val="clear" w:color="auto" w:fill="E7E7E8"/>
          </w:tcPr>
          <w:p>
            <w:pPr>
              <w:spacing w:after="0"/>
              <w:rPr>
                <w:sz w:val="16"/>
                <w:szCs w:val="16"/>
                <w:color w:val="auto"/>
              </w:rPr>
            </w:pPr>
          </w:p>
        </w:tc>
        <w:tc>
          <w:tcPr>
            <w:tcW w:w="18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13,600</w:t>
            </w:r>
          </w:p>
        </w:tc>
        <w:tc>
          <w:tcPr>
            <w:tcW w:w="160" w:type="dxa"/>
            <w:vAlign w:val="bottom"/>
            <w:tcBorders>
              <w:right w:val="single" w:sz="8" w:color="E7E7E8"/>
            </w:tcBorders>
            <w:shd w:val="clear" w:color="auto" w:fill="E7E7E8"/>
          </w:tcPr>
          <w:p>
            <w:pPr>
              <w:spacing w:after="0"/>
              <w:rPr>
                <w:sz w:val="16"/>
                <w:szCs w:val="16"/>
                <w:color w:val="auto"/>
              </w:rPr>
            </w:pPr>
          </w:p>
        </w:tc>
        <w:tc>
          <w:tcPr>
            <w:tcW w:w="15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$99.94</w:t>
            </w:r>
          </w:p>
        </w:tc>
        <w:tc>
          <w:tcPr>
            <w:tcW w:w="140" w:type="dxa"/>
            <w:vAlign w:val="bottom"/>
            <w:tcBorders>
              <w:right w:val="single" w:sz="8" w:color="E7E7E8"/>
            </w:tcBorders>
            <w:shd w:val="clear" w:color="auto" w:fill="E7E7E8"/>
          </w:tcPr>
          <w:p>
            <w:pPr>
              <w:spacing w:after="0"/>
              <w:rPr>
                <w:sz w:val="16"/>
                <w:szCs w:val="16"/>
                <w:color w:val="auto"/>
              </w:rPr>
            </w:pPr>
          </w:p>
        </w:tc>
        <w:tc>
          <w:tcPr>
            <w:tcW w:w="10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1,359,184</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300" w:right="480" w:hanging="300"/>
        <w:spacing w:after="0" w:line="193" w:lineRule="auto"/>
        <w:tabs>
          <w:tab w:leader="none" w:pos="300" w:val="left"/>
        </w:tabs>
        <w:numPr>
          <w:ilvl w:val="0"/>
          <w:numId w:val="110"/>
        </w:numPr>
        <w:rPr>
          <w:rFonts w:ascii="Arial" w:cs="Arial" w:eastAsia="Arial" w:hAnsi="Arial"/>
          <w:sz w:val="22"/>
          <w:szCs w:val="22"/>
          <w:color w:val="auto"/>
          <w:vertAlign w:val="superscript"/>
        </w:rPr>
      </w:pPr>
      <w:r>
        <w:rPr>
          <w:rFonts w:ascii="Arial" w:cs="Arial" w:eastAsia="Arial" w:hAnsi="Arial"/>
          <w:sz w:val="13"/>
          <w:szCs w:val="13"/>
          <w:color w:val="auto"/>
        </w:rPr>
        <w:t>The table below shows, by date of the award, the number of time-vested RSUs and value realized that are included in the table above. The value realized was computed using an average sales price from the Price Group common stock sold for Mr. Thomson's taxes on vest date.</w:t>
      </w:r>
    </w:p>
    <w:p>
      <w:pPr>
        <w:spacing w:after="0" w:line="166" w:lineRule="exact"/>
        <w:rPr>
          <w:sz w:val="20"/>
          <w:szCs w:val="20"/>
          <w:color w:val="auto"/>
        </w:rPr>
      </w:pPr>
    </w:p>
    <w:tbl>
      <w:tblPr>
        <w:tblLayout w:type="fixed"/>
        <w:tblInd w:w="300" w:type="dxa"/>
        <w:tblCellMar>
          <w:top w:w="0" w:type="dxa"/>
          <w:left w:w="0" w:type="dxa"/>
          <w:bottom w:w="0" w:type="dxa"/>
          <w:right w:w="0" w:type="dxa"/>
        </w:tblCellMar>
      </w:tblPr>
      <w:tr>
        <w:trPr>
          <w:trHeight w:val="138"/>
        </w:trPr>
        <w:tc>
          <w:tcPr>
            <w:tcW w:w="376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b w:val="1"/>
                <w:bCs w:val="1"/>
                <w:color w:val="auto"/>
              </w:rPr>
              <w:t>NUMBER OF SHARES</w:t>
            </w:r>
          </w:p>
        </w:tc>
        <w:tc>
          <w:tcPr>
            <w:tcW w:w="17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b w:val="1"/>
                <w:bCs w:val="1"/>
                <w:color w:val="auto"/>
              </w:rPr>
              <w:t>MARKET PRICE</w:t>
            </w:r>
          </w:p>
        </w:tc>
        <w:tc>
          <w:tcPr>
            <w:tcW w:w="1580" w:type="dxa"/>
            <w:vAlign w:val="bottom"/>
            <w:gridSpan w:val="2"/>
          </w:tcPr>
          <w:p>
            <w:pPr>
              <w:jc w:val="right"/>
              <w:spacing w:after="0"/>
              <w:rPr>
                <w:sz w:val="20"/>
                <w:szCs w:val="20"/>
                <w:color w:val="auto"/>
              </w:rPr>
            </w:pPr>
            <w:r>
              <w:rPr>
                <w:rFonts w:ascii="Arial" w:cs="Arial" w:eastAsia="Arial" w:hAnsi="Arial"/>
                <w:sz w:val="12"/>
                <w:szCs w:val="12"/>
                <w:b w:val="1"/>
                <w:bCs w:val="1"/>
                <w:color w:val="auto"/>
              </w:rPr>
              <w:t>VALUE REALIZED</w:t>
            </w:r>
          </w:p>
        </w:tc>
      </w:tr>
      <w:tr>
        <w:trPr>
          <w:trHeight w:val="143"/>
        </w:trPr>
        <w:tc>
          <w:tcPr>
            <w:tcW w:w="3920" w:type="dxa"/>
            <w:vAlign w:val="bottom"/>
            <w:tcBorders>
              <w:right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DATE OF AWARD</w:t>
            </w:r>
          </w:p>
        </w:tc>
        <w:tc>
          <w:tcPr>
            <w:tcW w:w="16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b w:val="1"/>
                <w:bCs w:val="1"/>
                <w:color w:val="auto"/>
              </w:rPr>
              <w:t>VESTING DATE</w:t>
            </w:r>
          </w:p>
        </w:tc>
        <w:tc>
          <w:tcPr>
            <w:tcW w:w="20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b w:val="1"/>
                <w:bCs w:val="1"/>
                <w:color w:val="auto"/>
              </w:rPr>
              <w:t>ACQUIRED ON VESTING</w:t>
            </w:r>
          </w:p>
        </w:tc>
        <w:tc>
          <w:tcPr>
            <w:tcW w:w="17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b w:val="1"/>
                <w:bCs w:val="1"/>
                <w:color w:val="auto"/>
              </w:rPr>
              <w:t>AT VEST</w:t>
            </w:r>
          </w:p>
        </w:tc>
        <w:tc>
          <w:tcPr>
            <w:tcW w:w="1580" w:type="dxa"/>
            <w:vAlign w:val="bottom"/>
            <w:gridSpan w:val="2"/>
          </w:tcPr>
          <w:p>
            <w:pPr>
              <w:jc w:val="right"/>
              <w:spacing w:after="0"/>
              <w:rPr>
                <w:sz w:val="20"/>
                <w:szCs w:val="20"/>
                <w:color w:val="auto"/>
              </w:rPr>
            </w:pPr>
            <w:r>
              <w:rPr>
                <w:rFonts w:ascii="Arial" w:cs="Arial" w:eastAsia="Arial" w:hAnsi="Arial"/>
                <w:sz w:val="12"/>
                <w:szCs w:val="12"/>
                <w:b w:val="1"/>
                <w:bCs w:val="1"/>
                <w:color w:val="auto"/>
              </w:rPr>
              <w:t>ON VESTING</w:t>
            </w:r>
          </w:p>
        </w:tc>
      </w:tr>
      <w:tr>
        <w:trPr>
          <w:trHeight w:val="188"/>
        </w:trPr>
        <w:tc>
          <w:tcPr>
            <w:tcW w:w="37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3"/>
                <w:szCs w:val="13"/>
                <w:color w:val="auto"/>
              </w:rPr>
              <w:t>12/11/2018</w:t>
            </w:r>
          </w:p>
        </w:tc>
        <w:tc>
          <w:tcPr>
            <w:tcW w:w="160" w:type="dxa"/>
            <w:vAlign w:val="bottom"/>
            <w:tcBorders>
              <w:bottom w:val="single" w:sz="8" w:color="E7E7E8"/>
            </w:tcBorders>
          </w:tcPr>
          <w:p>
            <w:pPr>
              <w:spacing w:after="0"/>
              <w:rPr>
                <w:sz w:val="16"/>
                <w:szCs w:val="16"/>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12/8/2023</w:t>
            </w:r>
          </w:p>
        </w:tc>
        <w:tc>
          <w:tcPr>
            <w:tcW w:w="160" w:type="dxa"/>
            <w:vAlign w:val="bottom"/>
            <w:tcBorders>
              <w:bottom w:val="single" w:sz="8" w:color="E7E7E8"/>
            </w:tcBorders>
          </w:tcPr>
          <w:p>
            <w:pPr>
              <w:spacing w:after="0"/>
              <w:rPr>
                <w:sz w:val="16"/>
                <w:szCs w:val="16"/>
                <w:color w:val="auto"/>
              </w:rPr>
            </w:pP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3,695</w:t>
            </w:r>
          </w:p>
        </w:tc>
        <w:tc>
          <w:tcPr>
            <w:tcW w:w="160" w:type="dxa"/>
            <w:vAlign w:val="bottom"/>
            <w:tcBorders>
              <w:bottom w:val="single" w:sz="8" w:color="E7E7E8"/>
            </w:tcBorders>
          </w:tcPr>
          <w:p>
            <w:pPr>
              <w:spacing w:after="0"/>
              <w:rPr>
                <w:sz w:val="16"/>
                <w:szCs w:val="16"/>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$98.71</w:t>
            </w:r>
          </w:p>
        </w:tc>
        <w:tc>
          <w:tcPr>
            <w:tcW w:w="160" w:type="dxa"/>
            <w:vAlign w:val="bottom"/>
            <w:tcBorders>
              <w:bottom w:val="single" w:sz="8" w:color="E7E7E8"/>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364,720</w:t>
            </w:r>
          </w:p>
        </w:tc>
      </w:tr>
      <w:tr>
        <w:trPr>
          <w:trHeight w:val="192"/>
        </w:trPr>
        <w:tc>
          <w:tcPr>
            <w:tcW w:w="3760" w:type="dxa"/>
            <w:vAlign w:val="bottom"/>
            <w:tcBorders>
              <w:bottom w:val="single" w:sz="8" w:color="auto"/>
            </w:tcBorders>
            <w:shd w:val="clear" w:color="auto" w:fill="E7E7E8"/>
          </w:tcPr>
          <w:p>
            <w:pPr>
              <w:ind w:left="60"/>
              <w:spacing w:after="0"/>
              <w:rPr>
                <w:sz w:val="20"/>
                <w:szCs w:val="20"/>
                <w:color w:val="auto"/>
              </w:rPr>
            </w:pPr>
            <w:r>
              <w:rPr>
                <w:rFonts w:ascii="Arial" w:cs="Arial" w:eastAsia="Arial" w:hAnsi="Arial"/>
                <w:sz w:val="13"/>
                <w:szCs w:val="13"/>
                <w:color w:val="auto"/>
              </w:rPr>
              <w:t>12/3/2019</w:t>
            </w:r>
          </w:p>
        </w:tc>
        <w:tc>
          <w:tcPr>
            <w:tcW w:w="160" w:type="dxa"/>
            <w:vAlign w:val="bottom"/>
            <w:tcBorders>
              <w:right w:val="single" w:sz="8" w:color="E7E7E8"/>
            </w:tcBorders>
            <w:shd w:val="clear" w:color="auto" w:fill="E7E7E8"/>
          </w:tcPr>
          <w:p>
            <w:pPr>
              <w:spacing w:after="0"/>
              <w:rPr>
                <w:sz w:val="16"/>
                <w:szCs w:val="16"/>
                <w:color w:val="auto"/>
              </w:rPr>
            </w:pPr>
          </w:p>
        </w:tc>
        <w:tc>
          <w:tcPr>
            <w:tcW w:w="15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12/8/2023</w:t>
            </w:r>
          </w:p>
        </w:tc>
        <w:tc>
          <w:tcPr>
            <w:tcW w:w="160" w:type="dxa"/>
            <w:vAlign w:val="bottom"/>
            <w:tcBorders>
              <w:right w:val="single" w:sz="8" w:color="E7E7E8"/>
            </w:tcBorders>
            <w:shd w:val="clear" w:color="auto" w:fill="E7E7E8"/>
          </w:tcPr>
          <w:p>
            <w:pPr>
              <w:spacing w:after="0"/>
              <w:rPr>
                <w:sz w:val="16"/>
                <w:szCs w:val="16"/>
                <w:color w:val="auto"/>
              </w:rPr>
            </w:pPr>
          </w:p>
        </w:tc>
        <w:tc>
          <w:tcPr>
            <w:tcW w:w="18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3,253</w:t>
            </w:r>
          </w:p>
        </w:tc>
        <w:tc>
          <w:tcPr>
            <w:tcW w:w="160" w:type="dxa"/>
            <w:vAlign w:val="bottom"/>
            <w:tcBorders>
              <w:right w:val="single" w:sz="8" w:color="E7E7E8"/>
            </w:tcBorders>
            <w:shd w:val="clear" w:color="auto" w:fill="E7E7E8"/>
          </w:tcPr>
          <w:p>
            <w:pPr>
              <w:spacing w:after="0"/>
              <w:rPr>
                <w:sz w:val="16"/>
                <w:szCs w:val="16"/>
                <w:color w:val="auto"/>
              </w:rPr>
            </w:pPr>
          </w:p>
        </w:tc>
        <w:tc>
          <w:tcPr>
            <w:tcW w:w="15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$98.71</w:t>
            </w:r>
          </w:p>
        </w:tc>
        <w:tc>
          <w:tcPr>
            <w:tcW w:w="160" w:type="dxa"/>
            <w:vAlign w:val="bottom"/>
            <w:tcBorders>
              <w:right w:val="single" w:sz="8" w:color="E7E7E8"/>
            </w:tcBorders>
            <w:shd w:val="clear" w:color="auto" w:fill="E7E7E8"/>
          </w:tcPr>
          <w:p>
            <w:pPr>
              <w:spacing w:after="0"/>
              <w:rPr>
                <w:sz w:val="16"/>
                <w:szCs w:val="16"/>
                <w:color w:val="auto"/>
              </w:rPr>
            </w:pPr>
          </w:p>
        </w:tc>
        <w:tc>
          <w:tcPr>
            <w:tcW w:w="9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321,092</w:t>
            </w:r>
          </w:p>
        </w:tc>
      </w:tr>
      <w:tr>
        <w:trPr>
          <w:trHeight w:val="192"/>
        </w:trPr>
        <w:tc>
          <w:tcPr>
            <w:tcW w:w="376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12/8/2020</w:t>
            </w:r>
          </w:p>
        </w:tc>
        <w:tc>
          <w:tcPr>
            <w:tcW w:w="160" w:type="dxa"/>
            <w:vAlign w:val="bottom"/>
            <w:tcBorders>
              <w:bottom w:val="single" w:sz="8" w:color="E7E7E8"/>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12/8/2023</w:t>
            </w:r>
          </w:p>
        </w:tc>
        <w:tc>
          <w:tcPr>
            <w:tcW w:w="160" w:type="dxa"/>
            <w:vAlign w:val="bottom"/>
            <w:tcBorders>
              <w:bottom w:val="single" w:sz="8" w:color="E7E7E8"/>
            </w:tcBorders>
          </w:tcPr>
          <w:p>
            <w:pPr>
              <w:spacing w:after="0"/>
              <w:rPr>
                <w:sz w:val="16"/>
                <w:szCs w:val="16"/>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3,004</w:t>
            </w:r>
          </w:p>
        </w:tc>
        <w:tc>
          <w:tcPr>
            <w:tcW w:w="160" w:type="dxa"/>
            <w:vAlign w:val="bottom"/>
            <w:tcBorders>
              <w:bottom w:val="single" w:sz="8" w:color="E7E7E8"/>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$98.71</w:t>
            </w:r>
          </w:p>
        </w:tc>
        <w:tc>
          <w:tcPr>
            <w:tcW w:w="160" w:type="dxa"/>
            <w:vAlign w:val="bottom"/>
            <w:tcBorders>
              <w:bottom w:val="single" w:sz="8" w:color="E7E7E8"/>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296,514</w:t>
            </w:r>
          </w:p>
        </w:tc>
      </w:tr>
      <w:tr>
        <w:trPr>
          <w:trHeight w:val="192"/>
        </w:trPr>
        <w:tc>
          <w:tcPr>
            <w:tcW w:w="3760" w:type="dxa"/>
            <w:vAlign w:val="bottom"/>
            <w:tcBorders>
              <w:bottom w:val="single" w:sz="8" w:color="auto"/>
            </w:tcBorders>
            <w:shd w:val="clear" w:color="auto" w:fill="E7E7E8"/>
          </w:tcPr>
          <w:p>
            <w:pPr>
              <w:ind w:left="60"/>
              <w:spacing w:after="0"/>
              <w:rPr>
                <w:sz w:val="20"/>
                <w:szCs w:val="20"/>
                <w:color w:val="auto"/>
              </w:rPr>
            </w:pPr>
            <w:r>
              <w:rPr>
                <w:rFonts w:ascii="Arial" w:cs="Arial" w:eastAsia="Arial" w:hAnsi="Arial"/>
                <w:sz w:val="13"/>
                <w:szCs w:val="13"/>
                <w:color w:val="auto"/>
              </w:rPr>
              <w:t>12/7/2021</w:t>
            </w:r>
          </w:p>
        </w:tc>
        <w:tc>
          <w:tcPr>
            <w:tcW w:w="160" w:type="dxa"/>
            <w:vAlign w:val="bottom"/>
            <w:tcBorders>
              <w:right w:val="single" w:sz="8" w:color="E7E7E8"/>
            </w:tcBorders>
            <w:shd w:val="clear" w:color="auto" w:fill="E7E7E8"/>
          </w:tcPr>
          <w:p>
            <w:pPr>
              <w:spacing w:after="0"/>
              <w:rPr>
                <w:sz w:val="16"/>
                <w:szCs w:val="16"/>
                <w:color w:val="auto"/>
              </w:rPr>
            </w:pPr>
          </w:p>
        </w:tc>
        <w:tc>
          <w:tcPr>
            <w:tcW w:w="15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12/8/2023</w:t>
            </w:r>
          </w:p>
        </w:tc>
        <w:tc>
          <w:tcPr>
            <w:tcW w:w="160" w:type="dxa"/>
            <w:vAlign w:val="bottom"/>
            <w:tcBorders>
              <w:right w:val="single" w:sz="8" w:color="E7E7E8"/>
            </w:tcBorders>
            <w:shd w:val="clear" w:color="auto" w:fill="E7E7E8"/>
          </w:tcPr>
          <w:p>
            <w:pPr>
              <w:spacing w:after="0"/>
              <w:rPr>
                <w:sz w:val="16"/>
                <w:szCs w:val="16"/>
                <w:color w:val="auto"/>
              </w:rPr>
            </w:pPr>
          </w:p>
        </w:tc>
        <w:tc>
          <w:tcPr>
            <w:tcW w:w="18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2,326</w:t>
            </w:r>
          </w:p>
        </w:tc>
        <w:tc>
          <w:tcPr>
            <w:tcW w:w="160" w:type="dxa"/>
            <w:vAlign w:val="bottom"/>
            <w:tcBorders>
              <w:right w:val="single" w:sz="8" w:color="E7E7E8"/>
            </w:tcBorders>
            <w:shd w:val="clear" w:color="auto" w:fill="E7E7E8"/>
          </w:tcPr>
          <w:p>
            <w:pPr>
              <w:spacing w:after="0"/>
              <w:rPr>
                <w:sz w:val="16"/>
                <w:szCs w:val="16"/>
                <w:color w:val="auto"/>
              </w:rPr>
            </w:pPr>
          </w:p>
        </w:tc>
        <w:tc>
          <w:tcPr>
            <w:tcW w:w="15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$98.71</w:t>
            </w:r>
          </w:p>
        </w:tc>
        <w:tc>
          <w:tcPr>
            <w:tcW w:w="160" w:type="dxa"/>
            <w:vAlign w:val="bottom"/>
            <w:tcBorders>
              <w:right w:val="single" w:sz="8" w:color="E7E7E8"/>
            </w:tcBorders>
            <w:shd w:val="clear" w:color="auto" w:fill="E7E7E8"/>
          </w:tcPr>
          <w:p>
            <w:pPr>
              <w:spacing w:after="0"/>
              <w:rPr>
                <w:sz w:val="16"/>
                <w:szCs w:val="16"/>
                <w:color w:val="auto"/>
              </w:rPr>
            </w:pPr>
          </w:p>
        </w:tc>
        <w:tc>
          <w:tcPr>
            <w:tcW w:w="9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229,591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2579370</wp:posOffset>
            </wp:positionH>
            <wp:positionV relativeFrom="paragraph">
              <wp:posOffset>-412115</wp:posOffset>
            </wp:positionV>
            <wp:extent cx="86995" cy="13462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6995" cy="134620"/>
                    </a:xfrm>
                    <a:prstGeom prst="rect">
                      <a:avLst/>
                    </a:prstGeom>
                    <a:noFill/>
                  </pic:spPr>
                </pic:pic>
              </a:graphicData>
            </a:graphic>
          </wp:anchor>
        </w:drawing>
        <w:drawing>
          <wp:anchor simplePos="0" relativeHeight="251657728" behindDoc="1" locked="0" layoutInCell="0" allowOverlap="1">
            <wp:simplePos x="0" y="0"/>
            <wp:positionH relativeFrom="column">
              <wp:posOffset>3650615</wp:posOffset>
            </wp:positionH>
            <wp:positionV relativeFrom="paragraph">
              <wp:posOffset>-412115</wp:posOffset>
            </wp:positionV>
            <wp:extent cx="86995" cy="13462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6995" cy="134620"/>
                    </a:xfrm>
                    <a:prstGeom prst="rect">
                      <a:avLst/>
                    </a:prstGeom>
                    <a:noFill/>
                  </pic:spPr>
                </pic:pic>
              </a:graphicData>
            </a:graphic>
          </wp:anchor>
        </w:drawing>
        <w:drawing>
          <wp:anchor simplePos="0" relativeHeight="251657728" behindDoc="1" locked="0" layoutInCell="0" allowOverlap="1">
            <wp:simplePos x="0" y="0"/>
            <wp:positionH relativeFrom="column">
              <wp:posOffset>4936490</wp:posOffset>
            </wp:positionH>
            <wp:positionV relativeFrom="paragraph">
              <wp:posOffset>-412115</wp:posOffset>
            </wp:positionV>
            <wp:extent cx="86995" cy="13462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6995" cy="134620"/>
                    </a:xfrm>
                    <a:prstGeom prst="rect">
                      <a:avLst/>
                    </a:prstGeom>
                    <a:noFill/>
                  </pic:spPr>
                </pic:pic>
              </a:graphicData>
            </a:graphic>
          </wp:anchor>
        </w:drawing>
        <w:drawing>
          <wp:anchor simplePos="0" relativeHeight="251657728" behindDoc="1" locked="0" layoutInCell="0" allowOverlap="1">
            <wp:simplePos x="0" y="0"/>
            <wp:positionH relativeFrom="column">
              <wp:posOffset>6015355</wp:posOffset>
            </wp:positionH>
            <wp:positionV relativeFrom="paragraph">
              <wp:posOffset>-412115</wp:posOffset>
            </wp:positionV>
            <wp:extent cx="86995" cy="13462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6995" cy="134620"/>
                    </a:xfrm>
                    <a:prstGeom prst="rect">
                      <a:avLst/>
                    </a:prstGeom>
                    <a:noFill/>
                  </pic:spPr>
                </pic:pic>
              </a:graphicData>
            </a:graphic>
          </wp:anchor>
        </w:drawing>
        <w:drawing>
          <wp:anchor simplePos="0" relativeHeight="251657728" behindDoc="1" locked="0" layoutInCell="0" allowOverlap="1">
            <wp:simplePos x="0" y="0"/>
            <wp:positionH relativeFrom="column">
              <wp:posOffset>2579370</wp:posOffset>
            </wp:positionH>
            <wp:positionV relativeFrom="paragraph">
              <wp:posOffset>-142240</wp:posOffset>
            </wp:positionV>
            <wp:extent cx="86995" cy="13462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6995" cy="134620"/>
                    </a:xfrm>
                    <a:prstGeom prst="rect">
                      <a:avLst/>
                    </a:prstGeom>
                    <a:noFill/>
                  </pic:spPr>
                </pic:pic>
              </a:graphicData>
            </a:graphic>
          </wp:anchor>
        </w:drawing>
        <w:drawing>
          <wp:anchor simplePos="0" relativeHeight="251657728" behindDoc="1" locked="0" layoutInCell="0" allowOverlap="1">
            <wp:simplePos x="0" y="0"/>
            <wp:positionH relativeFrom="column">
              <wp:posOffset>3650615</wp:posOffset>
            </wp:positionH>
            <wp:positionV relativeFrom="paragraph">
              <wp:posOffset>-142240</wp:posOffset>
            </wp:positionV>
            <wp:extent cx="86995" cy="13462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6995" cy="134620"/>
                    </a:xfrm>
                    <a:prstGeom prst="rect">
                      <a:avLst/>
                    </a:prstGeom>
                    <a:noFill/>
                  </pic:spPr>
                </pic:pic>
              </a:graphicData>
            </a:graphic>
          </wp:anchor>
        </w:drawing>
        <w:drawing>
          <wp:anchor simplePos="0" relativeHeight="251657728" behindDoc="1" locked="0" layoutInCell="0" allowOverlap="1">
            <wp:simplePos x="0" y="0"/>
            <wp:positionH relativeFrom="column">
              <wp:posOffset>4936490</wp:posOffset>
            </wp:positionH>
            <wp:positionV relativeFrom="paragraph">
              <wp:posOffset>-142240</wp:posOffset>
            </wp:positionV>
            <wp:extent cx="86995" cy="1346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6995" cy="134620"/>
                    </a:xfrm>
                    <a:prstGeom prst="rect">
                      <a:avLst/>
                    </a:prstGeom>
                    <a:noFill/>
                  </pic:spPr>
                </pic:pic>
              </a:graphicData>
            </a:graphic>
          </wp:anchor>
        </w:drawing>
        <w:drawing>
          <wp:anchor simplePos="0" relativeHeight="251657728" behindDoc="1" locked="0" layoutInCell="0" allowOverlap="1">
            <wp:simplePos x="0" y="0"/>
            <wp:positionH relativeFrom="column">
              <wp:posOffset>6015355</wp:posOffset>
            </wp:positionH>
            <wp:positionV relativeFrom="paragraph">
              <wp:posOffset>-142240</wp:posOffset>
            </wp:positionV>
            <wp:extent cx="86995" cy="13462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6995" cy="134620"/>
                    </a:xfrm>
                    <a:prstGeom prst="rect">
                      <a:avLst/>
                    </a:prstGeom>
                    <a:noFill/>
                  </pic:spPr>
                </pic:pic>
              </a:graphicData>
            </a:graphic>
          </wp:anchor>
        </w:drawing>
      </w:r>
    </w:p>
    <w:p>
      <w:pPr>
        <w:spacing w:after="0" w:line="15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3"/>
          <w:szCs w:val="13"/>
          <w:b w:val="1"/>
          <w:bCs w:val="1"/>
          <w:color w:val="00244F"/>
        </w:rPr>
        <w:t>68</w:t>
        <w:tab/>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42480" cy="762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73" w:name="page74"/>
    <w:bookmarkEnd w:id="73"/>
    <w:p>
      <w:pPr>
        <w:spacing w:after="0"/>
        <w:rPr>
          <w:sz w:val="20"/>
          <w:szCs w:val="20"/>
          <w:color w:val="auto"/>
        </w:rPr>
      </w:pPr>
      <w:r>
        <w:rPr>
          <w:rFonts w:ascii="Arial" w:cs="Arial" w:eastAsia="Arial" w:hAnsi="Arial"/>
          <w:sz w:val="17"/>
          <w:szCs w:val="17"/>
          <w:u w:val="single" w:color="auto"/>
          <w:color w:val="0000EE"/>
        </w:rPr>
        <w:t>Table of Contents</w:t>
      </w:r>
    </w:p>
    <w:p>
      <w:pPr>
        <w:spacing w:after="0" w:line="201" w:lineRule="exact"/>
        <w:rPr>
          <w:sz w:val="20"/>
          <w:szCs w:val="20"/>
          <w:color w:val="auto"/>
        </w:rPr>
      </w:pPr>
    </w:p>
    <w:p>
      <w:pPr>
        <w:ind w:left="300" w:right="140" w:hanging="300"/>
        <w:spacing w:after="0" w:line="281" w:lineRule="auto"/>
        <w:tabs>
          <w:tab w:leader="none" w:pos="300" w:val="left"/>
        </w:tabs>
        <w:numPr>
          <w:ilvl w:val="0"/>
          <w:numId w:val="111"/>
        </w:numPr>
        <w:rPr>
          <w:rFonts w:ascii="Arial" w:cs="Arial" w:eastAsia="Arial" w:hAnsi="Arial"/>
          <w:sz w:val="12"/>
          <w:szCs w:val="12"/>
          <w:color w:val="auto"/>
        </w:rPr>
      </w:pPr>
      <w:r>
        <w:rPr>
          <w:rFonts w:ascii="Arial" w:cs="Arial" w:eastAsia="Arial" w:hAnsi="Arial"/>
          <w:sz w:val="13"/>
          <w:szCs w:val="13"/>
          <w:color w:val="auto"/>
        </w:rPr>
        <w:t>The number of shares actually acquired was less than the number presented in the tables above as a result of tendering shares for payment of the exercise price and the withholding of shares to pay taxes. The total net shares received by each NEO listed in the table is as follows:</w:t>
      </w:r>
    </w:p>
    <w:p>
      <w:pPr>
        <w:spacing w:after="0" w:line="152" w:lineRule="exact"/>
        <w:rPr>
          <w:sz w:val="20"/>
          <w:szCs w:val="20"/>
          <w:color w:val="auto"/>
        </w:rPr>
      </w:pPr>
    </w:p>
    <w:tbl>
      <w:tblPr>
        <w:tblLayout w:type="fixed"/>
        <w:tblInd w:w="300" w:type="dxa"/>
        <w:tblCellMar>
          <w:top w:w="0" w:type="dxa"/>
          <w:left w:w="0" w:type="dxa"/>
          <w:bottom w:w="0" w:type="dxa"/>
          <w:right w:w="0" w:type="dxa"/>
        </w:tblCellMar>
      </w:tblPr>
      <w:tr>
        <w:trPr>
          <w:trHeight w:val="138"/>
        </w:trPr>
        <w:tc>
          <w:tcPr>
            <w:tcW w:w="74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2"/>
                <w:szCs w:val="12"/>
                <w:b w:val="1"/>
                <w:bCs w:val="1"/>
                <w:color w:val="auto"/>
              </w:rPr>
              <w:t>NAME</w:t>
            </w:r>
          </w:p>
        </w:tc>
        <w:tc>
          <w:tcPr>
            <w:tcW w:w="18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b w:val="1"/>
                <w:bCs w:val="1"/>
                <w:color w:val="auto"/>
              </w:rPr>
              <w:t>NET SHARES ACQUIRED</w:t>
            </w:r>
          </w:p>
        </w:tc>
        <w:tc>
          <w:tcPr>
            <w:tcW w:w="1680" w:type="dxa"/>
            <w:vAlign w:val="bottom"/>
          </w:tcPr>
          <w:p>
            <w:pPr>
              <w:jc w:val="right"/>
              <w:spacing w:after="0"/>
              <w:rPr>
                <w:sz w:val="20"/>
                <w:szCs w:val="20"/>
                <w:color w:val="auto"/>
              </w:rPr>
            </w:pPr>
            <w:r>
              <w:rPr>
                <w:rFonts w:ascii="Arial" w:cs="Arial" w:eastAsia="Arial" w:hAnsi="Arial"/>
                <w:sz w:val="12"/>
                <w:szCs w:val="12"/>
                <w:b w:val="1"/>
                <w:bCs w:val="1"/>
                <w:color w:val="auto"/>
              </w:rPr>
              <w:t>NET SHARES ACQUIRED</w:t>
            </w:r>
          </w:p>
        </w:tc>
        <w:tc>
          <w:tcPr>
            <w:tcW w:w="0" w:type="dxa"/>
            <w:vAlign w:val="bottom"/>
          </w:tcPr>
          <w:p>
            <w:pPr>
              <w:spacing w:after="0"/>
              <w:rPr>
                <w:sz w:val="1"/>
                <w:szCs w:val="1"/>
                <w:color w:val="auto"/>
              </w:rPr>
            </w:pPr>
          </w:p>
        </w:tc>
      </w:tr>
      <w:tr>
        <w:trPr>
          <w:trHeight w:val="164"/>
        </w:trPr>
        <w:tc>
          <w:tcPr>
            <w:tcW w:w="7440" w:type="dxa"/>
            <w:vAlign w:val="bottom"/>
            <w:tcBorders>
              <w:right w:val="single" w:sz="8" w:color="auto"/>
            </w:tcBorders>
            <w:gridSpan w:val="2"/>
            <w:vMerge w:val="continue"/>
          </w:tcPr>
          <w:p>
            <w:pPr>
              <w:spacing w:after="0"/>
              <w:rPr>
                <w:sz w:val="14"/>
                <w:szCs w:val="14"/>
                <w:color w:val="auto"/>
              </w:rPr>
            </w:pPr>
          </w:p>
        </w:tc>
        <w:tc>
          <w:tcPr>
            <w:tcW w:w="18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b w:val="1"/>
                <w:bCs w:val="1"/>
                <w:color w:val="auto"/>
              </w:rPr>
              <w:t>ON EXERCISE</w:t>
            </w:r>
          </w:p>
        </w:tc>
        <w:tc>
          <w:tcPr>
            <w:tcW w:w="1680" w:type="dxa"/>
            <w:vAlign w:val="bottom"/>
          </w:tcPr>
          <w:p>
            <w:pPr>
              <w:jc w:val="right"/>
              <w:spacing w:after="0"/>
              <w:rPr>
                <w:sz w:val="20"/>
                <w:szCs w:val="20"/>
                <w:color w:val="auto"/>
              </w:rPr>
            </w:pPr>
            <w:r>
              <w:rPr>
                <w:rFonts w:ascii="Arial" w:cs="Arial" w:eastAsia="Arial" w:hAnsi="Arial"/>
                <w:sz w:val="12"/>
                <w:szCs w:val="12"/>
                <w:b w:val="1"/>
                <w:bCs w:val="1"/>
                <w:color w:val="auto"/>
              </w:rPr>
              <w:t>ON VESTING</w:t>
            </w:r>
          </w:p>
        </w:tc>
        <w:tc>
          <w:tcPr>
            <w:tcW w:w="0" w:type="dxa"/>
            <w:vAlign w:val="bottom"/>
          </w:tcPr>
          <w:p>
            <w:pPr>
              <w:spacing w:after="0"/>
              <w:rPr>
                <w:sz w:val="1"/>
                <w:szCs w:val="1"/>
                <w:color w:val="auto"/>
              </w:rPr>
            </w:pPr>
          </w:p>
        </w:tc>
      </w:tr>
      <w:tr>
        <w:trPr>
          <w:trHeight w:val="146"/>
        </w:trPr>
        <w:tc>
          <w:tcPr>
            <w:tcW w:w="7280" w:type="dxa"/>
            <w:vAlign w:val="bottom"/>
            <w:tcBorders>
              <w:top w:val="single" w:sz="8" w:color="auto"/>
              <w:bottom w:val="single" w:sz="8" w:color="auto"/>
            </w:tcBorders>
          </w:tcPr>
          <w:p>
            <w:pPr>
              <w:ind w:left="60"/>
              <w:spacing w:after="0" w:line="147" w:lineRule="exact"/>
              <w:rPr>
                <w:sz w:val="20"/>
                <w:szCs w:val="20"/>
                <w:color w:val="auto"/>
              </w:rPr>
            </w:pPr>
            <w:r>
              <w:rPr>
                <w:rFonts w:ascii="Arial" w:cs="Arial" w:eastAsia="Arial" w:hAnsi="Arial"/>
                <w:sz w:val="13"/>
                <w:szCs w:val="13"/>
                <w:b w:val="1"/>
                <w:bCs w:val="1"/>
                <w:color w:val="00254F"/>
              </w:rPr>
              <w:t>Robert W. Sharps</w:t>
            </w:r>
          </w:p>
        </w:tc>
        <w:tc>
          <w:tcPr>
            <w:tcW w:w="160" w:type="dxa"/>
            <w:vAlign w:val="bottom"/>
            <w:tcBorders>
              <w:bottom w:val="single" w:sz="8" w:color="E7E7E8"/>
            </w:tcBorders>
          </w:tcPr>
          <w:p>
            <w:pPr>
              <w:spacing w:after="0"/>
              <w:rPr>
                <w:sz w:val="12"/>
                <w:szCs w:val="12"/>
                <w:color w:val="auto"/>
              </w:rPr>
            </w:pPr>
          </w:p>
        </w:tc>
        <w:tc>
          <w:tcPr>
            <w:tcW w:w="1640" w:type="dxa"/>
            <w:vAlign w:val="bottom"/>
            <w:tcBorders>
              <w:top w:val="single" w:sz="8" w:color="auto"/>
              <w:bottom w:val="single" w:sz="8" w:color="auto"/>
            </w:tcBorders>
          </w:tcPr>
          <w:p>
            <w:pPr>
              <w:jc w:val="right"/>
              <w:spacing w:after="0" w:line="147" w:lineRule="exact"/>
              <w:rPr>
                <w:sz w:val="20"/>
                <w:szCs w:val="20"/>
                <w:color w:val="auto"/>
              </w:rPr>
            </w:pPr>
            <w:r>
              <w:rPr>
                <w:rFonts w:ascii="Arial" w:cs="Arial" w:eastAsia="Arial" w:hAnsi="Arial"/>
                <w:sz w:val="13"/>
                <w:szCs w:val="13"/>
                <w:color w:val="auto"/>
              </w:rPr>
              <w:t>1,091</w:t>
            </w:r>
          </w:p>
        </w:tc>
        <w:tc>
          <w:tcPr>
            <w:tcW w:w="160" w:type="dxa"/>
            <w:vAlign w:val="bottom"/>
            <w:tcBorders>
              <w:bottom w:val="single" w:sz="8" w:color="E7E7E8"/>
            </w:tcBorders>
          </w:tcPr>
          <w:p>
            <w:pPr>
              <w:spacing w:after="0"/>
              <w:rPr>
                <w:sz w:val="12"/>
                <w:szCs w:val="12"/>
                <w:color w:val="auto"/>
              </w:rPr>
            </w:pPr>
          </w:p>
        </w:tc>
        <w:tc>
          <w:tcPr>
            <w:tcW w:w="1680" w:type="dxa"/>
            <w:vAlign w:val="bottom"/>
            <w:tcBorders>
              <w:top w:val="single" w:sz="8" w:color="auto"/>
              <w:bottom w:val="single" w:sz="8" w:color="auto"/>
            </w:tcBorders>
          </w:tcPr>
          <w:p>
            <w:pPr>
              <w:jc w:val="right"/>
              <w:spacing w:after="0" w:line="147" w:lineRule="exact"/>
              <w:rPr>
                <w:sz w:val="20"/>
                <w:szCs w:val="20"/>
                <w:color w:val="auto"/>
              </w:rPr>
            </w:pPr>
            <w:r>
              <w:rPr>
                <w:rFonts w:ascii="Arial" w:cs="Arial" w:eastAsia="Arial" w:hAnsi="Arial"/>
                <w:sz w:val="13"/>
                <w:szCs w:val="13"/>
                <w:color w:val="auto"/>
              </w:rPr>
              <w:t>22,848</w:t>
            </w:r>
          </w:p>
        </w:tc>
        <w:tc>
          <w:tcPr>
            <w:tcW w:w="0" w:type="dxa"/>
            <w:vAlign w:val="bottom"/>
          </w:tcPr>
          <w:p>
            <w:pPr>
              <w:spacing w:after="0"/>
              <w:rPr>
                <w:sz w:val="1"/>
                <w:szCs w:val="1"/>
                <w:color w:val="auto"/>
              </w:rPr>
            </w:pPr>
          </w:p>
        </w:tc>
      </w:tr>
      <w:tr>
        <w:trPr>
          <w:trHeight w:val="142"/>
        </w:trPr>
        <w:tc>
          <w:tcPr>
            <w:tcW w:w="7280" w:type="dxa"/>
            <w:vAlign w:val="bottom"/>
            <w:tcBorders>
              <w:bottom w:val="single" w:sz="8" w:color="auto"/>
            </w:tcBorders>
            <w:shd w:val="clear" w:color="auto" w:fill="E7E7E8"/>
          </w:tcPr>
          <w:p>
            <w:pPr>
              <w:ind w:left="60"/>
              <w:spacing w:after="0" w:line="143" w:lineRule="exact"/>
              <w:rPr>
                <w:sz w:val="20"/>
                <w:szCs w:val="20"/>
                <w:color w:val="auto"/>
              </w:rPr>
            </w:pPr>
            <w:r>
              <w:rPr>
                <w:rFonts w:ascii="Arial" w:cs="Arial" w:eastAsia="Arial" w:hAnsi="Arial"/>
                <w:sz w:val="13"/>
                <w:szCs w:val="13"/>
                <w:b w:val="1"/>
                <w:bCs w:val="1"/>
                <w:color w:val="00254F"/>
              </w:rPr>
              <w:t>Jennifer B. Dardis</w:t>
            </w:r>
          </w:p>
        </w:tc>
        <w:tc>
          <w:tcPr>
            <w:tcW w:w="160" w:type="dxa"/>
            <w:vAlign w:val="bottom"/>
            <w:tcBorders>
              <w:right w:val="single" w:sz="8" w:color="E7E7E8"/>
            </w:tcBorders>
            <w:shd w:val="clear" w:color="auto" w:fill="E7E7E8"/>
          </w:tcPr>
          <w:p>
            <w:pPr>
              <w:spacing w:after="0"/>
              <w:rPr>
                <w:sz w:val="12"/>
                <w:szCs w:val="12"/>
                <w:color w:val="auto"/>
              </w:rPr>
            </w:pPr>
          </w:p>
        </w:tc>
        <w:tc>
          <w:tcPr>
            <w:tcW w:w="1640" w:type="dxa"/>
            <w:vAlign w:val="bottom"/>
            <w:tcBorders>
              <w:bottom w:val="single" w:sz="8" w:color="auto"/>
            </w:tcBorders>
            <w:shd w:val="clear" w:color="auto" w:fill="E7E7E8"/>
          </w:tcPr>
          <w:p>
            <w:pPr>
              <w:jc w:val="right"/>
              <w:spacing w:after="0" w:line="143" w:lineRule="exact"/>
              <w:rPr>
                <w:sz w:val="20"/>
                <w:szCs w:val="20"/>
                <w:color w:val="auto"/>
              </w:rPr>
            </w:pPr>
            <w:r>
              <w:rPr>
                <w:rFonts w:ascii="Arial" w:cs="Arial" w:eastAsia="Arial" w:hAnsi="Arial"/>
                <w:sz w:val="13"/>
                <w:szCs w:val="13"/>
                <w:color w:val="auto"/>
              </w:rPr>
              <w:t>—</w:t>
            </w:r>
          </w:p>
        </w:tc>
        <w:tc>
          <w:tcPr>
            <w:tcW w:w="160" w:type="dxa"/>
            <w:vAlign w:val="bottom"/>
            <w:tcBorders>
              <w:right w:val="single" w:sz="8" w:color="E7E7E8"/>
            </w:tcBorders>
            <w:shd w:val="clear" w:color="auto" w:fill="E7E7E8"/>
          </w:tcPr>
          <w:p>
            <w:pPr>
              <w:spacing w:after="0"/>
              <w:rPr>
                <w:sz w:val="12"/>
                <w:szCs w:val="12"/>
                <w:color w:val="auto"/>
              </w:rPr>
            </w:pPr>
          </w:p>
        </w:tc>
        <w:tc>
          <w:tcPr>
            <w:tcW w:w="1680" w:type="dxa"/>
            <w:vAlign w:val="bottom"/>
            <w:tcBorders>
              <w:bottom w:val="single" w:sz="8" w:color="auto"/>
            </w:tcBorders>
            <w:shd w:val="clear" w:color="auto" w:fill="E7E7E8"/>
          </w:tcPr>
          <w:p>
            <w:pPr>
              <w:jc w:val="right"/>
              <w:spacing w:after="0" w:line="143" w:lineRule="exact"/>
              <w:rPr>
                <w:sz w:val="20"/>
                <w:szCs w:val="20"/>
                <w:color w:val="auto"/>
              </w:rPr>
            </w:pPr>
            <w:r>
              <w:rPr>
                <w:rFonts w:ascii="Arial" w:cs="Arial" w:eastAsia="Arial" w:hAnsi="Arial"/>
                <w:sz w:val="13"/>
                <w:szCs w:val="13"/>
                <w:color w:val="auto"/>
              </w:rPr>
              <w:t>2,524</w:t>
            </w:r>
          </w:p>
        </w:tc>
        <w:tc>
          <w:tcPr>
            <w:tcW w:w="0" w:type="dxa"/>
            <w:vAlign w:val="bottom"/>
          </w:tcPr>
          <w:p>
            <w:pPr>
              <w:spacing w:after="0"/>
              <w:rPr>
                <w:sz w:val="1"/>
                <w:szCs w:val="1"/>
                <w:color w:val="auto"/>
              </w:rPr>
            </w:pPr>
          </w:p>
        </w:tc>
      </w:tr>
      <w:tr>
        <w:trPr>
          <w:trHeight w:val="142"/>
        </w:trPr>
        <w:tc>
          <w:tcPr>
            <w:tcW w:w="7280" w:type="dxa"/>
            <w:vAlign w:val="bottom"/>
            <w:tcBorders>
              <w:bottom w:val="single" w:sz="8" w:color="auto"/>
            </w:tcBorders>
          </w:tcPr>
          <w:p>
            <w:pPr>
              <w:ind w:left="60"/>
              <w:spacing w:after="0" w:line="143" w:lineRule="exact"/>
              <w:rPr>
                <w:sz w:val="20"/>
                <w:szCs w:val="20"/>
                <w:color w:val="auto"/>
              </w:rPr>
            </w:pPr>
            <w:r>
              <w:rPr>
                <w:rFonts w:ascii="Arial" w:cs="Arial" w:eastAsia="Arial" w:hAnsi="Arial"/>
                <w:sz w:val="13"/>
                <w:szCs w:val="13"/>
                <w:b w:val="1"/>
                <w:bCs w:val="1"/>
                <w:color w:val="00254F"/>
              </w:rPr>
              <w:t>Justin Thomson</w:t>
            </w:r>
          </w:p>
        </w:tc>
        <w:tc>
          <w:tcPr>
            <w:tcW w:w="160" w:type="dxa"/>
            <w:vAlign w:val="bottom"/>
            <w:tcBorders>
              <w:bottom w:val="single" w:sz="8" w:color="E7E7E8"/>
            </w:tcBorders>
          </w:tcPr>
          <w:p>
            <w:pPr>
              <w:spacing w:after="0"/>
              <w:rPr>
                <w:sz w:val="12"/>
                <w:szCs w:val="12"/>
                <w:color w:val="auto"/>
              </w:rPr>
            </w:pPr>
          </w:p>
        </w:tc>
        <w:tc>
          <w:tcPr>
            <w:tcW w:w="1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35,907</w:t>
            </w:r>
          </w:p>
        </w:tc>
        <w:tc>
          <w:tcPr>
            <w:tcW w:w="160" w:type="dxa"/>
            <w:vAlign w:val="bottom"/>
            <w:tcBorders>
              <w:bottom w:val="single" w:sz="8" w:color="E7E7E8"/>
            </w:tcBorders>
          </w:tcPr>
          <w:p>
            <w:pPr>
              <w:spacing w:after="0"/>
              <w:rPr>
                <w:sz w:val="12"/>
                <w:szCs w:val="12"/>
                <w:color w:val="auto"/>
              </w:rPr>
            </w:pPr>
          </w:p>
        </w:tc>
        <w:tc>
          <w:tcPr>
            <w:tcW w:w="1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12,278</w:t>
            </w:r>
          </w:p>
        </w:tc>
        <w:tc>
          <w:tcPr>
            <w:tcW w:w="0" w:type="dxa"/>
            <w:vAlign w:val="bottom"/>
          </w:tcPr>
          <w:p>
            <w:pPr>
              <w:spacing w:after="0"/>
              <w:rPr>
                <w:sz w:val="1"/>
                <w:szCs w:val="1"/>
                <w:color w:val="auto"/>
              </w:rPr>
            </w:pPr>
          </w:p>
        </w:tc>
      </w:tr>
      <w:tr>
        <w:trPr>
          <w:trHeight w:val="142"/>
        </w:trPr>
        <w:tc>
          <w:tcPr>
            <w:tcW w:w="7280" w:type="dxa"/>
            <w:vAlign w:val="bottom"/>
            <w:tcBorders>
              <w:bottom w:val="single" w:sz="8" w:color="auto"/>
            </w:tcBorders>
            <w:shd w:val="clear" w:color="auto" w:fill="E7E7E8"/>
          </w:tcPr>
          <w:p>
            <w:pPr>
              <w:ind w:left="60"/>
              <w:spacing w:after="0" w:line="143" w:lineRule="exact"/>
              <w:rPr>
                <w:sz w:val="20"/>
                <w:szCs w:val="20"/>
                <w:color w:val="auto"/>
              </w:rPr>
            </w:pPr>
            <w:r>
              <w:rPr>
                <w:rFonts w:ascii="Arial" w:cs="Arial" w:eastAsia="Arial" w:hAnsi="Arial"/>
                <w:sz w:val="13"/>
                <w:szCs w:val="13"/>
                <w:b w:val="1"/>
                <w:bCs w:val="1"/>
                <w:color w:val="00254F"/>
              </w:rPr>
              <w:t>Eric L. Veiel</w:t>
            </w:r>
          </w:p>
        </w:tc>
        <w:tc>
          <w:tcPr>
            <w:tcW w:w="160" w:type="dxa"/>
            <w:vAlign w:val="bottom"/>
            <w:tcBorders>
              <w:right w:val="single" w:sz="8" w:color="E7E7E8"/>
            </w:tcBorders>
            <w:shd w:val="clear" w:color="auto" w:fill="E7E7E8"/>
          </w:tcPr>
          <w:p>
            <w:pPr>
              <w:spacing w:after="0"/>
              <w:rPr>
                <w:sz w:val="12"/>
                <w:szCs w:val="12"/>
                <w:color w:val="auto"/>
              </w:rPr>
            </w:pPr>
          </w:p>
        </w:tc>
        <w:tc>
          <w:tcPr>
            <w:tcW w:w="1640" w:type="dxa"/>
            <w:vAlign w:val="bottom"/>
            <w:tcBorders>
              <w:bottom w:val="single" w:sz="8" w:color="auto"/>
            </w:tcBorders>
            <w:shd w:val="clear" w:color="auto" w:fill="E7E7E8"/>
          </w:tcPr>
          <w:p>
            <w:pPr>
              <w:jc w:val="right"/>
              <w:spacing w:after="0" w:line="143" w:lineRule="exact"/>
              <w:rPr>
                <w:sz w:val="20"/>
                <w:szCs w:val="20"/>
                <w:color w:val="auto"/>
              </w:rPr>
            </w:pPr>
            <w:r>
              <w:rPr>
                <w:rFonts w:ascii="Arial" w:cs="Arial" w:eastAsia="Arial" w:hAnsi="Arial"/>
                <w:sz w:val="13"/>
                <w:szCs w:val="13"/>
                <w:color w:val="auto"/>
              </w:rPr>
              <w:t>—</w:t>
            </w:r>
          </w:p>
        </w:tc>
        <w:tc>
          <w:tcPr>
            <w:tcW w:w="160" w:type="dxa"/>
            <w:vAlign w:val="bottom"/>
            <w:tcBorders>
              <w:right w:val="single" w:sz="8" w:color="E7E7E8"/>
            </w:tcBorders>
            <w:shd w:val="clear" w:color="auto" w:fill="E7E7E8"/>
          </w:tcPr>
          <w:p>
            <w:pPr>
              <w:spacing w:after="0"/>
              <w:rPr>
                <w:sz w:val="12"/>
                <w:szCs w:val="12"/>
                <w:color w:val="auto"/>
              </w:rPr>
            </w:pPr>
          </w:p>
        </w:tc>
        <w:tc>
          <w:tcPr>
            <w:tcW w:w="1680" w:type="dxa"/>
            <w:vAlign w:val="bottom"/>
            <w:tcBorders>
              <w:bottom w:val="single" w:sz="8" w:color="auto"/>
            </w:tcBorders>
            <w:shd w:val="clear" w:color="auto" w:fill="E7E7E8"/>
          </w:tcPr>
          <w:p>
            <w:pPr>
              <w:jc w:val="right"/>
              <w:spacing w:after="0" w:line="143" w:lineRule="exact"/>
              <w:rPr>
                <w:sz w:val="20"/>
                <w:szCs w:val="20"/>
                <w:color w:val="auto"/>
              </w:rPr>
            </w:pPr>
            <w:r>
              <w:rPr>
                <w:rFonts w:ascii="Arial" w:cs="Arial" w:eastAsia="Arial" w:hAnsi="Arial"/>
                <w:sz w:val="13"/>
                <w:szCs w:val="13"/>
                <w:color w:val="auto"/>
              </w:rPr>
              <w:t>12,580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4817110</wp:posOffset>
            </wp:positionH>
            <wp:positionV relativeFrom="paragraph">
              <wp:posOffset>-316865</wp:posOffset>
            </wp:positionV>
            <wp:extent cx="86995" cy="10287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6995" cy="102870"/>
                    </a:xfrm>
                    <a:prstGeom prst="rect">
                      <a:avLst/>
                    </a:prstGeom>
                    <a:noFill/>
                  </pic:spPr>
                </pic:pic>
              </a:graphicData>
            </a:graphic>
          </wp:anchor>
        </w:drawing>
        <w:drawing>
          <wp:anchor simplePos="0" relativeHeight="251657728" behindDoc="1" locked="0" layoutInCell="0" allowOverlap="1">
            <wp:simplePos x="0" y="0"/>
            <wp:positionH relativeFrom="column">
              <wp:posOffset>5960110</wp:posOffset>
            </wp:positionH>
            <wp:positionV relativeFrom="paragraph">
              <wp:posOffset>-316865</wp:posOffset>
            </wp:positionV>
            <wp:extent cx="86995" cy="10287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6995" cy="102870"/>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-110490</wp:posOffset>
            </wp:positionV>
            <wp:extent cx="86995" cy="10287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6995" cy="102870"/>
                    </a:xfrm>
                    <a:prstGeom prst="rect">
                      <a:avLst/>
                    </a:prstGeom>
                    <a:noFill/>
                  </pic:spPr>
                </pic:pic>
              </a:graphicData>
            </a:graphic>
          </wp:anchor>
        </w:drawing>
        <w:drawing>
          <wp:anchor simplePos="0" relativeHeight="251657728" behindDoc="1" locked="0" layoutInCell="0" allowOverlap="1">
            <wp:simplePos x="0" y="0"/>
            <wp:positionH relativeFrom="column">
              <wp:posOffset>5960110</wp:posOffset>
            </wp:positionH>
            <wp:positionV relativeFrom="paragraph">
              <wp:posOffset>-110490</wp:posOffset>
            </wp:positionV>
            <wp:extent cx="86995" cy="10287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6995" cy="102870"/>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254F"/>
        </w:rPr>
        <w:t>2023 Nonqualified Deferred Compensation Table</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The amounts in the following table represent each NEO's account activity under the Supplemental Savings Plan, which was effective on January 1, 2015.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46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rPr>
              <w:t>EXECUTIVE’S</w:t>
            </w:r>
          </w:p>
        </w:tc>
        <w:tc>
          <w:tcPr>
            <w:tcW w:w="160" w:type="dxa"/>
            <w:vAlign w:val="bottom"/>
            <w:tcBorders>
              <w:right w:val="single" w:sz="8" w:color="auto"/>
            </w:tcBorders>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2"/>
                <w:szCs w:val="12"/>
                <w:b w:val="1"/>
                <w:bCs w:val="1"/>
                <w:color w:val="auto"/>
              </w:rPr>
              <w:t>REGISTRANTS</w:t>
            </w:r>
          </w:p>
        </w:tc>
        <w:tc>
          <w:tcPr>
            <w:tcW w:w="160" w:type="dxa"/>
            <w:vAlign w:val="bottom"/>
            <w:tcBorders>
              <w:right w:val="single" w:sz="8" w:color="auto"/>
            </w:tcBorders>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b w:val="1"/>
                <w:bCs w:val="1"/>
                <w:color w:val="auto"/>
              </w:rPr>
              <w:t>AGGREGATE</w:t>
            </w:r>
          </w:p>
        </w:tc>
        <w:tc>
          <w:tcPr>
            <w:tcW w:w="180" w:type="dxa"/>
            <w:vAlign w:val="bottom"/>
            <w:tcBorders>
              <w:right w:val="single" w:sz="8" w:color="auto"/>
            </w:tcBorders>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2"/>
                <w:szCs w:val="12"/>
                <w:b w:val="1"/>
                <w:bCs w:val="1"/>
                <w:color w:val="auto"/>
              </w:rPr>
              <w:t>AGGREGATE</w:t>
            </w:r>
          </w:p>
        </w:tc>
        <w:tc>
          <w:tcPr>
            <w:tcW w:w="160" w:type="dxa"/>
            <w:vAlign w:val="bottom"/>
            <w:tcBorders>
              <w:right w:val="single" w:sz="8" w:color="auto"/>
            </w:tcBorders>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b w:val="1"/>
                <w:bCs w:val="1"/>
                <w:color w:val="auto"/>
              </w:rPr>
              <w:t>AGGREGATE</w:t>
            </w:r>
          </w:p>
        </w:tc>
      </w:tr>
      <w:tr>
        <w:trPr>
          <w:trHeight w:val="132"/>
        </w:trPr>
        <w:tc>
          <w:tcPr>
            <w:tcW w:w="446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180" w:type="dxa"/>
            <w:vAlign w:val="bottom"/>
            <w:gridSpan w:val="2"/>
          </w:tcPr>
          <w:p>
            <w:pPr>
              <w:jc w:val="right"/>
              <w:spacing w:after="0" w:line="132" w:lineRule="exact"/>
              <w:rPr>
                <w:sz w:val="20"/>
                <w:szCs w:val="20"/>
                <w:color w:val="auto"/>
              </w:rPr>
            </w:pPr>
            <w:r>
              <w:rPr>
                <w:rFonts w:ascii="Arial" w:cs="Arial" w:eastAsia="Arial" w:hAnsi="Arial"/>
                <w:sz w:val="12"/>
                <w:szCs w:val="12"/>
                <w:b w:val="1"/>
                <w:bCs w:val="1"/>
                <w:color w:val="auto"/>
              </w:rPr>
              <w:t>CONTRIBUTIONS</w:t>
            </w:r>
          </w:p>
        </w:tc>
        <w:tc>
          <w:tcPr>
            <w:tcW w:w="160" w:type="dxa"/>
            <w:vAlign w:val="bottom"/>
            <w:tcBorders>
              <w:right w:val="single" w:sz="8" w:color="auto"/>
            </w:tcBorders>
          </w:tcPr>
          <w:p>
            <w:pPr>
              <w:spacing w:after="0"/>
              <w:rPr>
                <w:sz w:val="11"/>
                <w:szCs w:val="11"/>
                <w:color w:val="auto"/>
              </w:rPr>
            </w:pPr>
          </w:p>
        </w:tc>
        <w:tc>
          <w:tcPr>
            <w:tcW w:w="1320" w:type="dxa"/>
            <w:vAlign w:val="bottom"/>
          </w:tcPr>
          <w:p>
            <w:pPr>
              <w:jc w:val="right"/>
              <w:spacing w:after="0" w:line="132" w:lineRule="exact"/>
              <w:rPr>
                <w:sz w:val="20"/>
                <w:szCs w:val="20"/>
                <w:color w:val="auto"/>
              </w:rPr>
            </w:pPr>
            <w:r>
              <w:rPr>
                <w:rFonts w:ascii="Arial" w:cs="Arial" w:eastAsia="Arial" w:hAnsi="Arial"/>
                <w:sz w:val="12"/>
                <w:szCs w:val="12"/>
                <w:b w:val="1"/>
                <w:bCs w:val="1"/>
                <w:color w:val="auto"/>
              </w:rPr>
              <w:t>CONTRIBUTIONS</w:t>
            </w:r>
          </w:p>
        </w:tc>
        <w:tc>
          <w:tcPr>
            <w:tcW w:w="160" w:type="dxa"/>
            <w:vAlign w:val="bottom"/>
            <w:tcBorders>
              <w:right w:val="single" w:sz="8" w:color="auto"/>
            </w:tcBorders>
          </w:tcPr>
          <w:p>
            <w:pPr>
              <w:spacing w:after="0"/>
              <w:rPr>
                <w:sz w:val="11"/>
                <w:szCs w:val="11"/>
                <w:color w:val="auto"/>
              </w:rPr>
            </w:pPr>
          </w:p>
        </w:tc>
        <w:tc>
          <w:tcPr>
            <w:tcW w:w="860" w:type="dxa"/>
            <w:vAlign w:val="bottom"/>
          </w:tcPr>
          <w:p>
            <w:pPr>
              <w:jc w:val="right"/>
              <w:spacing w:after="0" w:line="132" w:lineRule="exact"/>
              <w:rPr>
                <w:sz w:val="20"/>
                <w:szCs w:val="20"/>
                <w:color w:val="auto"/>
              </w:rPr>
            </w:pPr>
            <w:r>
              <w:rPr>
                <w:rFonts w:ascii="Arial" w:cs="Arial" w:eastAsia="Arial" w:hAnsi="Arial"/>
                <w:sz w:val="12"/>
                <w:szCs w:val="12"/>
                <w:b w:val="1"/>
                <w:bCs w:val="1"/>
                <w:color w:val="auto"/>
              </w:rPr>
              <w:t>EARNINGS IN</w:t>
            </w:r>
          </w:p>
        </w:tc>
        <w:tc>
          <w:tcPr>
            <w:tcW w:w="180" w:type="dxa"/>
            <w:vAlign w:val="bottom"/>
            <w:tcBorders>
              <w:right w:val="single" w:sz="8" w:color="auto"/>
            </w:tcBorders>
          </w:tcPr>
          <w:p>
            <w:pPr>
              <w:spacing w:after="0"/>
              <w:rPr>
                <w:sz w:val="11"/>
                <w:szCs w:val="11"/>
                <w:color w:val="auto"/>
              </w:rPr>
            </w:pPr>
          </w:p>
        </w:tc>
        <w:tc>
          <w:tcPr>
            <w:tcW w:w="1320" w:type="dxa"/>
            <w:vAlign w:val="bottom"/>
          </w:tcPr>
          <w:p>
            <w:pPr>
              <w:jc w:val="right"/>
              <w:spacing w:after="0" w:line="132" w:lineRule="exact"/>
              <w:rPr>
                <w:sz w:val="20"/>
                <w:szCs w:val="20"/>
                <w:color w:val="auto"/>
              </w:rPr>
            </w:pPr>
            <w:r>
              <w:rPr>
                <w:rFonts w:ascii="Arial" w:cs="Arial" w:eastAsia="Arial" w:hAnsi="Arial"/>
                <w:sz w:val="12"/>
                <w:szCs w:val="12"/>
                <w:b w:val="1"/>
                <w:bCs w:val="1"/>
                <w:color w:val="auto"/>
              </w:rPr>
              <w:t>WITHDRAWALS/</w:t>
            </w:r>
          </w:p>
        </w:tc>
        <w:tc>
          <w:tcPr>
            <w:tcW w:w="160" w:type="dxa"/>
            <w:vAlign w:val="bottom"/>
            <w:tcBorders>
              <w:right w:val="single" w:sz="8" w:color="auto"/>
            </w:tcBorders>
          </w:tcPr>
          <w:p>
            <w:pPr>
              <w:spacing w:after="0"/>
              <w:rPr>
                <w:sz w:val="11"/>
                <w:szCs w:val="11"/>
                <w:color w:val="auto"/>
              </w:rPr>
            </w:pPr>
          </w:p>
        </w:tc>
        <w:tc>
          <w:tcPr>
            <w:tcW w:w="1260" w:type="dxa"/>
            <w:vAlign w:val="bottom"/>
          </w:tcPr>
          <w:p>
            <w:pPr>
              <w:jc w:val="right"/>
              <w:spacing w:after="0" w:line="132" w:lineRule="exact"/>
              <w:rPr>
                <w:sz w:val="20"/>
                <w:szCs w:val="20"/>
                <w:color w:val="auto"/>
              </w:rPr>
            </w:pPr>
            <w:r>
              <w:rPr>
                <w:rFonts w:ascii="Arial" w:cs="Arial" w:eastAsia="Arial" w:hAnsi="Arial"/>
                <w:sz w:val="12"/>
                <w:szCs w:val="12"/>
                <w:b w:val="1"/>
                <w:bCs w:val="1"/>
                <w:color w:val="auto"/>
              </w:rPr>
              <w:t>BALANCE AT</w:t>
            </w:r>
          </w:p>
        </w:tc>
      </w:tr>
      <w:tr>
        <w:trPr>
          <w:trHeight w:val="173"/>
        </w:trPr>
        <w:tc>
          <w:tcPr>
            <w:tcW w:w="446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NAME</w:t>
            </w:r>
          </w:p>
        </w:tc>
        <w:tc>
          <w:tcPr>
            <w:tcW w:w="180" w:type="dxa"/>
            <w:vAlign w:val="bottom"/>
            <w:tcBorders>
              <w:right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spacing w:after="0" w:line="173" w:lineRule="exact"/>
              <w:rPr>
                <w:sz w:val="20"/>
                <w:szCs w:val="20"/>
                <w:color w:val="auto"/>
              </w:rPr>
            </w:pPr>
            <w:r>
              <w:rPr>
                <w:rFonts w:ascii="Arial" w:cs="Arial" w:eastAsia="Arial" w:hAnsi="Arial"/>
                <w:sz w:val="12"/>
                <w:szCs w:val="12"/>
                <w:b w:val="1"/>
                <w:bCs w:val="1"/>
                <w:color w:val="auto"/>
              </w:rPr>
              <w:t>IN LAST FY</w:t>
            </w:r>
            <w:r>
              <w:rPr>
                <w:rFonts w:ascii="Arial" w:cs="Arial" w:eastAsia="Arial" w:hAnsi="Arial"/>
                <w:sz w:val="19"/>
                <w:szCs w:val="19"/>
                <w:b w:val="1"/>
                <w:bCs w:val="1"/>
                <w:color w:val="auto"/>
                <w:vertAlign w:val="superscript"/>
              </w:rPr>
              <w:t>1</w:t>
            </w:r>
          </w:p>
        </w:tc>
        <w:tc>
          <w:tcPr>
            <w:tcW w:w="160" w:type="dxa"/>
            <w:vAlign w:val="bottom"/>
            <w:tcBorders>
              <w:right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IN LAST FY</w:t>
            </w:r>
          </w:p>
        </w:tc>
        <w:tc>
          <w:tcPr>
            <w:tcW w:w="160" w:type="dxa"/>
            <w:vAlign w:val="bottom"/>
            <w:tcBorders>
              <w:right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2"/>
                <w:szCs w:val="12"/>
                <w:b w:val="1"/>
                <w:bCs w:val="1"/>
                <w:color w:val="auto"/>
              </w:rPr>
              <w:t>LAST FY</w:t>
            </w:r>
            <w:r>
              <w:rPr>
                <w:rFonts w:ascii="Arial" w:cs="Arial" w:eastAsia="Arial" w:hAnsi="Arial"/>
                <w:sz w:val="19"/>
                <w:szCs w:val="19"/>
                <w:b w:val="1"/>
                <w:bCs w:val="1"/>
                <w:color w:val="auto"/>
                <w:vertAlign w:val="superscript"/>
              </w:rPr>
              <w:t>2</w:t>
            </w:r>
          </w:p>
        </w:tc>
        <w:tc>
          <w:tcPr>
            <w:tcW w:w="180" w:type="dxa"/>
            <w:vAlign w:val="bottom"/>
            <w:tcBorders>
              <w:right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DISTRIBUTIONS</w:t>
            </w:r>
          </w:p>
        </w:tc>
        <w:tc>
          <w:tcPr>
            <w:tcW w:w="160" w:type="dxa"/>
            <w:vAlign w:val="bottom"/>
            <w:tcBorders>
              <w:right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2"/>
                <w:szCs w:val="12"/>
                <w:b w:val="1"/>
                <w:bCs w:val="1"/>
                <w:color w:val="auto"/>
              </w:rPr>
              <w:t>LAST FYE</w:t>
            </w:r>
            <w:r>
              <w:rPr>
                <w:rFonts w:ascii="Arial" w:cs="Arial" w:eastAsia="Arial" w:hAnsi="Arial"/>
                <w:sz w:val="19"/>
                <w:szCs w:val="19"/>
                <w:b w:val="1"/>
                <w:bCs w:val="1"/>
                <w:color w:val="auto"/>
                <w:vertAlign w:val="superscript"/>
              </w:rPr>
              <w:t>3</w:t>
            </w:r>
          </w:p>
        </w:tc>
      </w:tr>
      <w:tr>
        <w:trPr>
          <w:trHeight w:val="192"/>
        </w:trPr>
        <w:tc>
          <w:tcPr>
            <w:tcW w:w="4460" w:type="dxa"/>
            <w:vAlign w:val="bottom"/>
          </w:tcPr>
          <w:p>
            <w:pPr>
              <w:ind w:left="60"/>
              <w:spacing w:after="0"/>
              <w:rPr>
                <w:sz w:val="20"/>
                <w:szCs w:val="20"/>
                <w:color w:val="auto"/>
              </w:rPr>
            </w:pPr>
            <w:r>
              <w:rPr>
                <w:rFonts w:ascii="Arial" w:cs="Arial" w:eastAsia="Arial" w:hAnsi="Arial"/>
                <w:sz w:val="15"/>
                <w:szCs w:val="15"/>
                <w:b w:val="1"/>
                <w:bCs w:val="1"/>
                <w:color w:val="00254F"/>
              </w:rPr>
              <w:t>Robert W. Sharps</w:t>
            </w:r>
          </w:p>
        </w:tc>
        <w:tc>
          <w:tcPr>
            <w:tcW w:w="640" w:type="dxa"/>
            <w:vAlign w:val="bottom"/>
            <w:gridSpan w:val="2"/>
          </w:tcPr>
          <w:p>
            <w:pPr>
              <w:ind w:left="540"/>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800,000</w:t>
            </w: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 xml:space="preserve"> 4,867,997</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w:t>
            </w:r>
          </w:p>
        </w:tc>
        <w:tc>
          <w:tcPr>
            <w:tcW w:w="1420" w:type="dxa"/>
            <w:vAlign w:val="bottom"/>
            <w:gridSpan w:val="2"/>
          </w:tcPr>
          <w:p>
            <w:pPr>
              <w:jc w:val="right"/>
              <w:spacing w:after="0"/>
              <w:rPr>
                <w:sz w:val="20"/>
                <w:szCs w:val="20"/>
                <w:color w:val="auto"/>
              </w:rPr>
            </w:pPr>
            <w:r>
              <w:rPr>
                <w:rFonts w:ascii="Arial" w:cs="Arial" w:eastAsia="Arial" w:hAnsi="Arial"/>
                <w:sz w:val="15"/>
                <w:szCs w:val="15"/>
                <w:color w:val="auto"/>
              </w:rPr>
              <w:t>$31,967,760</w:t>
            </w:r>
          </w:p>
        </w:tc>
      </w:tr>
      <w:tr>
        <w:trPr>
          <w:trHeight w:val="230"/>
        </w:trPr>
        <w:tc>
          <w:tcPr>
            <w:tcW w:w="4460" w:type="dxa"/>
            <w:vAlign w:val="bottom"/>
            <w:tcBorders>
              <w:top w:val="single" w:sz="8" w:color="auto"/>
              <w:bottom w:val="single" w:sz="8" w:color="auto"/>
            </w:tcBorders>
            <w:shd w:val="clear" w:color="auto" w:fill="EEEFEE"/>
          </w:tcPr>
          <w:p>
            <w:pPr>
              <w:ind w:left="60"/>
              <w:spacing w:after="0" w:line="229" w:lineRule="exact"/>
              <w:rPr>
                <w:sz w:val="20"/>
                <w:szCs w:val="20"/>
                <w:color w:val="auto"/>
              </w:rPr>
            </w:pPr>
            <w:r>
              <w:rPr>
                <w:rFonts w:ascii="Arial" w:cs="Arial" w:eastAsia="Arial" w:hAnsi="Arial"/>
                <w:sz w:val="15"/>
                <w:szCs w:val="15"/>
                <w:b w:val="1"/>
                <w:bCs w:val="1"/>
                <w:color w:val="00254F"/>
              </w:rPr>
              <w:t>Justin Thomson</w:t>
            </w:r>
            <w:r>
              <w:rPr>
                <w:rFonts w:ascii="Arial" w:cs="Arial" w:eastAsia="Arial" w:hAnsi="Arial"/>
                <w:sz w:val="24"/>
                <w:szCs w:val="24"/>
                <w:b w:val="1"/>
                <w:bCs w:val="1"/>
                <w:color w:val="00254F"/>
                <w:vertAlign w:val="superscript"/>
              </w:rPr>
              <w:t>4</w:t>
            </w:r>
          </w:p>
        </w:tc>
        <w:tc>
          <w:tcPr>
            <w:tcW w:w="180" w:type="dxa"/>
            <w:vAlign w:val="bottom"/>
            <w:tcBorders>
              <w:right w:val="single" w:sz="8" w:color="EEEFEE"/>
            </w:tcBorders>
          </w:tcPr>
          <w:p>
            <w:pPr>
              <w:spacing w:after="0"/>
              <w:rPr>
                <w:sz w:val="19"/>
                <w:szCs w:val="19"/>
                <w:color w:val="auto"/>
              </w:rPr>
            </w:pPr>
          </w:p>
        </w:tc>
        <w:tc>
          <w:tcPr>
            <w:tcW w:w="460" w:type="dxa"/>
            <w:vAlign w:val="bottom"/>
            <w:tcBorders>
              <w:top w:val="single" w:sz="8" w:color="auto"/>
              <w:bottom w:val="single" w:sz="8" w:color="auto"/>
            </w:tcBorders>
            <w:shd w:val="clear" w:color="auto" w:fill="EEEFEE"/>
          </w:tcPr>
          <w:p>
            <w:pPr>
              <w:ind w:left="360"/>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w w:val="95"/>
              </w:rPr>
              <w:t>1,709,294</w:t>
            </w:r>
          </w:p>
        </w:tc>
        <w:tc>
          <w:tcPr>
            <w:tcW w:w="160" w:type="dxa"/>
            <w:vAlign w:val="bottom"/>
            <w:tcBorders>
              <w:right w:val="single" w:sz="8" w:color="EEEFEE"/>
            </w:tcBorders>
          </w:tcPr>
          <w:p>
            <w:pPr>
              <w:spacing w:after="0"/>
              <w:rPr>
                <w:sz w:val="19"/>
                <w:szCs w:val="19"/>
                <w:color w:val="auto"/>
              </w:rPr>
            </w:pPr>
          </w:p>
        </w:tc>
        <w:tc>
          <w:tcPr>
            <w:tcW w:w="132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right w:val="single" w:sz="8" w:color="EEEFEE"/>
            </w:tcBorders>
          </w:tcPr>
          <w:p>
            <w:pPr>
              <w:spacing w:after="0"/>
              <w:rPr>
                <w:sz w:val="19"/>
                <w:szCs w:val="19"/>
                <w:color w:val="auto"/>
              </w:rPr>
            </w:pPr>
          </w:p>
        </w:tc>
        <w:tc>
          <w:tcPr>
            <w:tcW w:w="86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5"/>
                <w:szCs w:val="15"/>
                <w:u w:val="single" w:color="auto"/>
                <w:color w:val="auto"/>
                <w:shd w:val="clear" w:color="auto" w:fill="EEEFEE"/>
              </w:rPr>
              <w:t>$</w:t>
            </w:r>
            <w:r>
              <w:rPr>
                <w:rFonts w:ascii="Arial" w:cs="Arial" w:eastAsia="Arial" w:hAnsi="Arial"/>
                <w:sz w:val="15"/>
                <w:szCs w:val="15"/>
                <w:color w:val="auto"/>
                <w:shd w:val="clear" w:color="auto" w:fill="EEEFEE"/>
              </w:rPr>
              <w:t xml:space="preserve"> 1,707,060</w:t>
            </w:r>
          </w:p>
        </w:tc>
        <w:tc>
          <w:tcPr>
            <w:tcW w:w="180" w:type="dxa"/>
            <w:vAlign w:val="bottom"/>
            <w:tcBorders>
              <w:right w:val="single" w:sz="8" w:color="EEEFEE"/>
            </w:tcBorders>
          </w:tcPr>
          <w:p>
            <w:pPr>
              <w:spacing w:after="0"/>
              <w:rPr>
                <w:sz w:val="19"/>
                <w:szCs w:val="19"/>
                <w:color w:val="auto"/>
              </w:rPr>
            </w:pPr>
          </w:p>
        </w:tc>
        <w:tc>
          <w:tcPr>
            <w:tcW w:w="132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right w:val="single" w:sz="8" w:color="EEEFEE"/>
            </w:tcBorders>
          </w:tcPr>
          <w:p>
            <w:pPr>
              <w:spacing w:after="0"/>
              <w:rPr>
                <w:sz w:val="19"/>
                <w:szCs w:val="19"/>
                <w:color w:val="auto"/>
              </w:rPr>
            </w:pPr>
          </w:p>
        </w:tc>
        <w:tc>
          <w:tcPr>
            <w:tcW w:w="126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$27,571,542</w:t>
            </w:r>
          </w:p>
        </w:tc>
      </w:tr>
      <w:tr>
        <w:trPr>
          <w:trHeight w:val="192"/>
        </w:trPr>
        <w:tc>
          <w:tcPr>
            <w:tcW w:w="446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00254F"/>
              </w:rPr>
              <w:t>Eric L. Veiel</w:t>
            </w:r>
          </w:p>
        </w:tc>
        <w:tc>
          <w:tcPr>
            <w:tcW w:w="180" w:type="dxa"/>
            <w:vAlign w:val="bottom"/>
          </w:tcPr>
          <w:p>
            <w:pPr>
              <w:spacing w:after="0"/>
              <w:rPr>
                <w:sz w:val="16"/>
                <w:szCs w:val="16"/>
                <w:color w:val="auto"/>
              </w:rPr>
            </w:pPr>
          </w:p>
        </w:tc>
        <w:tc>
          <w:tcPr>
            <w:tcW w:w="460" w:type="dxa"/>
            <w:vAlign w:val="bottom"/>
            <w:tcBorders>
              <w:bottom w:val="single" w:sz="8" w:color="auto"/>
            </w:tcBorders>
          </w:tcPr>
          <w:p>
            <w:pPr>
              <w:ind w:left="360"/>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1,500,000</w:t>
            </w:r>
          </w:p>
        </w:tc>
        <w:tc>
          <w:tcPr>
            <w:tcW w:w="160" w:type="dxa"/>
            <w:vAlign w:val="bottom"/>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 xml:space="preserve"> 6,279,457</w:t>
            </w:r>
          </w:p>
        </w:tc>
        <w:tc>
          <w:tcPr>
            <w:tcW w:w="180" w:type="dxa"/>
            <w:vAlign w:val="bottom"/>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$40,013,466</w:t>
            </w:r>
          </w:p>
        </w:tc>
      </w:tr>
    </w:tbl>
    <w:p>
      <w:pPr>
        <w:spacing w:after="0" w:line="192" w:lineRule="exact"/>
        <w:rPr>
          <w:sz w:val="20"/>
          <w:szCs w:val="20"/>
          <w:color w:val="auto"/>
        </w:rPr>
      </w:pPr>
    </w:p>
    <w:p>
      <w:pPr>
        <w:ind w:left="300" w:right="40" w:hanging="300"/>
        <w:spacing w:after="0" w:line="224" w:lineRule="auto"/>
        <w:tabs>
          <w:tab w:leader="none" w:pos="300" w:val="left"/>
        </w:tabs>
        <w:numPr>
          <w:ilvl w:val="0"/>
          <w:numId w:val="112"/>
        </w:numPr>
        <w:rPr>
          <w:rFonts w:ascii="Arial" w:cs="Arial" w:eastAsia="Arial" w:hAnsi="Arial"/>
          <w:sz w:val="22"/>
          <w:szCs w:val="22"/>
          <w:color w:val="auto"/>
          <w:vertAlign w:val="superscript"/>
        </w:rPr>
      </w:pPr>
      <w:r>
        <w:rPr>
          <w:rFonts w:ascii="Arial" w:cs="Arial" w:eastAsia="Arial" w:hAnsi="Arial"/>
          <w:sz w:val="13"/>
          <w:szCs w:val="13"/>
          <w:color w:val="auto"/>
        </w:rPr>
        <w:t>These amounts represent a portion of the bonus awarded to each NEO under the 2023 AICP and/or our 2022 AICP a portion of which was paid in 2023, are reported as Non-Equity Incentive Plan Compensation in the Summary Compensation Table. The contributions in the last FY includes $1.1 million for Justin Thomson and $1.5 million for Eric Veiel that were paid as part of the 2023 AICP and reported as Non-Equity Incentive Plan Compensation in the Summary Compensation Table for 2023. All the remaining contribution amounts and the aggregate balance at last FYE were previously reported as compensation in Summary Compensation Table for prior years. Under the Supplemental Savings Plan, beginning in 2021, certain senior officers have the opportunity to defer receipt of up to the lesser of (i) 50% of their cash incentive compensation earned for a respective calendar year during which services are provided or (ii) $2 million. Prior to 2021, these senior officers had the opportunity to defer receipt up to 100% of their cash incentive compensation earned for a respective calendar year during which services were provided. Mr. August was not eligible to participate in the Supplemental Savings Plan for 2023.</w:t>
      </w:r>
    </w:p>
    <w:p>
      <w:pPr>
        <w:spacing w:after="0" w:line="52" w:lineRule="exact"/>
        <w:rPr>
          <w:sz w:val="20"/>
          <w:szCs w:val="20"/>
          <w:color w:val="auto"/>
        </w:rPr>
      </w:pPr>
    </w:p>
    <w:p>
      <w:pPr>
        <w:ind w:left="300" w:right="40" w:hanging="300"/>
        <w:spacing w:after="0" w:line="206" w:lineRule="auto"/>
        <w:tabs>
          <w:tab w:leader="none" w:pos="300" w:val="left"/>
        </w:tabs>
        <w:numPr>
          <w:ilvl w:val="0"/>
          <w:numId w:val="113"/>
        </w:numPr>
        <w:rPr>
          <w:rFonts w:ascii="Arial" w:cs="Arial" w:eastAsia="Arial" w:hAnsi="Arial"/>
          <w:sz w:val="22"/>
          <w:szCs w:val="22"/>
          <w:color w:val="auto"/>
          <w:vertAlign w:val="superscript"/>
        </w:rPr>
      </w:pPr>
      <w:r>
        <w:rPr>
          <w:rFonts w:ascii="Arial" w:cs="Arial" w:eastAsia="Arial" w:hAnsi="Arial"/>
          <w:sz w:val="13"/>
          <w:szCs w:val="13"/>
          <w:color w:val="auto"/>
        </w:rPr>
        <w:t>Each participant has the ability to allocate their account balance across a number of Price funds and the flexibility to rebalance their account as often as they would like. The amounts deferred are adjusted daily based on the investments chosen by the participant and, therefore, are not above market or preferential. As such, the earnings reported in this column are not included in the Summary Compensation Table.</w:t>
      </w:r>
    </w:p>
    <w:p>
      <w:pPr>
        <w:spacing w:after="0" w:line="51" w:lineRule="exact"/>
        <w:rPr>
          <w:sz w:val="20"/>
          <w:szCs w:val="20"/>
          <w:color w:val="auto"/>
        </w:rPr>
      </w:pPr>
    </w:p>
    <w:p>
      <w:pPr>
        <w:ind w:left="300" w:right="420" w:hanging="300"/>
        <w:spacing w:after="0" w:line="193" w:lineRule="auto"/>
        <w:tabs>
          <w:tab w:leader="none" w:pos="300" w:val="left"/>
        </w:tabs>
        <w:numPr>
          <w:ilvl w:val="0"/>
          <w:numId w:val="114"/>
        </w:numPr>
        <w:rPr>
          <w:rFonts w:ascii="Arial" w:cs="Arial" w:eastAsia="Arial" w:hAnsi="Arial"/>
          <w:sz w:val="22"/>
          <w:szCs w:val="22"/>
          <w:color w:val="auto"/>
          <w:vertAlign w:val="superscript"/>
        </w:rPr>
      </w:pPr>
      <w:r>
        <w:rPr>
          <w:rFonts w:ascii="Arial" w:cs="Arial" w:eastAsia="Arial" w:hAnsi="Arial"/>
          <w:sz w:val="13"/>
          <w:szCs w:val="13"/>
          <w:color w:val="auto"/>
        </w:rPr>
        <w:t>These amounts represent the aggregate balances in each NEO's account as of December 31, 2023. The aggregate balance for each NEO at last fiscal year-end includes amounts previously reported as Non-Equity Incentive Plan Compensation in a prior-year Summary Compensation table.</w:t>
      </w:r>
    </w:p>
    <w:p>
      <w:pPr>
        <w:ind w:left="300" w:hanging="300"/>
        <w:spacing w:after="0" w:line="214" w:lineRule="auto"/>
        <w:tabs>
          <w:tab w:leader="none" w:pos="300" w:val="left"/>
        </w:tabs>
        <w:numPr>
          <w:ilvl w:val="0"/>
          <w:numId w:val="115"/>
        </w:numPr>
        <w:rPr>
          <w:rFonts w:ascii="Arial" w:cs="Arial" w:eastAsia="Arial" w:hAnsi="Arial"/>
          <w:sz w:val="22"/>
          <w:szCs w:val="22"/>
          <w:color w:val="auto"/>
          <w:vertAlign w:val="superscript"/>
        </w:rPr>
      </w:pPr>
      <w:r>
        <w:rPr>
          <w:rFonts w:ascii="Arial" w:cs="Arial" w:eastAsia="Arial" w:hAnsi="Arial"/>
          <w:sz w:val="13"/>
          <w:szCs w:val="13"/>
          <w:color w:val="auto"/>
        </w:rPr>
        <w:t>In addition to the above amounts related to the Supplemental Savings Plan, Mr. Thomson was granted MFUs totaling $1,600,250, on December 5, 2023.</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60" w:type="dxa"/>
            <w:vAlign w:val="bottom"/>
          </w:tcPr>
          <w:p>
            <w:pPr>
              <w:ind w:left="9620"/>
              <w:spacing w:after="0"/>
              <w:rPr>
                <w:sz w:val="20"/>
                <w:szCs w:val="20"/>
                <w:color w:val="auto"/>
              </w:rPr>
            </w:pPr>
            <w:r>
              <w:rPr>
                <w:rFonts w:ascii="Times New Roman" w:cs="Times New Roman" w:eastAsia="Times New Roman" w:hAnsi="Times New Roman"/>
                <w:sz w:val="13"/>
                <w:szCs w:val="13"/>
                <w:b w:val="1"/>
                <w:bCs w:val="1"/>
                <w:color w:val="auto"/>
              </w:rPr>
              <w:t xml:space="preserve">2024 </w:t>
            </w:r>
            <w:r>
              <w:rPr>
                <w:rFonts w:ascii="Times New Roman" w:cs="Times New Roman" w:eastAsia="Times New Roman" w:hAnsi="Times New Roman"/>
                <w:sz w:val="13"/>
                <w:szCs w:val="13"/>
                <w:color w:val="auto"/>
              </w:rPr>
              <w:t>Proxy Statement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244F"/>
              </w:rPr>
              <w:t>69</w:t>
            </w:r>
          </w:p>
        </w:tc>
      </w:tr>
      <w:tr>
        <w:trPr>
          <w:trHeight w:val="385"/>
        </w:trPr>
        <w:tc>
          <w:tcPr>
            <w:tcW w:w="10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10" w:right="339" w:bottom="1440" w:gutter="0" w:footer="0" w:header="0"/>
        </w:sectPr>
      </w:pPr>
    </w:p>
    <w:bookmarkStart w:id="74" w:name="page75"/>
    <w:bookmarkEnd w:id="74"/>
    <w:p>
      <w:pPr>
        <w:spacing w:after="0"/>
        <w:rPr>
          <w:sz w:val="20"/>
          <w:szCs w:val="20"/>
          <w:color w:val="auto"/>
        </w:rPr>
      </w:pPr>
      <w:r>
        <w:rPr>
          <w:rFonts w:ascii="Arial" w:cs="Arial" w:eastAsia="Arial" w:hAnsi="Arial"/>
          <w:sz w:val="17"/>
          <w:szCs w:val="17"/>
          <w:u w:val="single" w:color="auto"/>
          <w:color w:val="0000EE"/>
        </w:rPr>
        <w:t>Table of Contents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254F"/>
        </w:rPr>
        <w:t>Potential Payments on Termination or Change in Control</w:t>
      </w:r>
    </w:p>
    <w:p>
      <w:pPr>
        <w:spacing w:after="0" w:line="225" w:lineRule="exact"/>
        <w:rPr>
          <w:sz w:val="20"/>
          <w:szCs w:val="20"/>
          <w:color w:val="auto"/>
        </w:rPr>
      </w:pPr>
    </w:p>
    <w:p>
      <w:pPr>
        <w:ind w:right="100"/>
        <w:spacing w:after="0" w:line="252" w:lineRule="auto"/>
        <w:rPr>
          <w:sz w:val="20"/>
          <w:szCs w:val="20"/>
          <w:color w:val="auto"/>
        </w:rPr>
      </w:pPr>
      <w:r>
        <w:rPr>
          <w:rFonts w:ascii="Arial" w:cs="Arial" w:eastAsia="Arial" w:hAnsi="Arial"/>
          <w:sz w:val="15"/>
          <w:szCs w:val="15"/>
          <w:color w:val="auto"/>
        </w:rPr>
        <w:t>All agreements for stock options and stock awards granted to associates from our equity incentive plans include provisions that may result in vesting acceleration of outstanding equity awards in connection with a change in control of Price Group or upon the grantee's death or termination of employment due to total disability. See the "Post-employment Payments" section of the CD&amp;A for more details on these vesting acceleration provisions. Assuming that an event caused the acceleration of vesting of all outstanding unvested stock options and stock awards on December 31, 2023, the amount that would be realized upon the exercise of these stock options and vesting of restricted stock awards and units held by our NEOs are shown in the table below.</w:t>
      </w:r>
    </w:p>
    <w:p>
      <w:pPr>
        <w:spacing w:after="0" w:line="169" w:lineRule="exact"/>
        <w:rPr>
          <w:sz w:val="20"/>
          <w:szCs w:val="20"/>
          <w:color w:val="auto"/>
        </w:rPr>
      </w:pPr>
    </w:p>
    <w:p>
      <w:pPr>
        <w:ind w:right="20"/>
        <w:spacing w:after="0" w:line="255" w:lineRule="auto"/>
        <w:rPr>
          <w:sz w:val="20"/>
          <w:szCs w:val="20"/>
          <w:color w:val="auto"/>
        </w:rPr>
      </w:pPr>
      <w:r>
        <w:rPr>
          <w:rFonts w:ascii="Arial" w:cs="Arial" w:eastAsia="Arial" w:hAnsi="Arial"/>
          <w:sz w:val="15"/>
          <w:szCs w:val="15"/>
          <w:color w:val="auto"/>
        </w:rPr>
        <w:t>In addition, all agreements for stock options and stock awards granted on and after December 11, 2018, include a provision that allows for continued vesting following the grantee's date of termination for a period of 24, 36, or 60 months based on one of three different combinations of age and service requirements. Agreements for awards granted to associates on or after December 7, 2021, include a provision that allows for continued vesting following the grantee's date of termination for a period of 60 months based on the participant reaching a combined age and service of 65, with a minimum age of 55 and minimum service of five years.</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Under the terms of Mr. August's employment agreement, he is entitled to severance benefits that are indicated in the table below under the Termination column.</w:t>
      </w:r>
    </w:p>
    <w:p>
      <w:pPr>
        <w:spacing w:after="0" w:line="202" w:lineRule="exact"/>
        <w:rPr>
          <w:sz w:val="20"/>
          <w:szCs w:val="20"/>
          <w:color w:val="auto"/>
        </w:rPr>
      </w:pPr>
    </w:p>
    <w:p>
      <w:pPr>
        <w:ind w:right="320"/>
        <w:spacing w:after="0" w:line="261" w:lineRule="auto"/>
        <w:rPr>
          <w:sz w:val="20"/>
          <w:szCs w:val="20"/>
          <w:color w:val="auto"/>
        </w:rPr>
      </w:pPr>
      <w:r>
        <w:rPr>
          <w:rFonts w:ascii="Arial" w:cs="Arial" w:eastAsia="Arial" w:hAnsi="Arial"/>
          <w:sz w:val="15"/>
          <w:szCs w:val="15"/>
          <w:color w:val="auto"/>
        </w:rPr>
        <w:t>The amounts in the table below, with the exception of the Termination column, are calculated using the closing price of our common stock on December 31, 2023, for outstanding restricted stock awards and units and the difference between the closing price of our common stock on December 31, 2023, and the exercise price for outstanding stock options.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12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b w:val="1"/>
                <w:bCs w:val="1"/>
                <w:color w:val="auto"/>
              </w:rPr>
              <w:t>CHANGE IN</w:t>
            </w:r>
          </w:p>
        </w:tc>
        <w:tc>
          <w:tcPr>
            <w:tcW w:w="1440" w:type="dxa"/>
            <w:vAlign w:val="bottom"/>
            <w:tcBorders>
              <w:right w:val="single" w:sz="8" w:color="auto"/>
            </w:tcBorders>
            <w:gridSpan w:val="3"/>
            <w:vMerge w:val="restart"/>
          </w:tcPr>
          <w:p>
            <w:pPr>
              <w:jc w:val="right"/>
              <w:ind w:right="220"/>
              <w:spacing w:after="0"/>
              <w:rPr>
                <w:sz w:val="20"/>
                <w:szCs w:val="20"/>
                <w:color w:val="auto"/>
              </w:rPr>
            </w:pPr>
            <w:r>
              <w:rPr>
                <w:rFonts w:ascii="Arial" w:cs="Arial" w:eastAsia="Arial" w:hAnsi="Arial"/>
                <w:sz w:val="12"/>
                <w:szCs w:val="12"/>
                <w:b w:val="1"/>
                <w:bCs w:val="1"/>
                <w:color w:val="auto"/>
              </w:rPr>
              <w:t>POST-SEPARATION</w:t>
            </w: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71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46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2"/>
                <w:szCs w:val="12"/>
                <w:b w:val="1"/>
                <w:bCs w:val="1"/>
                <w:color w:val="auto"/>
              </w:rPr>
              <w:t>CONTROL OR</w:t>
            </w:r>
          </w:p>
        </w:tc>
        <w:tc>
          <w:tcPr>
            <w:tcW w:w="1440" w:type="dxa"/>
            <w:vAlign w:val="bottom"/>
            <w:tcBorders>
              <w:right w:val="single" w:sz="8" w:color="auto"/>
            </w:tcBorders>
            <w:gridSpan w:val="3"/>
            <w:vMerge w:val="continue"/>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300" w:type="dxa"/>
            <w:vAlign w:val="bottom"/>
            <w:tcBorders>
              <w:right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NAME</w:t>
            </w:r>
          </w:p>
        </w:tc>
        <w:tc>
          <w:tcPr>
            <w:tcW w:w="146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2"/>
                <w:szCs w:val="12"/>
                <w:b w:val="1"/>
                <w:bCs w:val="1"/>
                <w:color w:val="auto"/>
              </w:rPr>
              <w:t>DEATH/DISABILITY</w:t>
            </w:r>
          </w:p>
        </w:tc>
        <w:tc>
          <w:tcPr>
            <w:tcW w:w="560" w:type="dxa"/>
            <w:vAlign w:val="bottom"/>
          </w:tcPr>
          <w:p>
            <w:pPr>
              <w:spacing w:after="0"/>
              <w:rPr>
                <w:sz w:val="12"/>
                <w:szCs w:val="12"/>
                <w:color w:val="auto"/>
              </w:rPr>
            </w:pPr>
          </w:p>
        </w:tc>
        <w:tc>
          <w:tcPr>
            <w:tcW w:w="8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b w:val="1"/>
                <w:bCs w:val="1"/>
                <w:color w:val="auto"/>
              </w:rPr>
              <w:t>VESTING</w:t>
            </w:r>
          </w:p>
        </w:tc>
        <w:tc>
          <w:tcPr>
            <w:tcW w:w="1040" w:type="dxa"/>
            <w:vAlign w:val="bottom"/>
            <w:gridSpan w:val="2"/>
          </w:tcPr>
          <w:p>
            <w:pPr>
              <w:jc w:val="right"/>
              <w:spacing w:after="0"/>
              <w:rPr>
                <w:sz w:val="20"/>
                <w:szCs w:val="20"/>
                <w:color w:val="auto"/>
              </w:rPr>
            </w:pPr>
            <w:r>
              <w:rPr>
                <w:rFonts w:ascii="Arial" w:cs="Arial" w:eastAsia="Arial" w:hAnsi="Arial"/>
                <w:sz w:val="12"/>
                <w:szCs w:val="12"/>
                <w:b w:val="1"/>
                <w:bCs w:val="1"/>
                <w:color w:val="auto"/>
              </w:rPr>
              <w:t>TERMINATION</w:t>
            </w:r>
          </w:p>
        </w:tc>
        <w:tc>
          <w:tcPr>
            <w:tcW w:w="0" w:type="dxa"/>
            <w:vAlign w:val="bottom"/>
          </w:tcPr>
          <w:p>
            <w:pPr>
              <w:spacing w:after="0"/>
              <w:rPr>
                <w:sz w:val="1"/>
                <w:szCs w:val="1"/>
                <w:color w:val="auto"/>
              </w:rPr>
            </w:pPr>
          </w:p>
        </w:tc>
      </w:tr>
      <w:tr>
        <w:trPr>
          <w:trHeight w:val="167"/>
        </w:trPr>
        <w:tc>
          <w:tcPr>
            <w:tcW w:w="7120" w:type="dxa"/>
            <w:vAlign w:val="bottom"/>
            <w:tcBorders>
              <w:top w:val="single" w:sz="8" w:color="auto"/>
              <w:bottom w:val="single" w:sz="8" w:color="auto"/>
            </w:tcBorders>
          </w:tcPr>
          <w:p>
            <w:pPr>
              <w:ind w:left="60"/>
              <w:spacing w:after="0" w:line="168" w:lineRule="exact"/>
              <w:rPr>
                <w:sz w:val="20"/>
                <w:szCs w:val="20"/>
                <w:color w:val="auto"/>
              </w:rPr>
            </w:pPr>
            <w:r>
              <w:rPr>
                <w:rFonts w:ascii="Arial" w:cs="Arial" w:eastAsia="Arial" w:hAnsi="Arial"/>
                <w:sz w:val="15"/>
                <w:szCs w:val="15"/>
                <w:b w:val="1"/>
                <w:bCs w:val="1"/>
                <w:color w:val="00254F"/>
              </w:rPr>
              <w:t>Robert W. Sharps</w:t>
            </w:r>
          </w:p>
        </w:tc>
        <w:tc>
          <w:tcPr>
            <w:tcW w:w="180" w:type="dxa"/>
            <w:vAlign w:val="bottom"/>
            <w:tcBorders>
              <w:bottom w:val="single" w:sz="8" w:color="E7E7E8"/>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68" w:lineRule="exact"/>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tcPr>
          <w:p>
            <w:pPr>
              <w:jc w:val="right"/>
              <w:spacing w:after="0" w:line="168" w:lineRule="exact"/>
              <w:rPr>
                <w:sz w:val="20"/>
                <w:szCs w:val="20"/>
                <w:color w:val="auto"/>
              </w:rPr>
            </w:pPr>
            <w:r>
              <w:rPr>
                <w:rFonts w:ascii="Arial" w:cs="Arial" w:eastAsia="Arial" w:hAnsi="Arial"/>
                <w:sz w:val="15"/>
                <w:szCs w:val="15"/>
                <w:color w:val="auto"/>
                <w:w w:val="95"/>
              </w:rPr>
              <w:t>15,878,783</w:t>
            </w:r>
          </w:p>
        </w:tc>
        <w:tc>
          <w:tcPr>
            <w:tcW w:w="160" w:type="dxa"/>
            <w:vAlign w:val="bottom"/>
            <w:tcBorders>
              <w:bottom w:val="single" w:sz="8" w:color="E7E7E8"/>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68" w:lineRule="exact"/>
              <w:rPr>
                <w:sz w:val="20"/>
                <w:szCs w:val="20"/>
                <w:color w:val="auto"/>
              </w:rPr>
            </w:pPr>
            <w:r>
              <w:rPr>
                <w:rFonts w:ascii="Arial" w:cs="Arial" w:eastAsia="Arial" w:hAnsi="Arial"/>
                <w:sz w:val="15"/>
                <w:szCs w:val="15"/>
                <w:color w:val="auto"/>
              </w:rPr>
              <w:t>$</w:t>
            </w:r>
          </w:p>
        </w:tc>
        <w:tc>
          <w:tcPr>
            <w:tcW w:w="720" w:type="dxa"/>
            <w:vAlign w:val="bottom"/>
            <w:tcBorders>
              <w:top w:val="single" w:sz="8" w:color="auto"/>
              <w:bottom w:val="single" w:sz="8" w:color="auto"/>
            </w:tcBorders>
          </w:tcPr>
          <w:p>
            <w:pPr>
              <w:jc w:val="right"/>
              <w:spacing w:after="0" w:line="168" w:lineRule="exact"/>
              <w:rPr>
                <w:sz w:val="20"/>
                <w:szCs w:val="20"/>
                <w:color w:val="auto"/>
              </w:rPr>
            </w:pPr>
            <w:r>
              <w:rPr>
                <w:rFonts w:ascii="Arial" w:cs="Arial" w:eastAsia="Arial" w:hAnsi="Arial"/>
                <w:sz w:val="15"/>
                <w:szCs w:val="15"/>
                <w:color w:val="auto"/>
              </w:rPr>
              <w:t>—</w:t>
            </w:r>
          </w:p>
        </w:tc>
        <w:tc>
          <w:tcPr>
            <w:tcW w:w="160" w:type="dxa"/>
            <w:vAlign w:val="bottom"/>
            <w:tcBorders>
              <w:bottom w:val="single" w:sz="8" w:color="E7E7E8"/>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68" w:lineRule="exact"/>
              <w:rPr>
                <w:sz w:val="20"/>
                <w:szCs w:val="20"/>
                <w:color w:val="auto"/>
              </w:rPr>
            </w:pPr>
            <w:r>
              <w:rPr>
                <w:rFonts w:ascii="Arial" w:cs="Arial" w:eastAsia="Arial" w:hAnsi="Arial"/>
                <w:sz w:val="15"/>
                <w:szCs w:val="15"/>
                <w:color w:val="auto"/>
              </w:rPr>
              <w:t>$</w:t>
            </w:r>
          </w:p>
        </w:tc>
        <w:tc>
          <w:tcPr>
            <w:tcW w:w="580" w:type="dxa"/>
            <w:vAlign w:val="bottom"/>
            <w:tcBorders>
              <w:top w:val="single" w:sz="8" w:color="auto"/>
              <w:bottom w:val="single" w:sz="8" w:color="auto"/>
            </w:tcBorders>
          </w:tcPr>
          <w:p>
            <w:pPr>
              <w:jc w:val="right"/>
              <w:spacing w:after="0" w:line="168"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7"/>
        </w:trPr>
        <w:tc>
          <w:tcPr>
            <w:tcW w:w="7120" w:type="dxa"/>
            <w:vAlign w:val="bottom"/>
            <w:tcBorders>
              <w:bottom w:val="single" w:sz="8" w:color="auto"/>
            </w:tcBorders>
            <w:shd w:val="clear" w:color="auto" w:fill="E7E7E8"/>
          </w:tcPr>
          <w:p>
            <w:pPr>
              <w:ind w:left="60"/>
              <w:spacing w:after="0" w:line="168" w:lineRule="exact"/>
              <w:rPr>
                <w:sz w:val="20"/>
                <w:szCs w:val="20"/>
                <w:color w:val="auto"/>
              </w:rPr>
            </w:pPr>
            <w:r>
              <w:rPr>
                <w:rFonts w:ascii="Arial" w:cs="Arial" w:eastAsia="Arial" w:hAnsi="Arial"/>
                <w:sz w:val="15"/>
                <w:szCs w:val="15"/>
                <w:b w:val="1"/>
                <w:bCs w:val="1"/>
                <w:color w:val="00254F"/>
              </w:rPr>
              <w:t>Jennifer B. Dardis</w:t>
            </w:r>
          </w:p>
        </w:tc>
        <w:tc>
          <w:tcPr>
            <w:tcW w:w="180" w:type="dxa"/>
            <w:vAlign w:val="bottom"/>
            <w:tcBorders>
              <w:right w:val="single" w:sz="8" w:color="E7E7E8"/>
            </w:tcBorders>
            <w:shd w:val="clear" w:color="auto" w:fill="E7E7E8"/>
          </w:tcPr>
          <w:p>
            <w:pPr>
              <w:spacing w:after="0"/>
              <w:rPr>
                <w:sz w:val="14"/>
                <w:szCs w:val="14"/>
                <w:color w:val="auto"/>
              </w:rPr>
            </w:pPr>
          </w:p>
        </w:tc>
        <w:tc>
          <w:tcPr>
            <w:tcW w:w="500" w:type="dxa"/>
            <w:vAlign w:val="bottom"/>
            <w:tcBorders>
              <w:bottom w:val="single" w:sz="8" w:color="auto"/>
            </w:tcBorders>
            <w:shd w:val="clear" w:color="auto" w:fill="E7E7E8"/>
          </w:tcPr>
          <w:p>
            <w:pPr>
              <w:jc w:val="right"/>
              <w:spacing w:after="0" w:line="168"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E7E7E8"/>
          </w:tcPr>
          <w:p>
            <w:pPr>
              <w:jc w:val="right"/>
              <w:spacing w:after="0" w:line="168" w:lineRule="exact"/>
              <w:rPr>
                <w:sz w:val="20"/>
                <w:szCs w:val="20"/>
                <w:color w:val="auto"/>
              </w:rPr>
            </w:pPr>
            <w:r>
              <w:rPr>
                <w:rFonts w:ascii="Arial" w:cs="Arial" w:eastAsia="Arial" w:hAnsi="Arial"/>
                <w:sz w:val="15"/>
                <w:szCs w:val="15"/>
                <w:color w:val="auto"/>
              </w:rPr>
              <w:t>3,007,242</w:t>
            </w:r>
          </w:p>
        </w:tc>
        <w:tc>
          <w:tcPr>
            <w:tcW w:w="160" w:type="dxa"/>
            <w:vAlign w:val="bottom"/>
            <w:tcBorders>
              <w:right w:val="single" w:sz="8" w:color="E7E7E8"/>
            </w:tcBorders>
            <w:shd w:val="clear" w:color="auto" w:fill="E7E7E8"/>
          </w:tcPr>
          <w:p>
            <w:pPr>
              <w:spacing w:after="0"/>
              <w:rPr>
                <w:sz w:val="14"/>
                <w:szCs w:val="14"/>
                <w:color w:val="auto"/>
              </w:rPr>
            </w:pPr>
          </w:p>
        </w:tc>
        <w:tc>
          <w:tcPr>
            <w:tcW w:w="560" w:type="dxa"/>
            <w:vAlign w:val="bottom"/>
            <w:tcBorders>
              <w:bottom w:val="single" w:sz="8" w:color="auto"/>
            </w:tcBorders>
            <w:shd w:val="clear" w:color="auto" w:fill="E7E7E8"/>
          </w:tcPr>
          <w:p>
            <w:pPr>
              <w:jc w:val="right"/>
              <w:spacing w:after="0" w:line="168" w:lineRule="exact"/>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shd w:val="clear" w:color="auto" w:fill="E7E7E8"/>
          </w:tcPr>
          <w:p>
            <w:pPr>
              <w:jc w:val="right"/>
              <w:spacing w:after="0" w:line="168" w:lineRule="exact"/>
              <w:rPr>
                <w:sz w:val="20"/>
                <w:szCs w:val="20"/>
                <w:color w:val="auto"/>
              </w:rPr>
            </w:pPr>
            <w:r>
              <w:rPr>
                <w:rFonts w:ascii="Arial" w:cs="Arial" w:eastAsia="Arial" w:hAnsi="Arial"/>
                <w:sz w:val="15"/>
                <w:szCs w:val="15"/>
                <w:color w:val="auto"/>
              </w:rPr>
              <w:t>—</w:t>
            </w:r>
          </w:p>
        </w:tc>
        <w:tc>
          <w:tcPr>
            <w:tcW w:w="160" w:type="dxa"/>
            <w:vAlign w:val="bottom"/>
            <w:tcBorders>
              <w:right w:val="single" w:sz="8" w:color="E7E7E8"/>
            </w:tcBorders>
            <w:shd w:val="clear" w:color="auto" w:fill="E7E7E8"/>
          </w:tcPr>
          <w:p>
            <w:pPr>
              <w:spacing w:after="0"/>
              <w:rPr>
                <w:sz w:val="14"/>
                <w:szCs w:val="14"/>
                <w:color w:val="auto"/>
              </w:rPr>
            </w:pPr>
          </w:p>
        </w:tc>
        <w:tc>
          <w:tcPr>
            <w:tcW w:w="460" w:type="dxa"/>
            <w:vAlign w:val="bottom"/>
            <w:tcBorders>
              <w:bottom w:val="single" w:sz="8" w:color="auto"/>
            </w:tcBorders>
            <w:shd w:val="clear" w:color="auto" w:fill="E7E7E8"/>
          </w:tcPr>
          <w:p>
            <w:pPr>
              <w:jc w:val="right"/>
              <w:spacing w:after="0" w:line="168" w:lineRule="exact"/>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shd w:val="clear" w:color="auto" w:fill="E7E7E8"/>
          </w:tcPr>
          <w:p>
            <w:pPr>
              <w:jc w:val="right"/>
              <w:spacing w:after="0" w:line="168"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7"/>
        </w:trPr>
        <w:tc>
          <w:tcPr>
            <w:tcW w:w="7120" w:type="dxa"/>
            <w:vAlign w:val="bottom"/>
            <w:tcBorders>
              <w:bottom w:val="single" w:sz="8" w:color="auto"/>
            </w:tcBorders>
          </w:tcPr>
          <w:p>
            <w:pPr>
              <w:ind w:left="60"/>
              <w:spacing w:after="0" w:line="168" w:lineRule="exact"/>
              <w:rPr>
                <w:sz w:val="20"/>
                <w:szCs w:val="20"/>
                <w:color w:val="auto"/>
              </w:rPr>
            </w:pPr>
            <w:r>
              <w:rPr>
                <w:rFonts w:ascii="Arial" w:cs="Arial" w:eastAsia="Arial" w:hAnsi="Arial"/>
                <w:sz w:val="15"/>
                <w:szCs w:val="15"/>
                <w:b w:val="1"/>
                <w:bCs w:val="1"/>
                <w:color w:val="00254F"/>
              </w:rPr>
              <w:t>Glenn R. August</w:t>
            </w:r>
          </w:p>
        </w:tc>
        <w:tc>
          <w:tcPr>
            <w:tcW w:w="180" w:type="dxa"/>
            <w:vAlign w:val="bottom"/>
            <w:tcBorders>
              <w:bottom w:val="single" w:sz="8" w:color="E7E7E8"/>
            </w:tcBorders>
          </w:tcPr>
          <w:p>
            <w:pPr>
              <w:spacing w:after="0"/>
              <w:rPr>
                <w:sz w:val="14"/>
                <w:szCs w:val="14"/>
                <w:color w:val="auto"/>
              </w:rPr>
            </w:pPr>
          </w:p>
        </w:tc>
        <w:tc>
          <w:tcPr>
            <w:tcW w:w="5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5"/>
                <w:szCs w:val="15"/>
                <w:color w:val="auto"/>
              </w:rPr>
              <w:t>*</w:t>
            </w:r>
          </w:p>
        </w:tc>
        <w:tc>
          <w:tcPr>
            <w:tcW w:w="160" w:type="dxa"/>
            <w:vAlign w:val="bottom"/>
            <w:tcBorders>
              <w:bottom w:val="single" w:sz="8" w:color="E7E7E8"/>
            </w:tcBorders>
          </w:tcPr>
          <w:p>
            <w:pPr>
              <w:spacing w:after="0"/>
              <w:rPr>
                <w:sz w:val="14"/>
                <w:szCs w:val="14"/>
                <w:color w:val="auto"/>
              </w:rPr>
            </w:pPr>
          </w:p>
        </w:tc>
        <w:tc>
          <w:tcPr>
            <w:tcW w:w="5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5"/>
                <w:szCs w:val="15"/>
                <w:color w:val="auto"/>
              </w:rPr>
              <w:t>—</w:t>
            </w:r>
          </w:p>
        </w:tc>
        <w:tc>
          <w:tcPr>
            <w:tcW w:w="160" w:type="dxa"/>
            <w:vAlign w:val="bottom"/>
            <w:tcBorders>
              <w:bottom w:val="single" w:sz="8" w:color="E7E7E8"/>
            </w:tcBorders>
          </w:tcPr>
          <w:p>
            <w:pPr>
              <w:spacing w:after="0"/>
              <w:rPr>
                <w:sz w:val="14"/>
                <w:szCs w:val="14"/>
                <w:color w:val="auto"/>
              </w:rPr>
            </w:pPr>
          </w:p>
        </w:tc>
        <w:tc>
          <w:tcPr>
            <w:tcW w:w="4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5"/>
                <w:szCs w:val="15"/>
                <w:color w:val="auto"/>
                <w:w w:val="95"/>
              </w:rPr>
              <w:t>350,000</w:t>
            </w:r>
          </w:p>
        </w:tc>
        <w:tc>
          <w:tcPr>
            <w:tcW w:w="0" w:type="dxa"/>
            <w:vAlign w:val="bottom"/>
          </w:tcPr>
          <w:p>
            <w:pPr>
              <w:spacing w:after="0"/>
              <w:rPr>
                <w:sz w:val="1"/>
                <w:szCs w:val="1"/>
                <w:color w:val="auto"/>
              </w:rPr>
            </w:pPr>
          </w:p>
        </w:tc>
      </w:tr>
      <w:tr>
        <w:trPr>
          <w:trHeight w:val="167"/>
        </w:trPr>
        <w:tc>
          <w:tcPr>
            <w:tcW w:w="7120" w:type="dxa"/>
            <w:vAlign w:val="bottom"/>
            <w:tcBorders>
              <w:bottom w:val="single" w:sz="8" w:color="auto"/>
            </w:tcBorders>
            <w:shd w:val="clear" w:color="auto" w:fill="E7E7E8"/>
          </w:tcPr>
          <w:p>
            <w:pPr>
              <w:ind w:left="60"/>
              <w:spacing w:after="0" w:line="168" w:lineRule="exact"/>
              <w:rPr>
                <w:sz w:val="20"/>
                <w:szCs w:val="20"/>
                <w:color w:val="auto"/>
              </w:rPr>
            </w:pPr>
            <w:r>
              <w:rPr>
                <w:rFonts w:ascii="Arial" w:cs="Arial" w:eastAsia="Arial" w:hAnsi="Arial"/>
                <w:sz w:val="15"/>
                <w:szCs w:val="15"/>
                <w:b w:val="1"/>
                <w:bCs w:val="1"/>
                <w:color w:val="00254F"/>
              </w:rPr>
              <w:t>Justin Thomson</w:t>
            </w:r>
          </w:p>
        </w:tc>
        <w:tc>
          <w:tcPr>
            <w:tcW w:w="180" w:type="dxa"/>
            <w:vAlign w:val="bottom"/>
            <w:tcBorders>
              <w:right w:val="single" w:sz="8" w:color="E7E7E8"/>
            </w:tcBorders>
            <w:shd w:val="clear" w:color="auto" w:fill="E7E7E8"/>
          </w:tcPr>
          <w:p>
            <w:pPr>
              <w:spacing w:after="0"/>
              <w:rPr>
                <w:sz w:val="14"/>
                <w:szCs w:val="14"/>
                <w:color w:val="auto"/>
              </w:rPr>
            </w:pPr>
          </w:p>
        </w:tc>
        <w:tc>
          <w:tcPr>
            <w:tcW w:w="500" w:type="dxa"/>
            <w:vAlign w:val="bottom"/>
            <w:tcBorders>
              <w:bottom w:val="single" w:sz="8" w:color="auto"/>
            </w:tcBorders>
            <w:shd w:val="clear" w:color="auto" w:fill="E7E7E8"/>
          </w:tcPr>
          <w:p>
            <w:pPr>
              <w:jc w:val="right"/>
              <w:spacing w:after="0" w:line="168"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E7E7E8"/>
          </w:tcPr>
          <w:p>
            <w:pPr>
              <w:jc w:val="right"/>
              <w:spacing w:after="0" w:line="168" w:lineRule="exact"/>
              <w:rPr>
                <w:sz w:val="20"/>
                <w:szCs w:val="20"/>
                <w:color w:val="auto"/>
              </w:rPr>
            </w:pPr>
            <w:r>
              <w:rPr>
                <w:rFonts w:ascii="Arial" w:cs="Arial" w:eastAsia="Arial" w:hAnsi="Arial"/>
                <w:sz w:val="15"/>
                <w:szCs w:val="15"/>
                <w:color w:val="auto"/>
              </w:rPr>
              <w:t>5,415,945</w:t>
            </w:r>
          </w:p>
        </w:tc>
        <w:tc>
          <w:tcPr>
            <w:tcW w:w="160" w:type="dxa"/>
            <w:vAlign w:val="bottom"/>
            <w:tcBorders>
              <w:right w:val="single" w:sz="8" w:color="E7E7E8"/>
            </w:tcBorders>
            <w:shd w:val="clear" w:color="auto" w:fill="E7E7E8"/>
          </w:tcPr>
          <w:p>
            <w:pPr>
              <w:spacing w:after="0"/>
              <w:rPr>
                <w:sz w:val="14"/>
                <w:szCs w:val="14"/>
                <w:color w:val="auto"/>
              </w:rPr>
            </w:pPr>
          </w:p>
        </w:tc>
        <w:tc>
          <w:tcPr>
            <w:tcW w:w="560" w:type="dxa"/>
            <w:vAlign w:val="bottom"/>
            <w:tcBorders>
              <w:bottom w:val="single" w:sz="8" w:color="auto"/>
            </w:tcBorders>
            <w:shd w:val="clear" w:color="auto" w:fill="E7E7E8"/>
          </w:tcPr>
          <w:p>
            <w:pPr>
              <w:jc w:val="right"/>
              <w:spacing w:after="0" w:line="168" w:lineRule="exact"/>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shd w:val="clear" w:color="auto" w:fill="E7E7E8"/>
          </w:tcPr>
          <w:p>
            <w:pPr>
              <w:jc w:val="right"/>
              <w:spacing w:after="0" w:line="168" w:lineRule="exact"/>
              <w:rPr>
                <w:sz w:val="20"/>
                <w:szCs w:val="20"/>
                <w:color w:val="auto"/>
              </w:rPr>
            </w:pPr>
            <w:r>
              <w:rPr>
                <w:rFonts w:ascii="Arial" w:cs="Arial" w:eastAsia="Arial" w:hAnsi="Arial"/>
                <w:sz w:val="15"/>
                <w:szCs w:val="15"/>
                <w:color w:val="auto"/>
                <w:w w:val="95"/>
              </w:rPr>
              <w:t>4,418,736</w:t>
            </w:r>
          </w:p>
        </w:tc>
        <w:tc>
          <w:tcPr>
            <w:tcW w:w="160" w:type="dxa"/>
            <w:vAlign w:val="bottom"/>
            <w:tcBorders>
              <w:right w:val="single" w:sz="8" w:color="E7E7E8"/>
            </w:tcBorders>
            <w:shd w:val="clear" w:color="auto" w:fill="E7E7E8"/>
          </w:tcPr>
          <w:p>
            <w:pPr>
              <w:spacing w:after="0"/>
              <w:rPr>
                <w:sz w:val="14"/>
                <w:szCs w:val="14"/>
                <w:color w:val="auto"/>
              </w:rPr>
            </w:pPr>
          </w:p>
        </w:tc>
        <w:tc>
          <w:tcPr>
            <w:tcW w:w="460" w:type="dxa"/>
            <w:vAlign w:val="bottom"/>
            <w:tcBorders>
              <w:bottom w:val="single" w:sz="8" w:color="auto"/>
            </w:tcBorders>
            <w:shd w:val="clear" w:color="auto" w:fill="E7E7E8"/>
          </w:tcPr>
          <w:p>
            <w:pPr>
              <w:jc w:val="right"/>
              <w:spacing w:after="0" w:line="168" w:lineRule="exact"/>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shd w:val="clear" w:color="auto" w:fill="E7E7E8"/>
          </w:tcPr>
          <w:p>
            <w:pPr>
              <w:jc w:val="right"/>
              <w:spacing w:after="0" w:line="168"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7"/>
        </w:trPr>
        <w:tc>
          <w:tcPr>
            <w:tcW w:w="7120" w:type="dxa"/>
            <w:vAlign w:val="bottom"/>
            <w:tcBorders>
              <w:bottom w:val="single" w:sz="8" w:color="auto"/>
            </w:tcBorders>
          </w:tcPr>
          <w:p>
            <w:pPr>
              <w:ind w:left="60"/>
              <w:spacing w:after="0" w:line="168" w:lineRule="exact"/>
              <w:rPr>
                <w:sz w:val="20"/>
                <w:szCs w:val="20"/>
                <w:color w:val="auto"/>
              </w:rPr>
            </w:pPr>
            <w:r>
              <w:rPr>
                <w:rFonts w:ascii="Arial" w:cs="Arial" w:eastAsia="Arial" w:hAnsi="Arial"/>
                <w:sz w:val="15"/>
                <w:szCs w:val="15"/>
                <w:b w:val="1"/>
                <w:bCs w:val="1"/>
                <w:color w:val="00254F"/>
              </w:rPr>
              <w:t>Eric L. Veiel</w:t>
            </w:r>
          </w:p>
        </w:tc>
        <w:tc>
          <w:tcPr>
            <w:tcW w:w="180" w:type="dxa"/>
            <w:vAlign w:val="bottom"/>
          </w:tcPr>
          <w:p>
            <w:pPr>
              <w:spacing w:after="0"/>
              <w:rPr>
                <w:sz w:val="14"/>
                <w:szCs w:val="14"/>
                <w:color w:val="auto"/>
              </w:rPr>
            </w:pPr>
          </w:p>
        </w:tc>
        <w:tc>
          <w:tcPr>
            <w:tcW w:w="5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5"/>
                <w:szCs w:val="15"/>
                <w:color w:val="auto"/>
              </w:rPr>
              <w:t>8,952,377</w:t>
            </w:r>
          </w:p>
        </w:tc>
        <w:tc>
          <w:tcPr>
            <w:tcW w:w="160" w:type="dxa"/>
            <w:vAlign w:val="bottom"/>
          </w:tcPr>
          <w:p>
            <w:pPr>
              <w:spacing w:after="0"/>
              <w:rPr>
                <w:sz w:val="14"/>
                <w:szCs w:val="14"/>
                <w:color w:val="auto"/>
              </w:rPr>
            </w:pPr>
          </w:p>
        </w:tc>
        <w:tc>
          <w:tcPr>
            <w:tcW w:w="5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4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4523740</wp:posOffset>
            </wp:positionH>
            <wp:positionV relativeFrom="paragraph">
              <wp:posOffset>-483235</wp:posOffset>
            </wp:positionV>
            <wp:extent cx="95250" cy="1187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95250" cy="118745"/>
                    </a:xfrm>
                    <a:prstGeom prst="rect">
                      <a:avLst/>
                    </a:prstGeom>
                    <a:noFill/>
                  </pic:spPr>
                </pic:pic>
              </a:graphicData>
            </a:graphic>
          </wp:anchor>
        </w:drawing>
        <w:drawing>
          <wp:anchor simplePos="0" relativeHeight="251657728" behindDoc="1" locked="0" layoutInCell="0" allowOverlap="1">
            <wp:simplePos x="0" y="0"/>
            <wp:positionH relativeFrom="column">
              <wp:posOffset>5459730</wp:posOffset>
            </wp:positionH>
            <wp:positionV relativeFrom="paragraph">
              <wp:posOffset>-483235</wp:posOffset>
            </wp:positionV>
            <wp:extent cx="95250" cy="1187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95250" cy="118745"/>
                    </a:xfrm>
                    <a:prstGeom prst="rect">
                      <a:avLst/>
                    </a:prstGeom>
                    <a:noFill/>
                  </pic:spPr>
                </pic:pic>
              </a:graphicData>
            </a:graphic>
          </wp:anchor>
        </w:drawing>
        <w:drawing>
          <wp:anchor simplePos="0" relativeHeight="251657728" behindDoc="1" locked="0" layoutInCell="0" allowOverlap="1">
            <wp:simplePos x="0" y="0"/>
            <wp:positionH relativeFrom="column">
              <wp:posOffset>6372860</wp:posOffset>
            </wp:positionH>
            <wp:positionV relativeFrom="paragraph">
              <wp:posOffset>-483235</wp:posOffset>
            </wp:positionV>
            <wp:extent cx="95250" cy="1187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95250" cy="118745"/>
                    </a:xfrm>
                    <a:prstGeom prst="rect">
                      <a:avLst/>
                    </a:prstGeom>
                    <a:noFill/>
                  </pic:spPr>
                </pic:pic>
              </a:graphicData>
            </a:graphic>
          </wp:anchor>
        </w:drawing>
        <w:drawing>
          <wp:anchor simplePos="0" relativeHeight="251657728" behindDoc="1" locked="0" layoutInCell="0" allowOverlap="1">
            <wp:simplePos x="0" y="0"/>
            <wp:positionH relativeFrom="column">
              <wp:posOffset>4523740</wp:posOffset>
            </wp:positionH>
            <wp:positionV relativeFrom="paragraph">
              <wp:posOffset>-245110</wp:posOffset>
            </wp:positionV>
            <wp:extent cx="95250" cy="1187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95250" cy="118745"/>
                    </a:xfrm>
                    <a:prstGeom prst="rect">
                      <a:avLst/>
                    </a:prstGeom>
                    <a:noFill/>
                  </pic:spPr>
                </pic:pic>
              </a:graphicData>
            </a:graphic>
          </wp:anchor>
        </w:drawing>
        <w:drawing>
          <wp:anchor simplePos="0" relativeHeight="251657728" behindDoc="1" locked="0" layoutInCell="0" allowOverlap="1">
            <wp:simplePos x="0" y="0"/>
            <wp:positionH relativeFrom="column">
              <wp:posOffset>5459730</wp:posOffset>
            </wp:positionH>
            <wp:positionV relativeFrom="paragraph">
              <wp:posOffset>-245110</wp:posOffset>
            </wp:positionV>
            <wp:extent cx="95250" cy="1187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95250" cy="118745"/>
                    </a:xfrm>
                    <a:prstGeom prst="rect">
                      <a:avLst/>
                    </a:prstGeom>
                    <a:noFill/>
                  </pic:spPr>
                </pic:pic>
              </a:graphicData>
            </a:graphic>
          </wp:anchor>
        </w:drawing>
        <w:drawing>
          <wp:anchor simplePos="0" relativeHeight="251657728" behindDoc="1" locked="0" layoutInCell="0" allowOverlap="1">
            <wp:simplePos x="0" y="0"/>
            <wp:positionH relativeFrom="column">
              <wp:posOffset>6372860</wp:posOffset>
            </wp:positionH>
            <wp:positionV relativeFrom="paragraph">
              <wp:posOffset>-245110</wp:posOffset>
            </wp:positionV>
            <wp:extent cx="95250" cy="1187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95250" cy="118745"/>
                    </a:xfrm>
                    <a:prstGeom prst="rect">
                      <a:avLst/>
                    </a:prstGeom>
                    <a:noFill/>
                  </pic:spPr>
                </pic:pic>
              </a:graphicData>
            </a:graphic>
          </wp:anchor>
        </w:drawing>
      </w:r>
    </w:p>
    <w:p>
      <w:pPr>
        <w:spacing w:after="0" w:line="172" w:lineRule="exact"/>
        <w:rPr>
          <w:sz w:val="20"/>
          <w:szCs w:val="20"/>
          <w:color w:val="auto"/>
        </w:rPr>
      </w:pPr>
    </w:p>
    <w:p>
      <w:pPr>
        <w:jc w:val="both"/>
        <w:ind w:left="300" w:hanging="300"/>
        <w:spacing w:after="0" w:line="260" w:lineRule="auto"/>
        <w:tabs>
          <w:tab w:leader="none" w:pos="300" w:val="left"/>
        </w:tabs>
        <w:numPr>
          <w:ilvl w:val="0"/>
          <w:numId w:val="116"/>
        </w:numPr>
        <w:rPr>
          <w:rFonts w:ascii="Arial" w:cs="Arial" w:eastAsia="Arial" w:hAnsi="Arial"/>
          <w:sz w:val="13"/>
          <w:szCs w:val="13"/>
          <w:color w:val="auto"/>
        </w:rPr>
      </w:pPr>
      <w:r>
        <w:rPr>
          <w:rFonts w:ascii="Arial" w:cs="Arial" w:eastAsia="Arial" w:hAnsi="Arial"/>
          <w:sz w:val="13"/>
          <w:szCs w:val="13"/>
          <w:color w:val="auto"/>
        </w:rPr>
        <w:t>Note: Pursuant to the Value Creation Agreement entered into in connection with the acquisition of OHA, in the event of a change of control, should Mr. August's employment be terminated, the Company would be required to pay $75 million to the participants thereunder. The amount which Mr. August would receive is not determinable at this time pursuant to the terms of the agreement. A copy of the Value Creation Agreement was filed with the SEC on February 24, 2022, as Exhibit 10.26 to our Annual Report on Form 10-K.</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254F"/>
        </w:rPr>
        <w:t>Chief Executive Officer Pay Ratio</w:t>
      </w:r>
    </w:p>
    <w:p>
      <w:pPr>
        <w:spacing w:after="0" w:line="225" w:lineRule="exact"/>
        <w:rPr>
          <w:sz w:val="20"/>
          <w:szCs w:val="20"/>
          <w:color w:val="auto"/>
        </w:rPr>
      </w:pPr>
    </w:p>
    <w:p>
      <w:pPr>
        <w:spacing w:after="0" w:line="249" w:lineRule="auto"/>
        <w:rPr>
          <w:sz w:val="20"/>
          <w:szCs w:val="20"/>
          <w:color w:val="auto"/>
        </w:rPr>
      </w:pPr>
      <w:r>
        <w:rPr>
          <w:rFonts w:ascii="Arial" w:cs="Arial" w:eastAsia="Arial" w:hAnsi="Arial"/>
          <w:sz w:val="15"/>
          <w:szCs w:val="15"/>
          <w:color w:val="auto"/>
        </w:rPr>
        <w:t>Our CEO pay ratio is calculated in accordance with Item 402(u) of Regulation S-K. We identified the median employee by examining the 2023 salary and annual cash bonus paid to all associates, excluding our CEO and President, who were employed on December 31, 2023. All active associates working on a full-time, part-time, or interim basis were included in the sample. To facilitate comparison of all associates in U.S. dollars, compensation paid in foreign currencies was converted to U.S. dollars. We applied a local currency to U.S. dollar exchange rate on the monthly pay date. Each converted monthly salary was combined to determine the cumulative 2023 salary. With respect to annual cash bonuses paid to our non-U.S. associates, we applied a local currency to U.S. dollar exchange rate as of December 31, 2023. We did not make any adjustments or estimates with respect to salary, nor did we annualize the compensation for associates who began employment after the start of the fiscal year.</w:t>
      </w:r>
    </w:p>
    <w:p>
      <w:pPr>
        <w:spacing w:after="0" w:line="172" w:lineRule="exact"/>
        <w:rPr>
          <w:sz w:val="20"/>
          <w:szCs w:val="20"/>
          <w:color w:val="auto"/>
        </w:rPr>
      </w:pPr>
    </w:p>
    <w:p>
      <w:pPr>
        <w:ind w:right="220"/>
        <w:spacing w:after="0" w:line="278" w:lineRule="auto"/>
        <w:rPr>
          <w:sz w:val="20"/>
          <w:szCs w:val="20"/>
          <w:color w:val="auto"/>
        </w:rPr>
      </w:pPr>
      <w:r>
        <w:rPr>
          <w:rFonts w:ascii="Arial" w:cs="Arial" w:eastAsia="Arial" w:hAnsi="Arial"/>
          <w:sz w:val="15"/>
          <w:szCs w:val="15"/>
          <w:color w:val="auto"/>
        </w:rPr>
        <w:t>Upon identifying the median associate, total compensation was calculated for this individual using the same methodology we use for our NEOs as set forth in the 2023 Summary Compensation Table.</w:t>
      </w:r>
    </w:p>
    <w:p>
      <w:pPr>
        <w:spacing w:after="0" w:line="150" w:lineRule="exact"/>
        <w:rPr>
          <w:sz w:val="20"/>
          <w:szCs w:val="20"/>
          <w:color w:val="auto"/>
        </w:rPr>
      </w:pPr>
    </w:p>
    <w:p>
      <w:pPr>
        <w:ind w:right="340"/>
        <w:spacing w:after="0" w:line="278" w:lineRule="auto"/>
        <w:rPr>
          <w:sz w:val="20"/>
          <w:szCs w:val="20"/>
          <w:color w:val="auto"/>
        </w:rPr>
      </w:pPr>
      <w:r>
        <w:rPr>
          <w:rFonts w:ascii="Arial" w:cs="Arial" w:eastAsia="Arial" w:hAnsi="Arial"/>
          <w:sz w:val="15"/>
          <w:szCs w:val="15"/>
          <w:color w:val="auto"/>
        </w:rPr>
        <w:t>For 2023, Mr. Sharps had an annual total compensation of $12,841,931 as reflected in the Summary Compensation Table. Our median associate's 2023 annual total compensation was $157,096. Thus, Mr. Sharps' 2023 annual total compensation was 82 times that of our median associate.</w:t>
      </w:r>
    </w:p>
    <w:p>
      <w:pPr>
        <w:spacing w:after="0" w:line="140"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3"/>
          <w:szCs w:val="13"/>
          <w:b w:val="1"/>
          <w:bCs w:val="1"/>
          <w:color w:val="00244F"/>
        </w:rPr>
        <w:t>70</w:t>
        <w:tab/>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42480" cy="762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75" w:name="page76"/>
    <w:bookmarkEnd w:id="75"/>
    <w:p>
      <w:pPr>
        <w:spacing w:after="0"/>
        <w:rPr>
          <w:sz w:val="20"/>
          <w:szCs w:val="20"/>
          <w:color w:val="auto"/>
        </w:rPr>
      </w:pPr>
      <w:r>
        <w:rPr>
          <w:rFonts w:ascii="Arial" w:cs="Arial" w:eastAsia="Arial" w:hAnsi="Arial"/>
          <w:sz w:val="17"/>
          <w:szCs w:val="17"/>
          <w:u w:val="single" w:color="auto"/>
          <w:color w:val="0000EE"/>
        </w:rPr>
        <w:t>Table of Contents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254F"/>
        </w:rPr>
        <w:t>Pay Versus Performance</w:t>
      </w:r>
    </w:p>
    <w:p>
      <w:pPr>
        <w:spacing w:after="0" w:line="220"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The following table summarizes the compensation actually paid to our principal executive officer (PEO) and average compensation paid to our other NEOs for the past four years. These are presented with respect to each year's NEOs as reported in the 2024, 2023, 2022 and 2021 proxy statements. Fair value amounts below are computed in a manner consistent with the fair value methodology used to account for share-based payments in our financial statements under generally accepted accounting principles. For any awards that are subject to performance conditions, the change in fair value is calculated based upon the probable outcome of such conditions as of the last day of the applicable year. The change in fair value in the tables below compare the fair value at the end of the applicable year with the prior year-end fair value. Total shareholder return has been calculated in a manner consistent with Item 402(v) of Regulation S-K.</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2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AVERAGE</w:t>
            </w:r>
          </w:p>
        </w:tc>
        <w:tc>
          <w:tcPr>
            <w:tcW w:w="160" w:type="dxa"/>
            <w:vAlign w:val="bottom"/>
            <w:tcBorders>
              <w:right w:val="single" w:sz="8" w:color="auto"/>
            </w:tcBorders>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AVERAGE</w:t>
            </w:r>
          </w:p>
        </w:tc>
        <w:tc>
          <w:tcPr>
            <w:tcW w:w="160" w:type="dxa"/>
            <w:vAlign w:val="bottom"/>
            <w:tcBorders>
              <w:right w:val="single" w:sz="8" w:color="auto"/>
            </w:tcBorders>
          </w:tcPr>
          <w:p>
            <w:pPr>
              <w:spacing w:after="0"/>
              <w:rPr>
                <w:sz w:val="12"/>
                <w:szCs w:val="12"/>
                <w:color w:val="auto"/>
              </w:rPr>
            </w:pPr>
          </w:p>
        </w:tc>
        <w:tc>
          <w:tcPr>
            <w:tcW w:w="214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VALUE OF INITIAL FIXED $100</w:t>
            </w:r>
          </w:p>
        </w:tc>
        <w:tc>
          <w:tcPr>
            <w:tcW w:w="160" w:type="dxa"/>
            <w:vAlign w:val="bottom"/>
            <w:tcBorders>
              <w:right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2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2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SUMMARY</w:t>
            </w:r>
          </w:p>
        </w:tc>
        <w:tc>
          <w:tcPr>
            <w:tcW w:w="160" w:type="dxa"/>
            <w:vAlign w:val="bottom"/>
            <w:tcBorders>
              <w:right w:val="single" w:sz="8" w:color="auto"/>
            </w:tcBorders>
          </w:tcPr>
          <w:p>
            <w:pPr>
              <w:spacing w:after="0"/>
              <w:rPr>
                <w:sz w:val="10"/>
                <w:szCs w:val="10"/>
                <w:color w:val="auto"/>
              </w:rPr>
            </w:pPr>
          </w:p>
        </w:tc>
        <w:tc>
          <w:tcPr>
            <w:tcW w:w="116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2"/>
                <w:szCs w:val="12"/>
                <w:b w:val="1"/>
                <w:bCs w:val="1"/>
                <w:color w:val="auto"/>
                <w:w w:val="96"/>
              </w:rPr>
              <w:t>SUMMARY</w:t>
            </w:r>
          </w:p>
        </w:tc>
        <w:tc>
          <w:tcPr>
            <w:tcW w:w="160" w:type="dxa"/>
            <w:vAlign w:val="bottom"/>
            <w:tcBorders>
              <w:right w:val="single" w:sz="8" w:color="auto"/>
            </w:tcBorders>
          </w:tcPr>
          <w:p>
            <w:pPr>
              <w:spacing w:after="0"/>
              <w:rPr>
                <w:sz w:val="10"/>
                <w:szCs w:val="10"/>
                <w:color w:val="auto"/>
              </w:rPr>
            </w:pPr>
          </w:p>
        </w:tc>
        <w:tc>
          <w:tcPr>
            <w:tcW w:w="1160" w:type="dxa"/>
            <w:vAlign w:val="bottom"/>
            <w:vMerge w:val="continue"/>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2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280" w:type="dxa"/>
            <w:vAlign w:val="bottom"/>
            <w:vMerge w:val="continue"/>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180" w:type="dxa"/>
            <w:vAlign w:val="bottom"/>
            <w:gridSpan w:val="2"/>
          </w:tcPr>
          <w:p>
            <w:pPr>
              <w:jc w:val="right"/>
              <w:spacing w:after="0"/>
              <w:rPr>
                <w:sz w:val="20"/>
                <w:szCs w:val="20"/>
                <w:color w:val="auto"/>
              </w:rPr>
            </w:pPr>
            <w:r>
              <w:rPr>
                <w:rFonts w:ascii="Arial" w:cs="Arial" w:eastAsia="Arial" w:hAnsi="Arial"/>
                <w:sz w:val="12"/>
                <w:szCs w:val="12"/>
                <w:b w:val="1"/>
                <w:bCs w:val="1"/>
                <w:color w:val="auto"/>
              </w:rPr>
              <w:t>COMPENSATION</w:t>
            </w:r>
          </w:p>
        </w:tc>
        <w:tc>
          <w:tcPr>
            <w:tcW w:w="160" w:type="dxa"/>
            <w:vAlign w:val="bottom"/>
            <w:tcBorders>
              <w:right w:val="single" w:sz="8" w:color="auto"/>
            </w:tcBorders>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2"/>
                <w:szCs w:val="12"/>
                <w:b w:val="1"/>
                <w:bCs w:val="1"/>
                <w:color w:val="auto"/>
              </w:rPr>
              <w:t>COMPENSATION</w:t>
            </w:r>
          </w:p>
        </w:tc>
        <w:tc>
          <w:tcPr>
            <w:tcW w:w="160" w:type="dxa"/>
            <w:vAlign w:val="bottom"/>
            <w:tcBorders>
              <w:right w:val="single" w:sz="8" w:color="auto"/>
            </w:tcBorders>
          </w:tcPr>
          <w:p>
            <w:pPr>
              <w:spacing w:after="0"/>
              <w:rPr>
                <w:sz w:val="12"/>
                <w:szCs w:val="12"/>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INVESTMENT BASED ON:</w:t>
            </w:r>
          </w:p>
        </w:tc>
        <w:tc>
          <w:tcPr>
            <w:tcW w:w="160" w:type="dxa"/>
            <w:vAlign w:val="bottom"/>
            <w:tcBorders>
              <w:right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12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280" w:type="dxa"/>
            <w:vAlign w:val="bottom"/>
          </w:tcPr>
          <w:p>
            <w:pPr>
              <w:jc w:val="right"/>
              <w:spacing w:after="0" w:line="107" w:lineRule="exact"/>
              <w:rPr>
                <w:sz w:val="20"/>
                <w:szCs w:val="20"/>
                <w:color w:val="auto"/>
              </w:rPr>
            </w:pPr>
            <w:r>
              <w:rPr>
                <w:rFonts w:ascii="Arial" w:cs="Arial" w:eastAsia="Arial" w:hAnsi="Arial"/>
                <w:sz w:val="12"/>
                <w:szCs w:val="12"/>
                <w:b w:val="1"/>
                <w:bCs w:val="1"/>
                <w:color w:val="auto"/>
              </w:rPr>
              <w:t>COMPENSATION</w:t>
            </w:r>
          </w:p>
        </w:tc>
        <w:tc>
          <w:tcPr>
            <w:tcW w:w="160" w:type="dxa"/>
            <w:vAlign w:val="bottom"/>
            <w:tcBorders>
              <w:right w:val="single" w:sz="8" w:color="auto"/>
            </w:tcBorders>
          </w:tcPr>
          <w:p>
            <w:pPr>
              <w:spacing w:after="0"/>
              <w:rPr>
                <w:sz w:val="9"/>
                <w:szCs w:val="9"/>
                <w:color w:val="auto"/>
              </w:rPr>
            </w:pPr>
          </w:p>
        </w:tc>
        <w:tc>
          <w:tcPr>
            <w:tcW w:w="1160" w:type="dxa"/>
            <w:vAlign w:val="bottom"/>
          </w:tcPr>
          <w:p>
            <w:pPr>
              <w:jc w:val="right"/>
              <w:spacing w:after="0" w:line="107" w:lineRule="exact"/>
              <w:rPr>
                <w:sz w:val="20"/>
                <w:szCs w:val="20"/>
                <w:color w:val="auto"/>
              </w:rPr>
            </w:pPr>
            <w:r>
              <w:rPr>
                <w:rFonts w:ascii="Arial" w:cs="Arial" w:eastAsia="Arial" w:hAnsi="Arial"/>
                <w:sz w:val="12"/>
                <w:szCs w:val="12"/>
                <w:b w:val="1"/>
                <w:bCs w:val="1"/>
                <w:color w:val="auto"/>
              </w:rPr>
              <w:t>COMPENSATION</w:t>
            </w:r>
          </w:p>
        </w:tc>
        <w:tc>
          <w:tcPr>
            <w:tcW w:w="160" w:type="dxa"/>
            <w:vAlign w:val="bottom"/>
            <w:tcBorders>
              <w:right w:val="single" w:sz="8" w:color="auto"/>
            </w:tcBorders>
          </w:tcPr>
          <w:p>
            <w:pPr>
              <w:spacing w:after="0"/>
              <w:rPr>
                <w:sz w:val="9"/>
                <w:szCs w:val="9"/>
                <w:color w:val="auto"/>
              </w:rPr>
            </w:pPr>
          </w:p>
        </w:tc>
        <w:tc>
          <w:tcPr>
            <w:tcW w:w="1180" w:type="dxa"/>
            <w:vAlign w:val="bottom"/>
            <w:gridSpan w:val="2"/>
          </w:tcPr>
          <w:p>
            <w:pPr>
              <w:jc w:val="right"/>
              <w:spacing w:after="0" w:line="107" w:lineRule="exact"/>
              <w:rPr>
                <w:sz w:val="20"/>
                <w:szCs w:val="20"/>
                <w:color w:val="auto"/>
              </w:rPr>
            </w:pPr>
            <w:r>
              <w:rPr>
                <w:rFonts w:ascii="Arial" w:cs="Arial" w:eastAsia="Arial" w:hAnsi="Arial"/>
                <w:sz w:val="12"/>
                <w:szCs w:val="12"/>
                <w:b w:val="1"/>
                <w:bCs w:val="1"/>
                <w:color w:val="auto"/>
              </w:rPr>
              <w:t>TABLE TOTAL</w:t>
            </w:r>
          </w:p>
        </w:tc>
        <w:tc>
          <w:tcPr>
            <w:tcW w:w="160" w:type="dxa"/>
            <w:vAlign w:val="bottom"/>
            <w:tcBorders>
              <w:right w:val="single" w:sz="8" w:color="auto"/>
            </w:tcBorders>
          </w:tcPr>
          <w:p>
            <w:pPr>
              <w:spacing w:after="0"/>
              <w:rPr>
                <w:sz w:val="9"/>
                <w:szCs w:val="9"/>
                <w:color w:val="auto"/>
              </w:rPr>
            </w:pPr>
          </w:p>
        </w:tc>
        <w:tc>
          <w:tcPr>
            <w:tcW w:w="1160" w:type="dxa"/>
            <w:vAlign w:val="bottom"/>
          </w:tcPr>
          <w:p>
            <w:pPr>
              <w:jc w:val="right"/>
              <w:spacing w:after="0" w:line="107" w:lineRule="exact"/>
              <w:rPr>
                <w:sz w:val="20"/>
                <w:szCs w:val="20"/>
                <w:color w:val="auto"/>
              </w:rPr>
            </w:pPr>
            <w:r>
              <w:rPr>
                <w:rFonts w:ascii="Arial" w:cs="Arial" w:eastAsia="Arial" w:hAnsi="Arial"/>
                <w:sz w:val="12"/>
                <w:szCs w:val="12"/>
                <w:b w:val="1"/>
                <w:bCs w:val="1"/>
                <w:color w:val="auto"/>
              </w:rPr>
              <w:t>ACTUALLY PAID</w:t>
            </w:r>
          </w:p>
        </w:tc>
        <w:tc>
          <w:tcPr>
            <w:tcW w:w="160" w:type="dxa"/>
            <w:vAlign w:val="bottom"/>
            <w:tcBorders>
              <w:right w:val="single" w:sz="8" w:color="auto"/>
            </w:tcBorders>
          </w:tcPr>
          <w:p>
            <w:pPr>
              <w:spacing w:after="0"/>
              <w:rPr>
                <w:sz w:val="9"/>
                <w:szCs w:val="9"/>
                <w:color w:val="auto"/>
              </w:rPr>
            </w:pPr>
          </w:p>
        </w:tc>
        <w:tc>
          <w:tcPr>
            <w:tcW w:w="1000" w:type="dxa"/>
            <w:vAlign w:val="bottom"/>
          </w:tcPr>
          <w:p>
            <w:pPr>
              <w:jc w:val="right"/>
              <w:spacing w:after="0" w:line="107" w:lineRule="exact"/>
              <w:rPr>
                <w:sz w:val="20"/>
                <w:szCs w:val="20"/>
                <w:color w:val="auto"/>
              </w:rPr>
            </w:pPr>
            <w:r>
              <w:rPr>
                <w:rFonts w:ascii="Arial" w:cs="Arial" w:eastAsia="Arial" w:hAnsi="Arial"/>
                <w:sz w:val="12"/>
                <w:szCs w:val="12"/>
                <w:b w:val="1"/>
                <w:bCs w:val="1"/>
                <w:color w:val="auto"/>
              </w:rPr>
              <w:t>TOTAL</w:t>
            </w:r>
          </w:p>
        </w:tc>
        <w:tc>
          <w:tcPr>
            <w:tcW w:w="160" w:type="dxa"/>
            <w:vAlign w:val="bottom"/>
            <w:tcBorders>
              <w:right w:val="single" w:sz="8" w:color="auto"/>
            </w:tcBorders>
          </w:tcPr>
          <w:p>
            <w:pPr>
              <w:spacing w:after="0"/>
              <w:rPr>
                <w:sz w:val="9"/>
                <w:szCs w:val="9"/>
                <w:color w:val="auto"/>
              </w:rPr>
            </w:pPr>
          </w:p>
        </w:tc>
        <w:tc>
          <w:tcPr>
            <w:tcW w:w="980" w:type="dxa"/>
            <w:vAlign w:val="bottom"/>
          </w:tcPr>
          <w:p>
            <w:pPr>
              <w:jc w:val="right"/>
              <w:spacing w:after="0" w:line="107" w:lineRule="exact"/>
              <w:rPr>
                <w:sz w:val="20"/>
                <w:szCs w:val="20"/>
                <w:color w:val="auto"/>
              </w:rPr>
            </w:pPr>
            <w:r>
              <w:rPr>
                <w:rFonts w:ascii="Arial" w:cs="Arial" w:eastAsia="Arial" w:hAnsi="Arial"/>
                <w:sz w:val="12"/>
                <w:szCs w:val="12"/>
                <w:b w:val="1"/>
                <w:bCs w:val="1"/>
                <w:color w:val="auto"/>
              </w:rPr>
              <w:t>PEER GROUP</w:t>
            </w:r>
          </w:p>
        </w:tc>
        <w:tc>
          <w:tcPr>
            <w:tcW w:w="160" w:type="dxa"/>
            <w:vAlign w:val="bottom"/>
            <w:tcBorders>
              <w:right w:val="single" w:sz="8" w:color="auto"/>
            </w:tcBorders>
          </w:tcPr>
          <w:p>
            <w:pPr>
              <w:spacing w:after="0"/>
              <w:rPr>
                <w:sz w:val="9"/>
                <w:szCs w:val="9"/>
                <w:color w:val="auto"/>
              </w:rPr>
            </w:pPr>
          </w:p>
        </w:tc>
        <w:tc>
          <w:tcPr>
            <w:tcW w:w="940" w:type="dxa"/>
            <w:vAlign w:val="bottom"/>
          </w:tcPr>
          <w:p>
            <w:pPr>
              <w:jc w:val="right"/>
              <w:spacing w:after="0" w:line="107" w:lineRule="exact"/>
              <w:rPr>
                <w:sz w:val="20"/>
                <w:szCs w:val="20"/>
                <w:color w:val="auto"/>
              </w:rPr>
            </w:pPr>
            <w:r>
              <w:rPr>
                <w:rFonts w:ascii="Arial" w:cs="Arial" w:eastAsia="Arial" w:hAnsi="Arial"/>
                <w:sz w:val="12"/>
                <w:szCs w:val="12"/>
                <w:b w:val="1"/>
                <w:bCs w:val="1"/>
                <w:color w:val="auto"/>
              </w:rPr>
              <w:t>NET</w:t>
            </w:r>
          </w:p>
        </w:tc>
        <w:tc>
          <w:tcPr>
            <w:tcW w:w="160" w:type="dxa"/>
            <w:vAlign w:val="bottom"/>
            <w:tcBorders>
              <w:right w:val="single" w:sz="8" w:color="auto"/>
            </w:tcBorders>
          </w:tcPr>
          <w:p>
            <w:pPr>
              <w:spacing w:after="0"/>
              <w:rPr>
                <w:sz w:val="9"/>
                <w:szCs w:val="9"/>
                <w:color w:val="auto"/>
              </w:rPr>
            </w:pPr>
          </w:p>
        </w:tc>
        <w:tc>
          <w:tcPr>
            <w:tcW w:w="1060" w:type="dxa"/>
            <w:vAlign w:val="bottom"/>
            <w:gridSpan w:val="2"/>
          </w:tcPr>
          <w:p>
            <w:pPr>
              <w:jc w:val="right"/>
              <w:ind w:right="180"/>
              <w:spacing w:after="0" w:line="107" w:lineRule="exact"/>
              <w:rPr>
                <w:sz w:val="20"/>
                <w:szCs w:val="20"/>
                <w:color w:val="auto"/>
              </w:rPr>
            </w:pPr>
            <w:r>
              <w:rPr>
                <w:rFonts w:ascii="Arial" w:cs="Arial" w:eastAsia="Arial" w:hAnsi="Arial"/>
                <w:sz w:val="12"/>
                <w:szCs w:val="12"/>
                <w:b w:val="1"/>
                <w:bCs w:val="1"/>
                <w:color w:val="auto"/>
              </w:rPr>
              <w:t>NET</w:t>
            </w: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b w:val="1"/>
                <w:bCs w:val="1"/>
                <w:color w:val="auto"/>
              </w:rPr>
              <w:t>TABLE TOTAL</w:t>
            </w:r>
          </w:p>
        </w:tc>
        <w:tc>
          <w:tcPr>
            <w:tcW w:w="160" w:type="dxa"/>
            <w:vAlign w:val="bottom"/>
            <w:tcBorders>
              <w:right w:val="single" w:sz="8" w:color="auto"/>
            </w:tcBorders>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2"/>
                <w:szCs w:val="12"/>
                <w:b w:val="1"/>
                <w:bCs w:val="1"/>
                <w:color w:val="auto"/>
              </w:rPr>
              <w:t>ACTUALLY PAID</w:t>
            </w:r>
          </w:p>
        </w:tc>
        <w:tc>
          <w:tcPr>
            <w:tcW w:w="160" w:type="dxa"/>
            <w:vAlign w:val="bottom"/>
            <w:tcBorders>
              <w:right w:val="single" w:sz="8" w:color="auto"/>
            </w:tcBorders>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2"/>
                <w:szCs w:val="12"/>
                <w:b w:val="1"/>
                <w:bCs w:val="1"/>
                <w:color w:val="auto"/>
              </w:rPr>
              <w:t>FOR NON-PEO</w:t>
            </w:r>
          </w:p>
        </w:tc>
        <w:tc>
          <w:tcPr>
            <w:tcW w:w="160" w:type="dxa"/>
            <w:vAlign w:val="bottom"/>
            <w:tcBorders>
              <w:right w:val="single" w:sz="8" w:color="auto"/>
            </w:tcBorders>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2"/>
                <w:szCs w:val="12"/>
                <w:b w:val="1"/>
                <w:bCs w:val="1"/>
                <w:color w:val="auto"/>
              </w:rPr>
              <w:t>TO NON-PEO</w:t>
            </w:r>
          </w:p>
        </w:tc>
        <w:tc>
          <w:tcPr>
            <w:tcW w:w="160" w:type="dxa"/>
            <w:vAlign w:val="bottom"/>
            <w:tcBorders>
              <w:right w:val="single" w:sz="8" w:color="auto"/>
            </w:tcBorders>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b w:val="1"/>
                <w:bCs w:val="1"/>
                <w:color w:val="auto"/>
                <w:w w:val="99"/>
              </w:rPr>
              <w:t>SHAREHOLDER</w:t>
            </w:r>
          </w:p>
        </w:tc>
        <w:tc>
          <w:tcPr>
            <w:tcW w:w="160" w:type="dxa"/>
            <w:vAlign w:val="bottom"/>
            <w:tcBorders>
              <w:right w:val="single" w:sz="8" w:color="auto"/>
            </w:tcBorders>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b w:val="1"/>
                <w:bCs w:val="1"/>
                <w:color w:val="auto"/>
                <w:w w:val="99"/>
              </w:rPr>
              <w:t>SHAREHOLDER</w:t>
            </w:r>
          </w:p>
        </w:tc>
        <w:tc>
          <w:tcPr>
            <w:tcW w:w="160" w:type="dxa"/>
            <w:vAlign w:val="bottom"/>
            <w:tcBorders>
              <w:right w:val="single" w:sz="8" w:color="auto"/>
            </w:tcBorders>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b w:val="1"/>
                <w:bCs w:val="1"/>
                <w:color w:val="auto"/>
              </w:rPr>
              <w:t>INCOME</w:t>
            </w:r>
          </w:p>
        </w:tc>
        <w:tc>
          <w:tcPr>
            <w:tcW w:w="160" w:type="dxa"/>
            <w:vAlign w:val="bottom"/>
            <w:tcBorders>
              <w:right w:val="single" w:sz="8" w:color="auto"/>
            </w:tcBorders>
          </w:tcPr>
          <w:p>
            <w:pPr>
              <w:spacing w:after="0"/>
              <w:rPr>
                <w:sz w:val="14"/>
                <w:szCs w:val="14"/>
                <w:color w:val="auto"/>
              </w:rPr>
            </w:pPr>
          </w:p>
        </w:tc>
        <w:tc>
          <w:tcPr>
            <w:tcW w:w="1060" w:type="dxa"/>
            <w:vAlign w:val="bottom"/>
            <w:gridSpan w:val="2"/>
          </w:tcPr>
          <w:p>
            <w:pPr>
              <w:jc w:val="right"/>
              <w:ind w:right="180"/>
              <w:spacing w:after="0" w:line="163" w:lineRule="exact"/>
              <w:rPr>
                <w:sz w:val="20"/>
                <w:szCs w:val="20"/>
                <w:color w:val="auto"/>
              </w:rPr>
            </w:pPr>
            <w:r>
              <w:rPr>
                <w:rFonts w:ascii="Arial" w:cs="Arial" w:eastAsia="Arial" w:hAnsi="Arial"/>
                <w:sz w:val="11"/>
                <w:szCs w:val="11"/>
                <w:b w:val="1"/>
                <w:bCs w:val="1"/>
                <w:color w:val="auto"/>
              </w:rPr>
              <w:t>REVENUE</w:t>
            </w:r>
            <w:r>
              <w:rPr>
                <w:rFonts w:ascii="Arial" w:cs="Arial" w:eastAsia="Arial" w:hAnsi="Arial"/>
                <w:sz w:val="18"/>
                <w:szCs w:val="18"/>
                <w:b w:val="1"/>
                <w:bCs w:val="1"/>
                <w:color w:val="auto"/>
                <w:vertAlign w:val="superscript"/>
              </w:rPr>
              <w:t>f</w:t>
            </w:r>
          </w:p>
        </w:tc>
        <w:tc>
          <w:tcPr>
            <w:tcW w:w="0" w:type="dxa"/>
            <w:vAlign w:val="bottom"/>
          </w:tcPr>
          <w:p>
            <w:pPr>
              <w:spacing w:after="0"/>
              <w:rPr>
                <w:sz w:val="1"/>
                <w:szCs w:val="1"/>
                <w:color w:val="auto"/>
              </w:rPr>
            </w:pPr>
          </w:p>
        </w:tc>
      </w:tr>
      <w:tr>
        <w:trPr>
          <w:trHeight w:val="173"/>
        </w:trPr>
        <w:tc>
          <w:tcPr>
            <w:tcW w:w="122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YEAR</w:t>
            </w:r>
          </w:p>
        </w:tc>
        <w:tc>
          <w:tcPr>
            <w:tcW w:w="140" w:type="dxa"/>
            <w:vAlign w:val="bottom"/>
            <w:tcBorders>
              <w:right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FOR PEO</w:t>
            </w:r>
          </w:p>
        </w:tc>
        <w:tc>
          <w:tcPr>
            <w:tcW w:w="160" w:type="dxa"/>
            <w:vAlign w:val="bottom"/>
            <w:tcBorders>
              <w:right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TO PEO</w:t>
            </w:r>
          </w:p>
        </w:tc>
        <w:tc>
          <w:tcPr>
            <w:tcW w:w="160" w:type="dxa"/>
            <w:vAlign w:val="bottom"/>
            <w:tcBorders>
              <w:right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NEOs</w:t>
            </w:r>
          </w:p>
        </w:tc>
        <w:tc>
          <w:tcPr>
            <w:tcW w:w="160" w:type="dxa"/>
            <w:vAlign w:val="bottom"/>
            <w:tcBorders>
              <w:right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NEOs</w:t>
            </w:r>
          </w:p>
        </w:tc>
        <w:tc>
          <w:tcPr>
            <w:tcW w:w="160" w:type="dxa"/>
            <w:vAlign w:val="bottom"/>
            <w:tcBorders>
              <w:right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RETURN</w:t>
            </w:r>
          </w:p>
        </w:tc>
        <w:tc>
          <w:tcPr>
            <w:tcW w:w="160" w:type="dxa"/>
            <w:vAlign w:val="bottom"/>
            <w:tcBorders>
              <w:right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2"/>
                <w:szCs w:val="12"/>
                <w:b w:val="1"/>
                <w:bCs w:val="1"/>
                <w:color w:val="auto"/>
              </w:rPr>
              <w:t>RETURN</w:t>
            </w:r>
            <w:r>
              <w:rPr>
                <w:rFonts w:ascii="Arial" w:cs="Arial" w:eastAsia="Arial" w:hAnsi="Arial"/>
                <w:sz w:val="19"/>
                <w:szCs w:val="19"/>
                <w:b w:val="1"/>
                <w:bCs w:val="1"/>
                <w:color w:val="auto"/>
                <w:vertAlign w:val="superscript"/>
              </w:rPr>
              <w:t>e</w:t>
            </w:r>
          </w:p>
        </w:tc>
        <w:tc>
          <w:tcPr>
            <w:tcW w:w="160" w:type="dxa"/>
            <w:vAlign w:val="bottom"/>
            <w:tcBorders>
              <w:right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2"/>
                <w:szCs w:val="12"/>
                <w:b w:val="1"/>
                <w:bCs w:val="1"/>
                <w:color w:val="auto"/>
              </w:rPr>
              <w:t>(in millions)</w:t>
            </w:r>
            <w:r>
              <w:rPr>
                <w:rFonts w:ascii="Arial" w:cs="Arial" w:eastAsia="Arial" w:hAnsi="Arial"/>
                <w:sz w:val="19"/>
                <w:szCs w:val="19"/>
                <w:b w:val="1"/>
                <w:bCs w:val="1"/>
                <w:color w:val="auto"/>
                <w:vertAlign w:val="superscript"/>
              </w:rPr>
              <w:t>1</w:t>
            </w:r>
          </w:p>
        </w:tc>
        <w:tc>
          <w:tcPr>
            <w:tcW w:w="160" w:type="dxa"/>
            <w:vAlign w:val="bottom"/>
            <w:tcBorders>
              <w:right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(in millions)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220" w:type="dxa"/>
            <w:vAlign w:val="bottom"/>
            <w:tcBorders>
              <w:bottom w:val="single" w:sz="8" w:color="auto"/>
            </w:tcBorders>
          </w:tcPr>
          <w:p>
            <w:pPr>
              <w:ind w:left="60"/>
              <w:spacing w:after="0" w:line="167" w:lineRule="exact"/>
              <w:rPr>
                <w:sz w:val="20"/>
                <w:szCs w:val="20"/>
                <w:color w:val="auto"/>
              </w:rPr>
            </w:pPr>
            <w:r>
              <w:rPr>
                <w:rFonts w:ascii="Arial" w:cs="Arial" w:eastAsia="Arial" w:hAnsi="Arial"/>
                <w:sz w:val="12"/>
                <w:szCs w:val="12"/>
                <w:b w:val="1"/>
                <w:bCs w:val="1"/>
                <w:color w:val="00254F"/>
              </w:rPr>
              <w:t>2023</w:t>
            </w:r>
            <w:r>
              <w:rPr>
                <w:rFonts w:ascii="Arial" w:cs="Arial" w:eastAsia="Arial" w:hAnsi="Arial"/>
                <w:sz w:val="19"/>
                <w:szCs w:val="19"/>
                <w:b w:val="1"/>
                <w:bCs w:val="1"/>
                <w:color w:val="00254F"/>
                <w:vertAlign w:val="superscript"/>
              </w:rPr>
              <w:t>a</w:t>
            </w:r>
          </w:p>
        </w:tc>
        <w:tc>
          <w:tcPr>
            <w:tcW w:w="140" w:type="dxa"/>
            <w:vAlign w:val="bottom"/>
            <w:tcBorders>
              <w:bottom w:val="single" w:sz="8" w:color="E7E7E8"/>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$12,841,931</w:t>
            </w:r>
          </w:p>
        </w:tc>
        <w:tc>
          <w:tcPr>
            <w:tcW w:w="160" w:type="dxa"/>
            <w:vAlign w:val="bottom"/>
            <w:tcBorders>
              <w:bottom w:val="single" w:sz="8" w:color="E7E7E8"/>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$13,510,536</w:t>
            </w:r>
          </w:p>
        </w:tc>
        <w:tc>
          <w:tcPr>
            <w:tcW w:w="160" w:type="dxa"/>
            <w:vAlign w:val="bottom"/>
            <w:tcBorders>
              <w:bottom w:val="single" w:sz="8" w:color="E7E7E8"/>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8,077,675</w:t>
            </w:r>
          </w:p>
        </w:tc>
        <w:tc>
          <w:tcPr>
            <w:tcW w:w="160" w:type="dxa"/>
            <w:vAlign w:val="bottom"/>
            <w:tcBorders>
              <w:bottom w:val="single" w:sz="8" w:color="E7E7E8"/>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r>
              <w:rPr>
                <w:rFonts w:ascii="Arial" w:cs="Arial" w:eastAsia="Arial" w:hAnsi="Arial"/>
                <w:sz w:val="8"/>
                <w:szCs w:val="8"/>
                <w:color w:val="auto"/>
              </w:rPr>
              <w:t> </w:t>
            </w:r>
            <w:r>
              <w:rPr>
                <w:rFonts w:ascii="Arial" w:cs="Arial" w:eastAsia="Arial" w:hAnsi="Arial"/>
                <w:sz w:val="13"/>
                <w:szCs w:val="13"/>
                <w:color w:val="auto"/>
              </w:rPr>
              <w:t>  8,191,931</w:t>
            </w:r>
          </w:p>
        </w:tc>
        <w:tc>
          <w:tcPr>
            <w:tcW w:w="160" w:type="dxa"/>
            <w:vAlign w:val="bottom"/>
            <w:tcBorders>
              <w:bottom w:val="single" w:sz="8" w:color="E7E7E8"/>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$102.91</w:t>
            </w:r>
          </w:p>
        </w:tc>
        <w:tc>
          <w:tcPr>
            <w:tcW w:w="160" w:type="dxa"/>
            <w:vAlign w:val="bottom"/>
            <w:tcBorders>
              <w:bottom w:val="single" w:sz="8" w:color="E7E7E8"/>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$174.60</w:t>
            </w:r>
          </w:p>
        </w:tc>
        <w:tc>
          <w:tcPr>
            <w:tcW w:w="160" w:type="dxa"/>
            <w:vAlign w:val="bottom"/>
            <w:tcBorders>
              <w:bottom w:val="single" w:sz="8" w:color="E7E7E8"/>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$1,835.7</w:t>
            </w:r>
          </w:p>
        </w:tc>
        <w:tc>
          <w:tcPr>
            <w:tcW w:w="160" w:type="dxa"/>
            <w:vAlign w:val="bottom"/>
            <w:tcBorders>
              <w:bottom w:val="single" w:sz="8" w:color="E7E7E8"/>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$6,460.5</w:t>
            </w:r>
          </w:p>
        </w:tc>
        <w:tc>
          <w:tcPr>
            <w:tcW w:w="120" w:type="dxa"/>
            <w:vAlign w:val="bottom"/>
            <w:tcBorders>
              <w:bottom w:val="single" w:sz="8" w:color="E7E7E8"/>
            </w:tcBorders>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20" w:type="dxa"/>
            <w:vAlign w:val="bottom"/>
            <w:tcBorders>
              <w:bottom w:val="single" w:sz="8" w:color="auto"/>
            </w:tcBorders>
            <w:shd w:val="clear" w:color="auto" w:fill="E7E7E8"/>
          </w:tcPr>
          <w:p>
            <w:pPr>
              <w:ind w:left="60"/>
              <w:spacing w:after="0" w:line="167" w:lineRule="exact"/>
              <w:rPr>
                <w:sz w:val="20"/>
                <w:szCs w:val="20"/>
                <w:color w:val="auto"/>
              </w:rPr>
            </w:pPr>
            <w:r>
              <w:rPr>
                <w:rFonts w:ascii="Arial" w:cs="Arial" w:eastAsia="Arial" w:hAnsi="Arial"/>
                <w:sz w:val="12"/>
                <w:szCs w:val="12"/>
                <w:b w:val="1"/>
                <w:bCs w:val="1"/>
                <w:color w:val="00254F"/>
              </w:rPr>
              <w:t>2022</w:t>
            </w:r>
            <w:r>
              <w:rPr>
                <w:rFonts w:ascii="Arial" w:cs="Arial" w:eastAsia="Arial" w:hAnsi="Arial"/>
                <w:sz w:val="19"/>
                <w:szCs w:val="19"/>
                <w:b w:val="1"/>
                <w:bCs w:val="1"/>
                <w:color w:val="00254F"/>
                <w:vertAlign w:val="superscript"/>
              </w:rPr>
              <w:t>b</w:t>
            </w:r>
          </w:p>
        </w:tc>
        <w:tc>
          <w:tcPr>
            <w:tcW w:w="140" w:type="dxa"/>
            <w:vAlign w:val="bottom"/>
            <w:tcBorders>
              <w:right w:val="single" w:sz="8" w:color="E7E7E8"/>
            </w:tcBorders>
            <w:shd w:val="clear" w:color="auto" w:fill="E7E7E8"/>
          </w:tcPr>
          <w:p>
            <w:pPr>
              <w:spacing w:after="0"/>
              <w:rPr>
                <w:sz w:val="14"/>
                <w:szCs w:val="14"/>
                <w:color w:val="auto"/>
              </w:rPr>
            </w:pPr>
          </w:p>
        </w:tc>
        <w:tc>
          <w:tcPr>
            <w:tcW w:w="12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$13,838,613</w:t>
            </w:r>
          </w:p>
        </w:tc>
        <w:tc>
          <w:tcPr>
            <w:tcW w:w="160" w:type="dxa"/>
            <w:vAlign w:val="bottom"/>
            <w:tcBorders>
              <w:right w:val="single" w:sz="8" w:color="E7E7E8"/>
            </w:tcBorders>
            <w:shd w:val="clear" w:color="auto" w:fill="E7E7E8"/>
          </w:tcPr>
          <w:p>
            <w:pPr>
              <w:spacing w:after="0"/>
              <w:rPr>
                <w:sz w:val="14"/>
                <w:szCs w:val="14"/>
                <w:color w:val="auto"/>
              </w:rPr>
            </w:pPr>
          </w:p>
        </w:tc>
        <w:tc>
          <w:tcPr>
            <w:tcW w:w="1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$ 2,999,756</w:t>
            </w:r>
          </w:p>
        </w:tc>
        <w:tc>
          <w:tcPr>
            <w:tcW w:w="160" w:type="dxa"/>
            <w:vAlign w:val="bottom"/>
            <w:tcBorders>
              <w:right w:val="single" w:sz="8" w:color="E7E7E8"/>
            </w:tcBorders>
            <w:shd w:val="clear" w:color="auto" w:fill="E7E7E8"/>
          </w:tcPr>
          <w:p>
            <w:pPr>
              <w:spacing w:after="0"/>
              <w:rPr>
                <w:sz w:val="14"/>
                <w:szCs w:val="14"/>
                <w:color w:val="auto"/>
              </w:rPr>
            </w:pPr>
          </w:p>
        </w:tc>
        <w:tc>
          <w:tcPr>
            <w:tcW w:w="5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8,430,654</w:t>
            </w:r>
          </w:p>
        </w:tc>
        <w:tc>
          <w:tcPr>
            <w:tcW w:w="160" w:type="dxa"/>
            <w:vAlign w:val="bottom"/>
            <w:tcBorders>
              <w:right w:val="single" w:sz="8" w:color="E7E7E8"/>
            </w:tcBorders>
            <w:shd w:val="clear" w:color="auto" w:fill="E7E7E8"/>
          </w:tcPr>
          <w:p>
            <w:pPr>
              <w:spacing w:after="0"/>
              <w:rPr>
                <w:sz w:val="14"/>
                <w:szCs w:val="14"/>
                <w:color w:val="auto"/>
              </w:rPr>
            </w:pPr>
          </w:p>
        </w:tc>
        <w:tc>
          <w:tcPr>
            <w:tcW w:w="1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$ 5,616,935</w:t>
            </w:r>
          </w:p>
        </w:tc>
        <w:tc>
          <w:tcPr>
            <w:tcW w:w="160" w:type="dxa"/>
            <w:vAlign w:val="bottom"/>
            <w:tcBorders>
              <w:right w:val="single" w:sz="8" w:color="E7E7E8"/>
            </w:tcBorders>
            <w:shd w:val="clear" w:color="auto" w:fill="E7E7E8"/>
          </w:tcPr>
          <w:p>
            <w:pPr>
              <w:spacing w:after="0"/>
              <w:rPr>
                <w:sz w:val="14"/>
                <w:szCs w:val="14"/>
                <w:color w:val="auto"/>
              </w:rPr>
            </w:pPr>
          </w:p>
        </w:tc>
        <w:tc>
          <w:tcPr>
            <w:tcW w:w="10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$ 99.67</w:t>
            </w:r>
          </w:p>
        </w:tc>
        <w:tc>
          <w:tcPr>
            <w:tcW w:w="160" w:type="dxa"/>
            <w:vAlign w:val="bottom"/>
            <w:tcBorders>
              <w:right w:val="single" w:sz="8" w:color="E7E7E8"/>
            </w:tcBorders>
            <w:shd w:val="clear" w:color="auto" w:fill="E7E7E8"/>
          </w:tcPr>
          <w:p>
            <w:pPr>
              <w:spacing w:after="0"/>
              <w:rPr>
                <w:sz w:val="14"/>
                <w:szCs w:val="14"/>
                <w:color w:val="auto"/>
              </w:rPr>
            </w:pPr>
          </w:p>
        </w:tc>
        <w:tc>
          <w:tcPr>
            <w:tcW w:w="9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$129.13</w:t>
            </w:r>
          </w:p>
        </w:tc>
        <w:tc>
          <w:tcPr>
            <w:tcW w:w="160" w:type="dxa"/>
            <w:vAlign w:val="bottom"/>
            <w:tcBorders>
              <w:right w:val="single" w:sz="8" w:color="E7E7E8"/>
            </w:tcBorders>
            <w:shd w:val="clear" w:color="auto" w:fill="E7E7E8"/>
          </w:tcPr>
          <w:p>
            <w:pPr>
              <w:spacing w:after="0"/>
              <w:rPr>
                <w:sz w:val="14"/>
                <w:szCs w:val="14"/>
                <w:color w:val="auto"/>
              </w:rPr>
            </w:pPr>
          </w:p>
        </w:tc>
        <w:tc>
          <w:tcPr>
            <w:tcW w:w="9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$1,449.6</w:t>
            </w:r>
          </w:p>
        </w:tc>
        <w:tc>
          <w:tcPr>
            <w:tcW w:w="160" w:type="dxa"/>
            <w:vAlign w:val="bottom"/>
            <w:tcBorders>
              <w:right w:val="single" w:sz="8" w:color="E7E7E8"/>
            </w:tcBorders>
            <w:shd w:val="clear" w:color="auto" w:fill="E7E7E8"/>
          </w:tcPr>
          <w:p>
            <w:pPr>
              <w:spacing w:after="0"/>
              <w:rPr>
                <w:sz w:val="14"/>
                <w:szCs w:val="14"/>
                <w:color w:val="auto"/>
              </w:rPr>
            </w:pPr>
          </w:p>
        </w:tc>
        <w:tc>
          <w:tcPr>
            <w:tcW w:w="9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$6,488.4</w:t>
            </w:r>
          </w:p>
        </w:tc>
        <w:tc>
          <w:tcPr>
            <w:tcW w:w="12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20" w:type="dxa"/>
            <w:vAlign w:val="bottom"/>
          </w:tcPr>
          <w:p>
            <w:pPr>
              <w:ind w:left="60"/>
              <w:spacing w:after="0" w:line="167" w:lineRule="exact"/>
              <w:rPr>
                <w:sz w:val="20"/>
                <w:szCs w:val="20"/>
                <w:color w:val="auto"/>
              </w:rPr>
            </w:pPr>
            <w:r>
              <w:rPr>
                <w:rFonts w:ascii="Arial" w:cs="Arial" w:eastAsia="Arial" w:hAnsi="Arial"/>
                <w:sz w:val="12"/>
                <w:szCs w:val="12"/>
                <w:b w:val="1"/>
                <w:bCs w:val="1"/>
                <w:color w:val="00254F"/>
              </w:rPr>
              <w:t>2021</w:t>
            </w:r>
            <w:r>
              <w:rPr>
                <w:rFonts w:ascii="Arial" w:cs="Arial" w:eastAsia="Arial" w:hAnsi="Arial"/>
                <w:sz w:val="19"/>
                <w:szCs w:val="19"/>
                <w:b w:val="1"/>
                <w:bCs w:val="1"/>
                <w:color w:val="00254F"/>
                <w:vertAlign w:val="superscript"/>
              </w:rPr>
              <w:t>c</w:t>
            </w:r>
          </w:p>
        </w:tc>
        <w:tc>
          <w:tcPr>
            <w:tcW w:w="1420" w:type="dxa"/>
            <w:vAlign w:val="bottom"/>
            <w:gridSpan w:val="2"/>
          </w:tcPr>
          <w:p>
            <w:pPr>
              <w:jc w:val="right"/>
              <w:spacing w:after="0"/>
              <w:rPr>
                <w:sz w:val="20"/>
                <w:szCs w:val="20"/>
                <w:color w:val="auto"/>
              </w:rPr>
            </w:pPr>
            <w:r>
              <w:rPr>
                <w:rFonts w:ascii="Arial" w:cs="Arial" w:eastAsia="Arial" w:hAnsi="Arial"/>
                <w:sz w:val="13"/>
                <w:szCs w:val="13"/>
                <w:color w:val="auto"/>
              </w:rPr>
              <w:t>$17,127,330</w:t>
            </w:r>
          </w:p>
        </w:tc>
        <w:tc>
          <w:tcPr>
            <w:tcW w:w="1320" w:type="dxa"/>
            <w:vAlign w:val="bottom"/>
            <w:gridSpan w:val="2"/>
          </w:tcPr>
          <w:p>
            <w:pPr>
              <w:jc w:val="right"/>
              <w:spacing w:after="0"/>
              <w:rPr>
                <w:sz w:val="20"/>
                <w:szCs w:val="20"/>
                <w:color w:val="auto"/>
              </w:rPr>
            </w:pPr>
            <w:r>
              <w:rPr>
                <w:rFonts w:ascii="Arial" w:cs="Arial" w:eastAsia="Arial" w:hAnsi="Arial"/>
                <w:sz w:val="13"/>
                <w:szCs w:val="13"/>
                <w:color w:val="auto"/>
              </w:rPr>
              <w:t>$23,404,280</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9,119,220</w:t>
            </w:r>
          </w:p>
        </w:tc>
        <w:tc>
          <w:tcPr>
            <w:tcW w:w="1320" w:type="dxa"/>
            <w:vAlign w:val="bottom"/>
            <w:gridSpan w:val="2"/>
          </w:tcPr>
          <w:p>
            <w:pPr>
              <w:jc w:val="right"/>
              <w:spacing w:after="0"/>
              <w:rPr>
                <w:sz w:val="20"/>
                <w:szCs w:val="20"/>
                <w:color w:val="auto"/>
              </w:rPr>
            </w:pPr>
            <w:r>
              <w:rPr>
                <w:rFonts w:ascii="Arial" w:cs="Arial" w:eastAsia="Arial" w:hAnsi="Arial"/>
                <w:sz w:val="13"/>
                <w:szCs w:val="13"/>
                <w:color w:val="auto"/>
              </w:rPr>
              <w:t>$10,768,644</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$172.50</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$175.40</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$3,098.5</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$7,671.9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20" w:type="dxa"/>
            <w:vAlign w:val="bottom"/>
            <w:tcBorders>
              <w:top w:val="single" w:sz="8" w:color="auto"/>
              <w:bottom w:val="single" w:sz="8" w:color="auto"/>
            </w:tcBorders>
            <w:shd w:val="clear" w:color="auto" w:fill="EEEFEE"/>
          </w:tcPr>
          <w:p>
            <w:pPr>
              <w:ind w:left="60"/>
              <w:spacing w:after="0" w:line="167" w:lineRule="exact"/>
              <w:rPr>
                <w:sz w:val="20"/>
                <w:szCs w:val="20"/>
                <w:color w:val="auto"/>
              </w:rPr>
            </w:pPr>
            <w:r>
              <w:rPr>
                <w:rFonts w:ascii="Arial" w:cs="Arial" w:eastAsia="Arial" w:hAnsi="Arial"/>
                <w:sz w:val="12"/>
                <w:szCs w:val="12"/>
                <w:b w:val="1"/>
                <w:bCs w:val="1"/>
                <w:color w:val="00254F"/>
              </w:rPr>
              <w:t>2020</w:t>
            </w:r>
            <w:r>
              <w:rPr>
                <w:rFonts w:ascii="Arial" w:cs="Arial" w:eastAsia="Arial" w:hAnsi="Arial"/>
                <w:sz w:val="19"/>
                <w:szCs w:val="19"/>
                <w:b w:val="1"/>
                <w:bCs w:val="1"/>
                <w:color w:val="00254F"/>
                <w:vertAlign w:val="superscript"/>
              </w:rPr>
              <w:t>d</w:t>
            </w:r>
          </w:p>
        </w:tc>
        <w:tc>
          <w:tcPr>
            <w:tcW w:w="140" w:type="dxa"/>
            <w:vAlign w:val="bottom"/>
            <w:tcBorders>
              <w:right w:val="single" w:sz="8" w:color="EEEFEE"/>
            </w:tcBorders>
          </w:tcPr>
          <w:p>
            <w:pPr>
              <w:spacing w:after="0"/>
              <w:rPr>
                <w:sz w:val="14"/>
                <w:szCs w:val="14"/>
                <w:color w:val="auto"/>
              </w:rPr>
            </w:pPr>
          </w:p>
        </w:tc>
        <w:tc>
          <w:tcPr>
            <w:tcW w:w="128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$15,337,274</w:t>
            </w:r>
          </w:p>
        </w:tc>
        <w:tc>
          <w:tcPr>
            <w:tcW w:w="160" w:type="dxa"/>
            <w:vAlign w:val="bottom"/>
            <w:tcBorders>
              <w:right w:val="single" w:sz="8" w:color="EEEFEE"/>
            </w:tcBorders>
          </w:tcPr>
          <w:p>
            <w:pPr>
              <w:spacing w:after="0"/>
              <w:rPr>
                <w:sz w:val="14"/>
                <w:szCs w:val="14"/>
                <w:color w:val="auto"/>
              </w:rPr>
            </w:pPr>
          </w:p>
        </w:tc>
        <w:tc>
          <w:tcPr>
            <w:tcW w:w="116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$19,367,486</w:t>
            </w:r>
          </w:p>
        </w:tc>
        <w:tc>
          <w:tcPr>
            <w:tcW w:w="160" w:type="dxa"/>
            <w:vAlign w:val="bottom"/>
            <w:tcBorders>
              <w:right w:val="single" w:sz="8" w:color="EEEFEE"/>
            </w:tcBorders>
          </w:tcPr>
          <w:p>
            <w:pPr>
              <w:spacing w:after="0"/>
              <w:rPr>
                <w:sz w:val="14"/>
                <w:szCs w:val="14"/>
                <w:color w:val="auto"/>
              </w:rPr>
            </w:pPr>
          </w:p>
        </w:tc>
        <w:tc>
          <w:tcPr>
            <w:tcW w:w="1180" w:type="dxa"/>
            <w:vAlign w:val="bottom"/>
            <w:tcBorders>
              <w:top w:val="single" w:sz="8" w:color="auto"/>
              <w:bottom w:val="single" w:sz="8" w:color="auto"/>
            </w:tcBorders>
            <w:gridSpan w:val="2"/>
            <w:shd w:val="clear" w:color="auto" w:fill="EEEFEE"/>
          </w:tcPr>
          <w:p>
            <w:pPr>
              <w:jc w:val="right"/>
              <w:spacing w:after="0"/>
              <w:rPr>
                <w:sz w:val="20"/>
                <w:szCs w:val="20"/>
                <w:color w:val="auto"/>
              </w:rPr>
            </w:pPr>
            <w:r>
              <w:rPr>
                <w:rFonts w:ascii="Arial" w:cs="Arial" w:eastAsia="Arial" w:hAnsi="Arial"/>
                <w:sz w:val="13"/>
                <w:szCs w:val="13"/>
                <w:color w:val="auto"/>
              </w:rPr>
              <w:t>$10,969,887</w:t>
            </w:r>
          </w:p>
        </w:tc>
        <w:tc>
          <w:tcPr>
            <w:tcW w:w="160" w:type="dxa"/>
            <w:vAlign w:val="bottom"/>
            <w:tcBorders>
              <w:right w:val="single" w:sz="8" w:color="EEEFEE"/>
            </w:tcBorders>
          </w:tcPr>
          <w:p>
            <w:pPr>
              <w:spacing w:after="0"/>
              <w:rPr>
                <w:sz w:val="14"/>
                <w:szCs w:val="14"/>
                <w:color w:val="auto"/>
              </w:rPr>
            </w:pPr>
          </w:p>
        </w:tc>
        <w:tc>
          <w:tcPr>
            <w:tcW w:w="116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$13,917,124</w:t>
            </w:r>
          </w:p>
        </w:tc>
        <w:tc>
          <w:tcPr>
            <w:tcW w:w="160" w:type="dxa"/>
            <w:vAlign w:val="bottom"/>
            <w:tcBorders>
              <w:right w:val="single" w:sz="8" w:color="EEEFEE"/>
            </w:tcBorders>
          </w:tcPr>
          <w:p>
            <w:pPr>
              <w:spacing w:after="0"/>
              <w:rPr>
                <w:sz w:val="14"/>
                <w:szCs w:val="14"/>
                <w:color w:val="auto"/>
              </w:rPr>
            </w:pPr>
          </w:p>
        </w:tc>
        <w:tc>
          <w:tcPr>
            <w:tcW w:w="100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$127.89</w:t>
            </w:r>
          </w:p>
        </w:tc>
        <w:tc>
          <w:tcPr>
            <w:tcW w:w="160" w:type="dxa"/>
            <w:vAlign w:val="bottom"/>
            <w:tcBorders>
              <w:right w:val="single" w:sz="8" w:color="EEEFEE"/>
            </w:tcBorders>
          </w:tcPr>
          <w:p>
            <w:pPr>
              <w:spacing w:after="0"/>
              <w:rPr>
                <w:sz w:val="14"/>
                <w:szCs w:val="14"/>
                <w:color w:val="auto"/>
              </w:rPr>
            </w:pPr>
          </w:p>
        </w:tc>
        <w:tc>
          <w:tcPr>
            <w:tcW w:w="98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$118.99</w:t>
            </w:r>
          </w:p>
        </w:tc>
        <w:tc>
          <w:tcPr>
            <w:tcW w:w="160" w:type="dxa"/>
            <w:vAlign w:val="bottom"/>
            <w:tcBorders>
              <w:right w:val="single" w:sz="8" w:color="EEEFEE"/>
            </w:tcBorders>
          </w:tcPr>
          <w:p>
            <w:pPr>
              <w:spacing w:after="0"/>
              <w:rPr>
                <w:sz w:val="14"/>
                <w:szCs w:val="14"/>
                <w:color w:val="auto"/>
              </w:rPr>
            </w:pPr>
          </w:p>
        </w:tc>
        <w:tc>
          <w:tcPr>
            <w:tcW w:w="94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$2,523.3</w:t>
            </w:r>
          </w:p>
        </w:tc>
        <w:tc>
          <w:tcPr>
            <w:tcW w:w="160" w:type="dxa"/>
            <w:vAlign w:val="bottom"/>
            <w:tcBorders>
              <w:right w:val="single" w:sz="8" w:color="EEEFEE"/>
            </w:tcBorders>
          </w:tcPr>
          <w:p>
            <w:pPr>
              <w:spacing w:after="0"/>
              <w:rPr>
                <w:sz w:val="14"/>
                <w:szCs w:val="14"/>
                <w:color w:val="auto"/>
              </w:rPr>
            </w:pPr>
          </w:p>
        </w:tc>
        <w:tc>
          <w:tcPr>
            <w:tcW w:w="94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$6,206.7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-364490</wp:posOffset>
            </wp:positionV>
            <wp:extent cx="86995" cy="1187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6995" cy="118745"/>
                    </a:xfrm>
                    <a:prstGeom prst="rect">
                      <a:avLst/>
                    </a:prstGeom>
                    <a:noFill/>
                  </pic:spPr>
                </pic:pic>
              </a:graphicData>
            </a:graphic>
          </wp:anchor>
        </w:drawing>
        <w:drawing>
          <wp:anchor simplePos="0" relativeHeight="251657728" behindDoc="1" locked="0" layoutInCell="0" allowOverlap="1">
            <wp:simplePos x="0" y="0"/>
            <wp:positionH relativeFrom="column">
              <wp:posOffset>1674495</wp:posOffset>
            </wp:positionH>
            <wp:positionV relativeFrom="paragraph">
              <wp:posOffset>-364490</wp:posOffset>
            </wp:positionV>
            <wp:extent cx="86995" cy="1187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6995" cy="118745"/>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-364490</wp:posOffset>
            </wp:positionV>
            <wp:extent cx="86995" cy="1187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6995" cy="11874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-364490</wp:posOffset>
            </wp:positionV>
            <wp:extent cx="86995" cy="1187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6995" cy="118745"/>
                    </a:xfrm>
                    <a:prstGeom prst="rect">
                      <a:avLst/>
                    </a:prstGeom>
                    <a:noFill/>
                  </pic:spPr>
                </pic:pic>
              </a:graphicData>
            </a:graphic>
          </wp:anchor>
        </w:drawing>
        <w:drawing>
          <wp:anchor simplePos="0" relativeHeight="251657728" behindDoc="1" locked="0" layoutInCell="0" allowOverlap="1">
            <wp:simplePos x="0" y="0"/>
            <wp:positionH relativeFrom="column">
              <wp:posOffset>4206240</wp:posOffset>
            </wp:positionH>
            <wp:positionV relativeFrom="paragraph">
              <wp:posOffset>-364490</wp:posOffset>
            </wp:positionV>
            <wp:extent cx="86995" cy="1187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6995" cy="118745"/>
                    </a:xfrm>
                    <a:prstGeom prst="rect">
                      <a:avLst/>
                    </a:prstGeom>
                    <a:noFill/>
                  </pic:spPr>
                </pic:pic>
              </a:graphicData>
            </a:graphic>
          </wp:anchor>
        </w:drawing>
        <w:drawing>
          <wp:anchor simplePos="0" relativeHeight="251657728" behindDoc="1" locked="0" layoutInCell="0" allowOverlap="1">
            <wp:simplePos x="0" y="0"/>
            <wp:positionH relativeFrom="column">
              <wp:posOffset>4936490</wp:posOffset>
            </wp:positionH>
            <wp:positionV relativeFrom="paragraph">
              <wp:posOffset>-364490</wp:posOffset>
            </wp:positionV>
            <wp:extent cx="86995" cy="1187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6995" cy="118745"/>
                    </a:xfrm>
                    <a:prstGeom prst="rect">
                      <a:avLst/>
                    </a:prstGeom>
                    <a:noFill/>
                  </pic:spPr>
                </pic:pic>
              </a:graphicData>
            </a:graphic>
          </wp:anchor>
        </w:drawing>
        <w:drawing>
          <wp:anchor simplePos="0" relativeHeight="251657728" behindDoc="1" locked="0" layoutInCell="0" allowOverlap="1">
            <wp:simplePos x="0" y="0"/>
            <wp:positionH relativeFrom="column">
              <wp:posOffset>5666105</wp:posOffset>
            </wp:positionH>
            <wp:positionV relativeFrom="paragraph">
              <wp:posOffset>-364490</wp:posOffset>
            </wp:positionV>
            <wp:extent cx="86995" cy="1187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6995" cy="118745"/>
                    </a:xfrm>
                    <a:prstGeom prst="rect">
                      <a:avLst/>
                    </a:prstGeom>
                    <a:noFill/>
                  </pic:spPr>
                </pic:pic>
              </a:graphicData>
            </a:graphic>
          </wp:anchor>
        </w:drawing>
        <w:drawing>
          <wp:anchor simplePos="0" relativeHeight="251657728" behindDoc="1" locked="0" layoutInCell="0" allowOverlap="1">
            <wp:simplePos x="0" y="0"/>
            <wp:positionH relativeFrom="column">
              <wp:posOffset>6364605</wp:posOffset>
            </wp:positionH>
            <wp:positionV relativeFrom="paragraph">
              <wp:posOffset>-364490</wp:posOffset>
            </wp:positionV>
            <wp:extent cx="86995" cy="1187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6995" cy="118745"/>
                    </a:xfrm>
                    <a:prstGeom prst="rect">
                      <a:avLst/>
                    </a:prstGeom>
                    <a:noFill/>
                  </pic:spPr>
                </pic:pic>
              </a:graphicData>
            </a:graphic>
          </wp:anchor>
        </w:drawing>
        <w:drawing>
          <wp:anchor simplePos="0" relativeHeight="251657728" behindDoc="1" locked="0" layoutInCell="0" allowOverlap="1">
            <wp:simplePos x="0" y="0"/>
            <wp:positionH relativeFrom="column">
              <wp:posOffset>7055485</wp:posOffset>
            </wp:positionH>
            <wp:positionV relativeFrom="paragraph">
              <wp:posOffset>-364490</wp:posOffset>
            </wp:positionV>
            <wp:extent cx="86995" cy="1187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6995" cy="118745"/>
                    </a:xfrm>
                    <a:prstGeom prst="rect">
                      <a:avLst/>
                    </a:prstGeom>
                    <a:noFill/>
                  </pic:spPr>
                </pic:pic>
              </a:graphicData>
            </a:graphic>
          </wp:anchor>
        </w:drawing>
      </w:r>
    </w:p>
    <w:p>
      <w:pPr>
        <w:spacing w:after="0" w:line="172" w:lineRule="exact"/>
        <w:rPr>
          <w:sz w:val="20"/>
          <w:szCs w:val="20"/>
          <w:color w:val="auto"/>
        </w:rPr>
      </w:pPr>
    </w:p>
    <w:p>
      <w:pPr>
        <w:ind w:left="300" w:right="300" w:hanging="300"/>
        <w:spacing w:after="0" w:line="193" w:lineRule="auto"/>
        <w:tabs>
          <w:tab w:leader="none" w:pos="300" w:val="left"/>
        </w:tabs>
        <w:numPr>
          <w:ilvl w:val="0"/>
          <w:numId w:val="117"/>
        </w:numPr>
        <w:rPr>
          <w:rFonts w:ascii="Times New Roman" w:cs="Times New Roman" w:eastAsia="Times New Roman" w:hAnsi="Times New Roman"/>
          <w:sz w:val="22"/>
          <w:szCs w:val="22"/>
          <w:color w:val="auto"/>
          <w:vertAlign w:val="superscript"/>
        </w:rPr>
      </w:pPr>
      <w:r>
        <w:rPr>
          <w:rFonts w:ascii="Arial" w:cs="Arial" w:eastAsia="Arial" w:hAnsi="Arial"/>
          <w:sz w:val="13"/>
          <w:szCs w:val="13"/>
          <w:color w:val="auto"/>
        </w:rPr>
        <w:t>Figures shown reflect net income before the impact of net income (loss) attributable to redeemable non-controlling interests for the years ended December 31, 2023, 2022, 2021 and 2020 in the amount of $47.0 million, $(108.3) million, $15.6 million and $150.6 million, respectively.</w:t>
      </w:r>
    </w:p>
    <w:p>
      <w:pPr>
        <w:spacing w:after="0" w:line="51" w:lineRule="exact"/>
        <w:rPr>
          <w:sz w:val="20"/>
          <w:szCs w:val="20"/>
          <w:color w:val="auto"/>
        </w:rPr>
      </w:pPr>
    </w:p>
    <w:p>
      <w:pPr>
        <w:ind w:left="300" w:right="220" w:hanging="300"/>
        <w:spacing w:after="0" w:line="206" w:lineRule="auto"/>
        <w:tabs>
          <w:tab w:leader="none" w:pos="300" w:val="left"/>
        </w:tabs>
        <w:numPr>
          <w:ilvl w:val="0"/>
          <w:numId w:val="118"/>
        </w:numPr>
        <w:rPr>
          <w:rFonts w:ascii="Times New Roman" w:cs="Times New Roman" w:eastAsia="Times New Roman" w:hAnsi="Times New Roman"/>
          <w:sz w:val="22"/>
          <w:szCs w:val="22"/>
          <w:color w:val="auto"/>
          <w:vertAlign w:val="superscript"/>
        </w:rPr>
      </w:pPr>
      <w:r>
        <w:rPr>
          <w:rFonts w:ascii="Arial" w:cs="Arial" w:eastAsia="Arial" w:hAnsi="Arial"/>
          <w:sz w:val="13"/>
          <w:szCs w:val="13"/>
          <w:color w:val="auto"/>
        </w:rPr>
        <w:t>The adjustments to the Summary Compensation Table totals to arrive to compensation actually paid in 2023 are outlined below. No awards were modified in 2023. These valuations assume a year-end share price of $107.69 and average vest share price of $101.79. During this period Mr. Sharps served as the PEO and Ms. Dardis, Messrs. August, Thomson, and Veiel served as the Non-PEO NEOs.</w:t>
      </w:r>
    </w:p>
    <w:p>
      <w:pPr>
        <w:spacing w:after="0" w:line="153"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69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AVERAGE</w:t>
            </w:r>
          </w:p>
        </w:tc>
        <w:tc>
          <w:tcPr>
            <w:tcW w:w="0" w:type="dxa"/>
            <w:vAlign w:val="bottom"/>
          </w:tcPr>
          <w:p>
            <w:pPr>
              <w:spacing w:after="0"/>
              <w:rPr>
                <w:sz w:val="1"/>
                <w:szCs w:val="1"/>
                <w:color w:val="auto"/>
              </w:rPr>
            </w:pPr>
          </w:p>
        </w:tc>
      </w:tr>
      <w:tr>
        <w:trPr>
          <w:trHeight w:val="125"/>
        </w:trPr>
        <w:tc>
          <w:tcPr>
            <w:tcW w:w="702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2"/>
                <w:szCs w:val="12"/>
                <w:b w:val="1"/>
                <w:bCs w:val="1"/>
                <w:color w:val="auto"/>
              </w:rPr>
              <w:t>As of 12/31/2023</w:t>
            </w:r>
          </w:p>
        </w:tc>
        <w:tc>
          <w:tcPr>
            <w:tcW w:w="1560" w:type="dxa"/>
            <w:vAlign w:val="bottom"/>
            <w:tcBorders>
              <w:right w:val="single" w:sz="8" w:color="auto"/>
            </w:tcBorders>
            <w:gridSpan w:val="3"/>
            <w:vMerge w:val="restart"/>
          </w:tcPr>
          <w:p>
            <w:pPr>
              <w:ind w:left="180"/>
              <w:spacing w:after="0"/>
              <w:rPr>
                <w:sz w:val="20"/>
                <w:szCs w:val="20"/>
                <w:color w:val="auto"/>
              </w:rPr>
            </w:pPr>
            <w:r>
              <w:rPr>
                <w:rFonts w:ascii="Arial" w:cs="Arial" w:eastAsia="Arial" w:hAnsi="Arial"/>
                <w:sz w:val="12"/>
                <w:szCs w:val="12"/>
                <w:b w:val="1"/>
                <w:bCs w:val="1"/>
                <w:color w:val="auto"/>
              </w:rPr>
              <w:t>PEO COMPENSATION</w:t>
            </w:r>
          </w:p>
        </w:tc>
        <w:tc>
          <w:tcPr>
            <w:tcW w:w="1540" w:type="dxa"/>
            <w:vAlign w:val="bottom"/>
            <w:gridSpan w:val="2"/>
          </w:tcPr>
          <w:p>
            <w:pPr>
              <w:jc w:val="right"/>
              <w:spacing w:after="0" w:line="125" w:lineRule="exact"/>
              <w:rPr>
                <w:sz w:val="20"/>
                <w:szCs w:val="20"/>
                <w:color w:val="auto"/>
              </w:rPr>
            </w:pPr>
            <w:r>
              <w:rPr>
                <w:rFonts w:ascii="Arial" w:cs="Arial" w:eastAsia="Arial" w:hAnsi="Arial"/>
                <w:sz w:val="12"/>
                <w:szCs w:val="12"/>
                <w:b w:val="1"/>
                <w:bCs w:val="1"/>
                <w:color w:val="auto"/>
              </w:rPr>
              <w:t>COMPENSATION FOR</w:t>
            </w:r>
          </w:p>
        </w:tc>
        <w:tc>
          <w:tcPr>
            <w:tcW w:w="0" w:type="dxa"/>
            <w:vAlign w:val="bottom"/>
          </w:tcPr>
          <w:p>
            <w:pPr>
              <w:spacing w:after="0"/>
              <w:rPr>
                <w:sz w:val="1"/>
                <w:szCs w:val="1"/>
                <w:color w:val="auto"/>
              </w:rPr>
            </w:pPr>
          </w:p>
        </w:tc>
      </w:tr>
      <w:tr>
        <w:trPr>
          <w:trHeight w:val="143"/>
        </w:trPr>
        <w:tc>
          <w:tcPr>
            <w:tcW w:w="7020" w:type="dxa"/>
            <w:vAlign w:val="bottom"/>
            <w:tcBorders>
              <w:right w:val="single" w:sz="8" w:color="auto"/>
            </w:tcBorders>
            <w:gridSpan w:val="2"/>
            <w:vMerge w:val="continue"/>
          </w:tcPr>
          <w:p>
            <w:pPr>
              <w:spacing w:after="0"/>
              <w:rPr>
                <w:sz w:val="12"/>
                <w:szCs w:val="12"/>
                <w:color w:val="auto"/>
              </w:rPr>
            </w:pPr>
          </w:p>
        </w:tc>
        <w:tc>
          <w:tcPr>
            <w:tcW w:w="1560" w:type="dxa"/>
            <w:vAlign w:val="bottom"/>
            <w:tcBorders>
              <w:right w:val="single" w:sz="8" w:color="auto"/>
            </w:tcBorders>
            <w:gridSpan w:val="3"/>
            <w:vMerge w:val="continue"/>
          </w:tcPr>
          <w:p>
            <w:pPr>
              <w:spacing w:after="0"/>
              <w:rPr>
                <w:sz w:val="12"/>
                <w:szCs w:val="12"/>
                <w:color w:val="auto"/>
              </w:rPr>
            </w:pPr>
          </w:p>
        </w:tc>
        <w:tc>
          <w:tcPr>
            <w:tcW w:w="1540" w:type="dxa"/>
            <w:vAlign w:val="bottom"/>
            <w:gridSpan w:val="2"/>
          </w:tcPr>
          <w:p>
            <w:pPr>
              <w:jc w:val="right"/>
              <w:spacing w:after="0"/>
              <w:rPr>
                <w:sz w:val="20"/>
                <w:szCs w:val="20"/>
                <w:color w:val="auto"/>
              </w:rPr>
            </w:pPr>
            <w:r>
              <w:rPr>
                <w:rFonts w:ascii="Arial" w:cs="Arial" w:eastAsia="Arial" w:hAnsi="Arial"/>
                <w:sz w:val="12"/>
                <w:szCs w:val="12"/>
                <w:b w:val="1"/>
                <w:bCs w:val="1"/>
                <w:color w:val="auto"/>
              </w:rPr>
              <w:t>NON-PEO NEOs</w:t>
            </w:r>
          </w:p>
        </w:tc>
        <w:tc>
          <w:tcPr>
            <w:tcW w:w="0" w:type="dxa"/>
            <w:vAlign w:val="bottom"/>
          </w:tcPr>
          <w:p>
            <w:pPr>
              <w:spacing w:after="0"/>
              <w:rPr>
                <w:sz w:val="1"/>
                <w:szCs w:val="1"/>
                <w:color w:val="auto"/>
              </w:rPr>
            </w:pPr>
          </w:p>
        </w:tc>
      </w:tr>
      <w:tr>
        <w:trPr>
          <w:trHeight w:val="142"/>
        </w:trPr>
        <w:tc>
          <w:tcPr>
            <w:tcW w:w="6900" w:type="dxa"/>
            <w:vAlign w:val="bottom"/>
            <w:tcBorders>
              <w:top w:val="single" w:sz="8" w:color="auto"/>
              <w:bottom w:val="single" w:sz="8" w:color="auto"/>
            </w:tcBorders>
          </w:tcPr>
          <w:p>
            <w:pPr>
              <w:jc w:val="right"/>
              <w:ind w:right="14"/>
              <w:spacing w:after="0" w:line="143" w:lineRule="exact"/>
              <w:rPr>
                <w:sz w:val="20"/>
                <w:szCs w:val="20"/>
                <w:color w:val="auto"/>
              </w:rPr>
            </w:pPr>
            <w:r>
              <w:rPr>
                <w:rFonts w:ascii="Arial" w:cs="Arial" w:eastAsia="Arial" w:hAnsi="Arial"/>
                <w:sz w:val="13"/>
                <w:szCs w:val="13"/>
                <w:b w:val="1"/>
                <w:bCs w:val="1"/>
                <w:color w:val="auto"/>
              </w:rPr>
              <w:t>Summary Compensation Table—2024 Proxy</w:t>
            </w:r>
          </w:p>
        </w:tc>
        <w:tc>
          <w:tcPr>
            <w:tcW w:w="120" w:type="dxa"/>
            <w:vAlign w:val="bottom"/>
            <w:tcBorders>
              <w:bottom w:val="single" w:sz="8" w:color="E7E7E8"/>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7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12,841,931</w:t>
            </w:r>
          </w:p>
        </w:tc>
        <w:tc>
          <w:tcPr>
            <w:tcW w:w="120" w:type="dxa"/>
            <w:vAlign w:val="bottom"/>
            <w:tcBorders>
              <w:bottom w:val="single" w:sz="8" w:color="E7E7E8"/>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7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8,077,675</w:t>
            </w:r>
          </w:p>
        </w:tc>
        <w:tc>
          <w:tcPr>
            <w:tcW w:w="0" w:type="dxa"/>
            <w:vAlign w:val="bottom"/>
          </w:tcPr>
          <w:p>
            <w:pPr>
              <w:spacing w:after="0"/>
              <w:rPr>
                <w:sz w:val="1"/>
                <w:szCs w:val="1"/>
                <w:color w:val="auto"/>
              </w:rPr>
            </w:pPr>
          </w:p>
        </w:tc>
      </w:tr>
      <w:tr>
        <w:trPr>
          <w:trHeight w:val="142"/>
        </w:trPr>
        <w:tc>
          <w:tcPr>
            <w:tcW w:w="6900" w:type="dxa"/>
            <w:vAlign w:val="bottom"/>
            <w:tcBorders>
              <w:bottom w:val="single" w:sz="8" w:color="auto"/>
            </w:tcBorders>
            <w:shd w:val="clear" w:color="auto" w:fill="E7E7E8"/>
          </w:tcPr>
          <w:p>
            <w:pPr>
              <w:jc w:val="right"/>
              <w:ind w:right="14"/>
              <w:spacing w:after="0" w:line="143" w:lineRule="exact"/>
              <w:rPr>
                <w:sz w:val="20"/>
                <w:szCs w:val="20"/>
                <w:color w:val="auto"/>
              </w:rPr>
            </w:pPr>
            <w:r>
              <w:rPr>
                <w:rFonts w:ascii="Arial" w:cs="Arial" w:eastAsia="Arial" w:hAnsi="Arial"/>
                <w:sz w:val="13"/>
                <w:szCs w:val="13"/>
                <w:color w:val="auto"/>
              </w:rPr>
              <w:t>Subtract Grant Date Fair Value of Stock Awards Granted in 2023</w:t>
            </w:r>
          </w:p>
        </w:tc>
        <w:tc>
          <w:tcPr>
            <w:tcW w:w="120" w:type="dxa"/>
            <w:vAlign w:val="bottom"/>
            <w:tcBorders>
              <w:right w:val="single" w:sz="8" w:color="E7E7E8"/>
            </w:tcBorders>
            <w:shd w:val="clear" w:color="auto" w:fill="E7E7E8"/>
          </w:tcPr>
          <w:p>
            <w:pPr>
              <w:spacing w:after="0"/>
              <w:rPr>
                <w:sz w:val="12"/>
                <w:szCs w:val="12"/>
                <w:color w:val="auto"/>
              </w:rPr>
            </w:pPr>
          </w:p>
        </w:tc>
        <w:tc>
          <w:tcPr>
            <w:tcW w:w="720" w:type="dxa"/>
            <w:vAlign w:val="bottom"/>
            <w:tcBorders>
              <w:bottom w:val="single" w:sz="8" w:color="auto"/>
            </w:tcBorders>
            <w:shd w:val="clear" w:color="auto" w:fill="E7E7E8"/>
          </w:tcPr>
          <w:p>
            <w:pPr>
              <w:jc w:val="right"/>
              <w:spacing w:after="0" w:line="143"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E7E7E8"/>
          </w:tcPr>
          <w:p>
            <w:pPr>
              <w:jc w:val="right"/>
              <w:spacing w:after="0" w:line="143" w:lineRule="exact"/>
              <w:rPr>
                <w:sz w:val="20"/>
                <w:szCs w:val="20"/>
                <w:color w:val="auto"/>
              </w:rPr>
            </w:pPr>
            <w:r>
              <w:rPr>
                <w:rFonts w:ascii="Arial" w:cs="Arial" w:eastAsia="Arial" w:hAnsi="Arial"/>
                <w:sz w:val="13"/>
                <w:szCs w:val="13"/>
                <w:color w:val="auto"/>
              </w:rPr>
              <w:t>(5,100,097)</w:t>
            </w:r>
          </w:p>
        </w:tc>
        <w:tc>
          <w:tcPr>
            <w:tcW w:w="120" w:type="dxa"/>
            <w:vAlign w:val="bottom"/>
            <w:tcBorders>
              <w:right w:val="single" w:sz="8" w:color="E7E7E8"/>
            </w:tcBorders>
            <w:shd w:val="clear" w:color="auto" w:fill="E7E7E8"/>
          </w:tcPr>
          <w:p>
            <w:pPr>
              <w:spacing w:after="0"/>
              <w:rPr>
                <w:sz w:val="12"/>
                <w:szCs w:val="12"/>
                <w:color w:val="auto"/>
              </w:rPr>
            </w:pPr>
          </w:p>
        </w:tc>
        <w:tc>
          <w:tcPr>
            <w:tcW w:w="840" w:type="dxa"/>
            <w:vAlign w:val="bottom"/>
            <w:tcBorders>
              <w:bottom w:val="single" w:sz="8" w:color="auto"/>
            </w:tcBorders>
            <w:shd w:val="clear" w:color="auto" w:fill="E7E7E8"/>
          </w:tcPr>
          <w:p>
            <w:pPr>
              <w:jc w:val="right"/>
              <w:spacing w:after="0" w:line="143"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E7E7E8"/>
          </w:tcPr>
          <w:p>
            <w:pPr>
              <w:jc w:val="right"/>
              <w:spacing w:after="0" w:line="143" w:lineRule="exact"/>
              <w:rPr>
                <w:sz w:val="20"/>
                <w:szCs w:val="20"/>
                <w:color w:val="auto"/>
              </w:rPr>
            </w:pPr>
            <w:r>
              <w:rPr>
                <w:rFonts w:ascii="Arial" w:cs="Arial" w:eastAsia="Arial" w:hAnsi="Arial"/>
                <w:sz w:val="13"/>
                <w:szCs w:val="13"/>
                <w:color w:val="auto"/>
                <w:w w:val="99"/>
              </w:rPr>
              <w:t>(1,468,859)</w:t>
            </w:r>
          </w:p>
        </w:tc>
        <w:tc>
          <w:tcPr>
            <w:tcW w:w="0" w:type="dxa"/>
            <w:vAlign w:val="bottom"/>
          </w:tcPr>
          <w:p>
            <w:pPr>
              <w:spacing w:after="0"/>
              <w:rPr>
                <w:sz w:val="1"/>
                <w:szCs w:val="1"/>
                <w:color w:val="auto"/>
              </w:rPr>
            </w:pPr>
          </w:p>
        </w:tc>
      </w:tr>
      <w:tr>
        <w:trPr>
          <w:trHeight w:val="142"/>
        </w:trPr>
        <w:tc>
          <w:tcPr>
            <w:tcW w:w="6900" w:type="dxa"/>
            <w:vAlign w:val="bottom"/>
            <w:tcBorders>
              <w:bottom w:val="single" w:sz="8" w:color="auto"/>
            </w:tcBorders>
          </w:tcPr>
          <w:p>
            <w:pPr>
              <w:jc w:val="right"/>
              <w:ind w:right="14"/>
              <w:spacing w:after="0" w:line="143" w:lineRule="exact"/>
              <w:rPr>
                <w:sz w:val="20"/>
                <w:szCs w:val="20"/>
                <w:color w:val="auto"/>
              </w:rPr>
            </w:pPr>
            <w:r>
              <w:rPr>
                <w:rFonts w:ascii="Arial" w:cs="Arial" w:eastAsia="Arial" w:hAnsi="Arial"/>
                <w:sz w:val="13"/>
                <w:szCs w:val="13"/>
                <w:color w:val="auto"/>
              </w:rPr>
              <w:t>Add Year-End Fair Value of Stock Awards Granted and Unvested in 2023</w:t>
            </w:r>
          </w:p>
        </w:tc>
        <w:tc>
          <w:tcPr>
            <w:tcW w:w="120" w:type="dxa"/>
            <w:vAlign w:val="bottom"/>
            <w:tcBorders>
              <w:bottom w:val="single" w:sz="8" w:color="E7E7E8"/>
            </w:tcBorders>
          </w:tcPr>
          <w:p>
            <w:pPr>
              <w:spacing w:after="0"/>
              <w:rPr>
                <w:sz w:val="12"/>
                <w:szCs w:val="12"/>
                <w:color w:val="auto"/>
              </w:rPr>
            </w:pPr>
          </w:p>
        </w:tc>
        <w:tc>
          <w:tcPr>
            <w:tcW w:w="7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5,462,252</w:t>
            </w:r>
          </w:p>
        </w:tc>
        <w:tc>
          <w:tcPr>
            <w:tcW w:w="120" w:type="dxa"/>
            <w:vAlign w:val="bottom"/>
            <w:tcBorders>
              <w:bottom w:val="single" w:sz="8" w:color="E7E7E8"/>
            </w:tcBorders>
          </w:tcPr>
          <w:p>
            <w:pPr>
              <w:spacing w:after="0"/>
              <w:rPr>
                <w:sz w:val="12"/>
                <w:szCs w:val="12"/>
                <w:color w:val="auto"/>
              </w:rPr>
            </w:pP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1,573,162</w:t>
            </w:r>
          </w:p>
        </w:tc>
        <w:tc>
          <w:tcPr>
            <w:tcW w:w="0" w:type="dxa"/>
            <w:vAlign w:val="bottom"/>
          </w:tcPr>
          <w:p>
            <w:pPr>
              <w:spacing w:after="0"/>
              <w:rPr>
                <w:sz w:val="1"/>
                <w:szCs w:val="1"/>
                <w:color w:val="auto"/>
              </w:rPr>
            </w:pPr>
          </w:p>
        </w:tc>
      </w:tr>
      <w:tr>
        <w:trPr>
          <w:trHeight w:val="142"/>
        </w:trPr>
        <w:tc>
          <w:tcPr>
            <w:tcW w:w="6900" w:type="dxa"/>
            <w:vAlign w:val="bottom"/>
            <w:tcBorders>
              <w:bottom w:val="single" w:sz="8" w:color="auto"/>
            </w:tcBorders>
            <w:shd w:val="clear" w:color="auto" w:fill="E7E7E8"/>
          </w:tcPr>
          <w:p>
            <w:pPr>
              <w:jc w:val="right"/>
              <w:ind w:right="14"/>
              <w:spacing w:after="0" w:line="143" w:lineRule="exact"/>
              <w:rPr>
                <w:sz w:val="20"/>
                <w:szCs w:val="20"/>
                <w:color w:val="auto"/>
              </w:rPr>
            </w:pPr>
            <w:r>
              <w:rPr>
                <w:rFonts w:ascii="Arial" w:cs="Arial" w:eastAsia="Arial" w:hAnsi="Arial"/>
                <w:sz w:val="13"/>
                <w:szCs w:val="13"/>
                <w:color w:val="auto"/>
              </w:rPr>
              <w:t>Add Change in Fair Value of Prior Year Grants Unvested and Outstanding</w:t>
            </w:r>
          </w:p>
        </w:tc>
        <w:tc>
          <w:tcPr>
            <w:tcW w:w="120" w:type="dxa"/>
            <w:vAlign w:val="bottom"/>
            <w:tcBorders>
              <w:right w:val="single" w:sz="8" w:color="E7E7E8"/>
            </w:tcBorders>
            <w:shd w:val="clear" w:color="auto" w:fill="E7E7E8"/>
          </w:tcPr>
          <w:p>
            <w:pPr>
              <w:spacing w:after="0"/>
              <w:rPr>
                <w:sz w:val="12"/>
                <w:szCs w:val="12"/>
                <w:color w:val="auto"/>
              </w:rPr>
            </w:pPr>
          </w:p>
        </w:tc>
        <w:tc>
          <w:tcPr>
            <w:tcW w:w="720" w:type="dxa"/>
            <w:vAlign w:val="bottom"/>
            <w:tcBorders>
              <w:bottom w:val="single" w:sz="8" w:color="auto"/>
            </w:tcBorders>
            <w:shd w:val="clear" w:color="auto" w:fill="E7E7E8"/>
          </w:tcPr>
          <w:p>
            <w:pPr>
              <w:jc w:val="right"/>
              <w:spacing w:after="0" w:line="143"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E7E7E8"/>
          </w:tcPr>
          <w:p>
            <w:pPr>
              <w:jc w:val="right"/>
              <w:spacing w:after="0" w:line="143" w:lineRule="exact"/>
              <w:rPr>
                <w:sz w:val="20"/>
                <w:szCs w:val="20"/>
                <w:color w:val="auto"/>
              </w:rPr>
            </w:pPr>
            <w:r>
              <w:rPr>
                <w:rFonts w:ascii="Arial" w:cs="Arial" w:eastAsia="Arial" w:hAnsi="Arial"/>
                <w:sz w:val="13"/>
                <w:szCs w:val="13"/>
                <w:color w:val="auto"/>
              </w:rPr>
              <w:t>(132,516)</w:t>
            </w:r>
          </w:p>
        </w:tc>
        <w:tc>
          <w:tcPr>
            <w:tcW w:w="120" w:type="dxa"/>
            <w:vAlign w:val="bottom"/>
            <w:tcBorders>
              <w:right w:val="single" w:sz="8" w:color="E7E7E8"/>
            </w:tcBorders>
            <w:shd w:val="clear" w:color="auto" w:fill="E7E7E8"/>
          </w:tcPr>
          <w:p>
            <w:pPr>
              <w:spacing w:after="0"/>
              <w:rPr>
                <w:sz w:val="12"/>
                <w:szCs w:val="12"/>
                <w:color w:val="auto"/>
              </w:rPr>
            </w:pPr>
          </w:p>
        </w:tc>
        <w:tc>
          <w:tcPr>
            <w:tcW w:w="840" w:type="dxa"/>
            <w:vAlign w:val="bottom"/>
            <w:tcBorders>
              <w:bottom w:val="single" w:sz="8" w:color="auto"/>
            </w:tcBorders>
            <w:shd w:val="clear" w:color="auto" w:fill="E7E7E8"/>
          </w:tcPr>
          <w:p>
            <w:pPr>
              <w:jc w:val="right"/>
              <w:spacing w:after="0" w:line="143"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E7E7E8"/>
          </w:tcPr>
          <w:p>
            <w:pPr>
              <w:jc w:val="right"/>
              <w:spacing w:after="0" w:line="143" w:lineRule="exact"/>
              <w:rPr>
                <w:sz w:val="20"/>
                <w:szCs w:val="20"/>
                <w:color w:val="auto"/>
              </w:rPr>
            </w:pPr>
            <w:r>
              <w:rPr>
                <w:rFonts w:ascii="Arial" w:cs="Arial" w:eastAsia="Arial" w:hAnsi="Arial"/>
                <w:sz w:val="13"/>
                <w:szCs w:val="13"/>
                <w:color w:val="auto"/>
              </w:rPr>
              <w:t>(35,248)</w:t>
            </w:r>
          </w:p>
        </w:tc>
        <w:tc>
          <w:tcPr>
            <w:tcW w:w="0" w:type="dxa"/>
            <w:vAlign w:val="bottom"/>
          </w:tcPr>
          <w:p>
            <w:pPr>
              <w:spacing w:after="0"/>
              <w:rPr>
                <w:sz w:val="1"/>
                <w:szCs w:val="1"/>
                <w:color w:val="auto"/>
              </w:rPr>
            </w:pPr>
          </w:p>
        </w:tc>
      </w:tr>
      <w:tr>
        <w:trPr>
          <w:trHeight w:val="142"/>
        </w:trPr>
        <w:tc>
          <w:tcPr>
            <w:tcW w:w="6900" w:type="dxa"/>
            <w:vAlign w:val="bottom"/>
            <w:tcBorders>
              <w:bottom w:val="single" w:sz="8" w:color="auto"/>
            </w:tcBorders>
          </w:tcPr>
          <w:p>
            <w:pPr>
              <w:jc w:val="right"/>
              <w:ind w:right="14"/>
              <w:spacing w:after="0" w:line="143" w:lineRule="exact"/>
              <w:rPr>
                <w:sz w:val="20"/>
                <w:szCs w:val="20"/>
                <w:color w:val="auto"/>
              </w:rPr>
            </w:pPr>
            <w:r>
              <w:rPr>
                <w:rFonts w:ascii="Arial" w:cs="Arial" w:eastAsia="Arial" w:hAnsi="Arial"/>
                <w:sz w:val="13"/>
                <w:szCs w:val="13"/>
                <w:color w:val="auto"/>
              </w:rPr>
              <w:t>Add Change in Fair Value of Stock Awards (made in prior years) Vested as of Vesting Date in 2023</w:t>
            </w:r>
          </w:p>
        </w:tc>
        <w:tc>
          <w:tcPr>
            <w:tcW w:w="120" w:type="dxa"/>
            <w:vAlign w:val="bottom"/>
            <w:tcBorders>
              <w:bottom w:val="single" w:sz="8" w:color="E7E7E8"/>
            </w:tcBorders>
          </w:tcPr>
          <w:p>
            <w:pPr>
              <w:spacing w:after="0"/>
              <w:rPr>
                <w:sz w:val="12"/>
                <w:szCs w:val="12"/>
                <w:color w:val="auto"/>
              </w:rPr>
            </w:pPr>
          </w:p>
        </w:tc>
        <w:tc>
          <w:tcPr>
            <w:tcW w:w="7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(230,044)</w:t>
            </w:r>
          </w:p>
        </w:tc>
        <w:tc>
          <w:tcPr>
            <w:tcW w:w="120" w:type="dxa"/>
            <w:vAlign w:val="bottom"/>
            <w:tcBorders>
              <w:bottom w:val="single" w:sz="8" w:color="E7E7E8"/>
            </w:tcBorders>
          </w:tcPr>
          <w:p>
            <w:pPr>
              <w:spacing w:after="0"/>
              <w:rPr>
                <w:sz w:val="12"/>
                <w:szCs w:val="12"/>
                <w:color w:val="auto"/>
              </w:rPr>
            </w:pP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(97,994)</w:t>
            </w:r>
          </w:p>
        </w:tc>
        <w:tc>
          <w:tcPr>
            <w:tcW w:w="0" w:type="dxa"/>
            <w:vAlign w:val="bottom"/>
          </w:tcPr>
          <w:p>
            <w:pPr>
              <w:spacing w:after="0"/>
              <w:rPr>
                <w:sz w:val="1"/>
                <w:szCs w:val="1"/>
                <w:color w:val="auto"/>
              </w:rPr>
            </w:pPr>
          </w:p>
        </w:tc>
      </w:tr>
      <w:tr>
        <w:trPr>
          <w:trHeight w:val="142"/>
        </w:trPr>
        <w:tc>
          <w:tcPr>
            <w:tcW w:w="6900" w:type="dxa"/>
            <w:vAlign w:val="bottom"/>
            <w:tcBorders>
              <w:bottom w:val="single" w:sz="8" w:color="auto"/>
            </w:tcBorders>
            <w:shd w:val="clear" w:color="auto" w:fill="E7E7E8"/>
          </w:tcPr>
          <w:p>
            <w:pPr>
              <w:jc w:val="right"/>
              <w:ind w:right="14"/>
              <w:spacing w:after="0" w:line="143" w:lineRule="exact"/>
              <w:rPr>
                <w:sz w:val="20"/>
                <w:szCs w:val="20"/>
                <w:color w:val="auto"/>
              </w:rPr>
            </w:pPr>
            <w:r>
              <w:rPr>
                <w:rFonts w:ascii="Arial" w:cs="Arial" w:eastAsia="Arial" w:hAnsi="Arial"/>
                <w:sz w:val="13"/>
                <w:szCs w:val="13"/>
                <w:color w:val="auto"/>
              </w:rPr>
              <w:t>Add Dividend Equivalents Paid in 2023</w:t>
            </w:r>
          </w:p>
        </w:tc>
        <w:tc>
          <w:tcPr>
            <w:tcW w:w="120" w:type="dxa"/>
            <w:vAlign w:val="bottom"/>
            <w:tcBorders>
              <w:right w:val="single" w:sz="8" w:color="E7E7E8"/>
            </w:tcBorders>
            <w:shd w:val="clear" w:color="auto" w:fill="E7E7E8"/>
          </w:tcPr>
          <w:p>
            <w:pPr>
              <w:spacing w:after="0"/>
              <w:rPr>
                <w:sz w:val="12"/>
                <w:szCs w:val="12"/>
                <w:color w:val="auto"/>
              </w:rPr>
            </w:pPr>
          </w:p>
        </w:tc>
        <w:tc>
          <w:tcPr>
            <w:tcW w:w="720" w:type="dxa"/>
            <w:vAlign w:val="bottom"/>
            <w:tcBorders>
              <w:bottom w:val="single" w:sz="8" w:color="auto"/>
            </w:tcBorders>
            <w:shd w:val="clear" w:color="auto" w:fill="E7E7E8"/>
          </w:tcPr>
          <w:p>
            <w:pPr>
              <w:jc w:val="right"/>
              <w:spacing w:after="0" w:line="143"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E7E7E8"/>
          </w:tcPr>
          <w:p>
            <w:pPr>
              <w:jc w:val="right"/>
              <w:spacing w:after="0" w:line="143" w:lineRule="exact"/>
              <w:rPr>
                <w:sz w:val="20"/>
                <w:szCs w:val="20"/>
                <w:color w:val="auto"/>
              </w:rPr>
            </w:pPr>
            <w:r>
              <w:rPr>
                <w:rFonts w:ascii="Arial" w:cs="Arial" w:eastAsia="Arial" w:hAnsi="Arial"/>
                <w:sz w:val="13"/>
                <w:szCs w:val="13"/>
                <w:color w:val="auto"/>
              </w:rPr>
              <w:t>669,010</w:t>
            </w:r>
          </w:p>
        </w:tc>
        <w:tc>
          <w:tcPr>
            <w:tcW w:w="120" w:type="dxa"/>
            <w:vAlign w:val="bottom"/>
            <w:tcBorders>
              <w:right w:val="single" w:sz="8" w:color="E7E7E8"/>
            </w:tcBorders>
            <w:shd w:val="clear" w:color="auto" w:fill="E7E7E8"/>
          </w:tcPr>
          <w:p>
            <w:pPr>
              <w:spacing w:after="0"/>
              <w:rPr>
                <w:sz w:val="12"/>
                <w:szCs w:val="12"/>
                <w:color w:val="auto"/>
              </w:rPr>
            </w:pPr>
          </w:p>
        </w:tc>
        <w:tc>
          <w:tcPr>
            <w:tcW w:w="840" w:type="dxa"/>
            <w:vAlign w:val="bottom"/>
            <w:tcBorders>
              <w:bottom w:val="single" w:sz="8" w:color="auto"/>
            </w:tcBorders>
            <w:shd w:val="clear" w:color="auto" w:fill="E7E7E8"/>
          </w:tcPr>
          <w:p>
            <w:pPr>
              <w:jc w:val="right"/>
              <w:spacing w:after="0" w:line="143"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E7E7E8"/>
          </w:tcPr>
          <w:p>
            <w:pPr>
              <w:jc w:val="right"/>
              <w:spacing w:after="0" w:line="143" w:lineRule="exact"/>
              <w:rPr>
                <w:sz w:val="20"/>
                <w:szCs w:val="20"/>
                <w:color w:val="auto"/>
              </w:rPr>
            </w:pPr>
            <w:r>
              <w:rPr>
                <w:rFonts w:ascii="Arial" w:cs="Arial" w:eastAsia="Arial" w:hAnsi="Arial"/>
                <w:sz w:val="13"/>
                <w:szCs w:val="13"/>
                <w:color w:val="auto"/>
              </w:rPr>
              <w:t>143,195</w:t>
            </w:r>
          </w:p>
        </w:tc>
        <w:tc>
          <w:tcPr>
            <w:tcW w:w="0" w:type="dxa"/>
            <w:vAlign w:val="bottom"/>
          </w:tcPr>
          <w:p>
            <w:pPr>
              <w:spacing w:after="0"/>
              <w:rPr>
                <w:sz w:val="1"/>
                <w:szCs w:val="1"/>
                <w:color w:val="auto"/>
              </w:rPr>
            </w:pPr>
          </w:p>
        </w:tc>
      </w:tr>
      <w:tr>
        <w:trPr>
          <w:trHeight w:val="142"/>
        </w:trPr>
        <w:tc>
          <w:tcPr>
            <w:tcW w:w="6900" w:type="dxa"/>
            <w:vAlign w:val="bottom"/>
            <w:tcBorders>
              <w:bottom w:val="single" w:sz="8" w:color="auto"/>
            </w:tcBorders>
          </w:tcPr>
          <w:p>
            <w:pPr>
              <w:jc w:val="right"/>
              <w:ind w:right="14"/>
              <w:spacing w:after="0" w:line="143" w:lineRule="exact"/>
              <w:rPr>
                <w:sz w:val="20"/>
                <w:szCs w:val="20"/>
                <w:color w:val="auto"/>
              </w:rPr>
            </w:pPr>
            <w:r>
              <w:rPr>
                <w:rFonts w:ascii="Arial" w:cs="Arial" w:eastAsia="Arial" w:hAnsi="Arial"/>
                <w:sz w:val="13"/>
                <w:szCs w:val="13"/>
                <w:b w:val="1"/>
                <w:bCs w:val="1"/>
                <w:color w:val="auto"/>
              </w:rPr>
              <w:t>Compensation Actually Paid in 2023</w:t>
            </w:r>
          </w:p>
        </w:tc>
        <w:tc>
          <w:tcPr>
            <w:tcW w:w="12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13,510,536</w:t>
            </w:r>
          </w:p>
        </w:tc>
        <w:tc>
          <w:tcPr>
            <w:tcW w:w="12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8,191,931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5095240</wp:posOffset>
            </wp:positionH>
            <wp:positionV relativeFrom="paragraph">
              <wp:posOffset>-626110</wp:posOffset>
            </wp:positionV>
            <wp:extent cx="63500" cy="10287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3500" cy="102870"/>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-626110</wp:posOffset>
            </wp:positionV>
            <wp:extent cx="63500" cy="10287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3500" cy="102870"/>
                    </a:xfrm>
                    <a:prstGeom prst="rect">
                      <a:avLst/>
                    </a:prstGeom>
                    <a:noFill/>
                  </pic:spPr>
                </pic:pic>
              </a:graphicData>
            </a:graphic>
          </wp:anchor>
        </w:drawing>
        <w:drawing>
          <wp:anchor simplePos="0" relativeHeight="251657728" behindDoc="1" locked="0" layoutInCell="0" allowOverlap="1">
            <wp:simplePos x="0" y="0"/>
            <wp:positionH relativeFrom="column">
              <wp:posOffset>5095240</wp:posOffset>
            </wp:positionH>
            <wp:positionV relativeFrom="paragraph">
              <wp:posOffset>-419735</wp:posOffset>
            </wp:positionV>
            <wp:extent cx="63500" cy="10287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3500" cy="102870"/>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-419735</wp:posOffset>
            </wp:positionV>
            <wp:extent cx="63500" cy="10287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3500" cy="102870"/>
                    </a:xfrm>
                    <a:prstGeom prst="rect">
                      <a:avLst/>
                    </a:prstGeom>
                    <a:noFill/>
                  </pic:spPr>
                </pic:pic>
              </a:graphicData>
            </a:graphic>
          </wp:anchor>
        </w:drawing>
        <w:drawing>
          <wp:anchor simplePos="0" relativeHeight="251657728" behindDoc="1" locked="0" layoutInCell="0" allowOverlap="1">
            <wp:simplePos x="0" y="0"/>
            <wp:positionH relativeFrom="column">
              <wp:posOffset>5095240</wp:posOffset>
            </wp:positionH>
            <wp:positionV relativeFrom="paragraph">
              <wp:posOffset>-213360</wp:posOffset>
            </wp:positionV>
            <wp:extent cx="63500" cy="10287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3500" cy="102870"/>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-213360</wp:posOffset>
            </wp:positionV>
            <wp:extent cx="63500" cy="10287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3500" cy="102870"/>
                    </a:xfrm>
                    <a:prstGeom prst="rect">
                      <a:avLst/>
                    </a:prstGeom>
                    <a:noFill/>
                  </pic:spPr>
                </pic:pic>
              </a:graphicData>
            </a:graphic>
          </wp:anchor>
        </w:drawing>
      </w:r>
    </w:p>
    <w:p>
      <w:pPr>
        <w:spacing w:after="0" w:line="172" w:lineRule="exact"/>
        <w:rPr>
          <w:sz w:val="20"/>
          <w:szCs w:val="20"/>
          <w:color w:val="auto"/>
        </w:rPr>
      </w:pPr>
    </w:p>
    <w:p>
      <w:pPr>
        <w:jc w:val="both"/>
        <w:ind w:left="300" w:hanging="300"/>
        <w:spacing w:after="0" w:line="206" w:lineRule="auto"/>
        <w:tabs>
          <w:tab w:leader="none" w:pos="300" w:val="left"/>
        </w:tabs>
        <w:numPr>
          <w:ilvl w:val="0"/>
          <w:numId w:val="119"/>
        </w:numPr>
        <w:rPr>
          <w:rFonts w:ascii="Arial" w:cs="Arial" w:eastAsia="Arial" w:hAnsi="Arial"/>
          <w:sz w:val="22"/>
          <w:szCs w:val="22"/>
          <w:color w:val="auto"/>
          <w:vertAlign w:val="superscript"/>
        </w:rPr>
      </w:pPr>
      <w:r>
        <w:rPr>
          <w:rFonts w:ascii="Arial" w:cs="Arial" w:eastAsia="Arial" w:hAnsi="Arial"/>
          <w:sz w:val="13"/>
          <w:szCs w:val="13"/>
          <w:color w:val="auto"/>
        </w:rPr>
        <w:t>The adjustments to the Summary Compensation Table totals to arrive to compensation actually paid in 2022 are outlined below. No awards were modified in 2022. These valuations assume a year-end share price of $109.06 and average vest share price of $126.58. During this period Mr. Sharps served as the PEO and Ms. Dardis, Messrs. August, Thomson, and Veiel served as the Non-PEO NEOs.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Arial" w:cs="Arial" w:eastAsia="Arial" w:hAnsi="Arial"/>
                <w:sz w:val="12"/>
                <w:szCs w:val="12"/>
                <w:b w:val="1"/>
                <w:bCs w:val="1"/>
                <w:color w:val="auto"/>
              </w:rPr>
              <w:t>AVERAGE</w:t>
            </w:r>
          </w:p>
        </w:tc>
        <w:tc>
          <w:tcPr>
            <w:tcW w:w="0" w:type="dxa"/>
            <w:vAlign w:val="bottom"/>
          </w:tcPr>
          <w:p>
            <w:pPr>
              <w:spacing w:after="0"/>
              <w:rPr>
                <w:sz w:val="1"/>
                <w:szCs w:val="1"/>
                <w:color w:val="auto"/>
              </w:rPr>
            </w:pPr>
          </w:p>
        </w:tc>
      </w:tr>
      <w:tr>
        <w:trPr>
          <w:trHeight w:val="125"/>
        </w:trPr>
        <w:tc>
          <w:tcPr>
            <w:tcW w:w="1120" w:type="dxa"/>
            <w:vAlign w:val="bottom"/>
          </w:tcPr>
          <w:p>
            <w:pPr>
              <w:spacing w:after="0"/>
              <w:rPr>
                <w:sz w:val="10"/>
                <w:szCs w:val="10"/>
                <w:color w:val="auto"/>
              </w:rPr>
            </w:pPr>
          </w:p>
        </w:tc>
        <w:tc>
          <w:tcPr>
            <w:tcW w:w="708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2"/>
                <w:szCs w:val="12"/>
                <w:b w:val="1"/>
                <w:bCs w:val="1"/>
                <w:color w:val="auto"/>
              </w:rPr>
              <w:t>As of 12/31/2022</w:t>
            </w:r>
          </w:p>
        </w:tc>
        <w:tc>
          <w:tcPr>
            <w:tcW w:w="1600" w:type="dxa"/>
            <w:vAlign w:val="bottom"/>
            <w:tcBorders>
              <w:right w:val="single" w:sz="8" w:color="auto"/>
            </w:tcBorders>
            <w:gridSpan w:val="3"/>
            <w:vMerge w:val="restart"/>
          </w:tcPr>
          <w:p>
            <w:pPr>
              <w:ind w:left="200"/>
              <w:spacing w:after="0"/>
              <w:rPr>
                <w:sz w:val="20"/>
                <w:szCs w:val="20"/>
                <w:color w:val="auto"/>
              </w:rPr>
            </w:pPr>
            <w:r>
              <w:rPr>
                <w:rFonts w:ascii="Arial" w:cs="Arial" w:eastAsia="Arial" w:hAnsi="Arial"/>
                <w:sz w:val="12"/>
                <w:szCs w:val="12"/>
                <w:b w:val="1"/>
                <w:bCs w:val="1"/>
                <w:color w:val="auto"/>
              </w:rPr>
              <w:t>PEO COMPENSATION</w:t>
            </w:r>
          </w:p>
        </w:tc>
        <w:tc>
          <w:tcPr>
            <w:tcW w:w="1440" w:type="dxa"/>
            <w:vAlign w:val="bottom"/>
            <w:gridSpan w:val="3"/>
          </w:tcPr>
          <w:p>
            <w:pPr>
              <w:jc w:val="right"/>
              <w:spacing w:after="0" w:line="125" w:lineRule="exact"/>
              <w:rPr>
                <w:sz w:val="20"/>
                <w:szCs w:val="20"/>
                <w:color w:val="auto"/>
              </w:rPr>
            </w:pPr>
            <w:r>
              <w:rPr>
                <w:rFonts w:ascii="Arial" w:cs="Arial" w:eastAsia="Arial" w:hAnsi="Arial"/>
                <w:sz w:val="12"/>
                <w:szCs w:val="12"/>
                <w:b w:val="1"/>
                <w:bCs w:val="1"/>
                <w:color w:val="auto"/>
              </w:rPr>
              <w:t>COMPENSATION FOR</w:t>
            </w:r>
          </w:p>
        </w:tc>
        <w:tc>
          <w:tcPr>
            <w:tcW w:w="0" w:type="dxa"/>
            <w:vAlign w:val="bottom"/>
          </w:tcPr>
          <w:p>
            <w:pPr>
              <w:spacing w:after="0"/>
              <w:rPr>
                <w:sz w:val="1"/>
                <w:szCs w:val="1"/>
                <w:color w:val="auto"/>
              </w:rPr>
            </w:pPr>
          </w:p>
        </w:tc>
      </w:tr>
      <w:tr>
        <w:trPr>
          <w:trHeight w:val="143"/>
        </w:trPr>
        <w:tc>
          <w:tcPr>
            <w:tcW w:w="1120" w:type="dxa"/>
            <w:vAlign w:val="bottom"/>
          </w:tcPr>
          <w:p>
            <w:pPr>
              <w:spacing w:after="0"/>
              <w:rPr>
                <w:sz w:val="12"/>
                <w:szCs w:val="12"/>
                <w:color w:val="auto"/>
              </w:rPr>
            </w:pPr>
          </w:p>
        </w:tc>
        <w:tc>
          <w:tcPr>
            <w:tcW w:w="7080" w:type="dxa"/>
            <w:vAlign w:val="bottom"/>
            <w:tcBorders>
              <w:right w:val="single" w:sz="8" w:color="auto"/>
            </w:tcBorders>
            <w:gridSpan w:val="2"/>
            <w:vMerge w:val="continue"/>
          </w:tcPr>
          <w:p>
            <w:pPr>
              <w:spacing w:after="0"/>
              <w:rPr>
                <w:sz w:val="12"/>
                <w:szCs w:val="12"/>
                <w:color w:val="auto"/>
              </w:rPr>
            </w:pPr>
          </w:p>
        </w:tc>
        <w:tc>
          <w:tcPr>
            <w:tcW w:w="1600" w:type="dxa"/>
            <w:vAlign w:val="bottom"/>
            <w:tcBorders>
              <w:right w:val="single" w:sz="8" w:color="auto"/>
            </w:tcBorders>
            <w:gridSpan w:val="3"/>
            <w:vMerge w:val="continue"/>
          </w:tcPr>
          <w:p>
            <w:pPr>
              <w:spacing w:after="0"/>
              <w:rPr>
                <w:sz w:val="12"/>
                <w:szCs w:val="12"/>
                <w:color w:val="auto"/>
              </w:rPr>
            </w:pPr>
          </w:p>
        </w:tc>
        <w:tc>
          <w:tcPr>
            <w:tcW w:w="1440" w:type="dxa"/>
            <w:vAlign w:val="bottom"/>
            <w:gridSpan w:val="3"/>
          </w:tcPr>
          <w:p>
            <w:pPr>
              <w:jc w:val="right"/>
              <w:spacing w:after="0"/>
              <w:rPr>
                <w:sz w:val="20"/>
                <w:szCs w:val="20"/>
                <w:color w:val="auto"/>
              </w:rPr>
            </w:pPr>
            <w:r>
              <w:rPr>
                <w:rFonts w:ascii="Arial" w:cs="Arial" w:eastAsia="Arial" w:hAnsi="Arial"/>
                <w:sz w:val="12"/>
                <w:szCs w:val="12"/>
                <w:b w:val="1"/>
                <w:bCs w:val="1"/>
                <w:color w:val="auto"/>
              </w:rPr>
              <w:t>NON-PEO NEOs</w:t>
            </w: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6960" w:type="dxa"/>
            <w:vAlign w:val="bottom"/>
            <w:tcBorders>
              <w:top w:val="single" w:sz="8" w:color="auto"/>
              <w:bottom w:val="single" w:sz="8" w:color="auto"/>
            </w:tcBorders>
          </w:tcPr>
          <w:p>
            <w:pPr>
              <w:jc w:val="right"/>
              <w:ind w:right="14"/>
              <w:spacing w:after="0" w:line="143" w:lineRule="exact"/>
              <w:rPr>
                <w:sz w:val="20"/>
                <w:szCs w:val="20"/>
                <w:color w:val="auto"/>
              </w:rPr>
            </w:pPr>
            <w:r>
              <w:rPr>
                <w:rFonts w:ascii="Arial" w:cs="Arial" w:eastAsia="Arial" w:hAnsi="Arial"/>
                <w:sz w:val="13"/>
                <w:szCs w:val="13"/>
                <w:b w:val="1"/>
                <w:bCs w:val="1"/>
                <w:color w:val="auto"/>
              </w:rPr>
              <w:t>Summary Compensation Table—2023 Proxy</w:t>
            </w:r>
          </w:p>
        </w:tc>
        <w:tc>
          <w:tcPr>
            <w:tcW w:w="120" w:type="dxa"/>
            <w:vAlign w:val="bottom"/>
            <w:tcBorders>
              <w:bottom w:val="single" w:sz="8" w:color="E7E7E8"/>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13,838,613</w:t>
            </w:r>
          </w:p>
        </w:tc>
        <w:tc>
          <w:tcPr>
            <w:tcW w:w="120" w:type="dxa"/>
            <w:vAlign w:val="bottom"/>
            <w:tcBorders>
              <w:bottom w:val="single" w:sz="8" w:color="E7E7E8"/>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700" w:type="dxa"/>
            <w:vAlign w:val="bottom"/>
            <w:tcBorders>
              <w:top w:val="single" w:sz="8" w:color="auto"/>
              <w:bottom w:val="single" w:sz="8" w:color="auto"/>
            </w:tcBorders>
            <w:gridSpan w:val="2"/>
          </w:tcPr>
          <w:p>
            <w:pPr>
              <w:jc w:val="right"/>
              <w:spacing w:after="0" w:line="143" w:lineRule="exact"/>
              <w:rPr>
                <w:sz w:val="20"/>
                <w:szCs w:val="20"/>
                <w:color w:val="auto"/>
              </w:rPr>
            </w:pPr>
            <w:r>
              <w:rPr>
                <w:rFonts w:ascii="Arial" w:cs="Arial" w:eastAsia="Arial" w:hAnsi="Arial"/>
                <w:sz w:val="13"/>
                <w:szCs w:val="13"/>
                <w:b w:val="1"/>
                <w:bCs w:val="1"/>
                <w:color w:val="auto"/>
              </w:rPr>
              <w:t>8,430,654</w:t>
            </w: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6960" w:type="dxa"/>
            <w:vAlign w:val="bottom"/>
            <w:tcBorders>
              <w:bottom w:val="single" w:sz="8" w:color="auto"/>
            </w:tcBorders>
            <w:shd w:val="clear" w:color="auto" w:fill="E7E7E8"/>
          </w:tcPr>
          <w:p>
            <w:pPr>
              <w:jc w:val="right"/>
              <w:ind w:right="14"/>
              <w:spacing w:after="0" w:line="143" w:lineRule="exact"/>
              <w:rPr>
                <w:sz w:val="20"/>
                <w:szCs w:val="20"/>
                <w:color w:val="auto"/>
              </w:rPr>
            </w:pPr>
            <w:r>
              <w:rPr>
                <w:rFonts w:ascii="Arial" w:cs="Arial" w:eastAsia="Arial" w:hAnsi="Arial"/>
                <w:sz w:val="13"/>
                <w:szCs w:val="13"/>
                <w:color w:val="auto"/>
              </w:rPr>
              <w:t>Subtract Grant Date Fair Value of Stock Awards Granted in 2022</w:t>
            </w:r>
          </w:p>
        </w:tc>
        <w:tc>
          <w:tcPr>
            <w:tcW w:w="120" w:type="dxa"/>
            <w:vAlign w:val="bottom"/>
            <w:tcBorders>
              <w:right w:val="single" w:sz="8" w:color="E7E7E8"/>
            </w:tcBorders>
            <w:shd w:val="clear" w:color="auto" w:fill="E7E7E8"/>
          </w:tcPr>
          <w:p>
            <w:pPr>
              <w:spacing w:after="0"/>
              <w:rPr>
                <w:sz w:val="12"/>
                <w:szCs w:val="12"/>
                <w:color w:val="auto"/>
              </w:rPr>
            </w:pPr>
          </w:p>
        </w:tc>
        <w:tc>
          <w:tcPr>
            <w:tcW w:w="740" w:type="dxa"/>
            <w:vAlign w:val="bottom"/>
            <w:tcBorders>
              <w:bottom w:val="single" w:sz="8" w:color="auto"/>
            </w:tcBorders>
            <w:shd w:val="clear" w:color="auto" w:fill="E7E7E8"/>
          </w:tcPr>
          <w:p>
            <w:pPr>
              <w:jc w:val="right"/>
              <w:spacing w:after="0" w:line="143"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E7E7E8"/>
          </w:tcPr>
          <w:p>
            <w:pPr>
              <w:jc w:val="right"/>
              <w:spacing w:after="0" w:line="143" w:lineRule="exact"/>
              <w:rPr>
                <w:sz w:val="20"/>
                <w:szCs w:val="20"/>
                <w:color w:val="auto"/>
              </w:rPr>
            </w:pPr>
            <w:r>
              <w:rPr>
                <w:rFonts w:ascii="Arial" w:cs="Arial" w:eastAsia="Arial" w:hAnsi="Arial"/>
                <w:sz w:val="13"/>
                <w:szCs w:val="13"/>
                <w:color w:val="auto"/>
              </w:rPr>
              <w:t>(5,400,156)</w:t>
            </w:r>
          </w:p>
        </w:tc>
        <w:tc>
          <w:tcPr>
            <w:tcW w:w="120" w:type="dxa"/>
            <w:vAlign w:val="bottom"/>
            <w:tcBorders>
              <w:right w:val="single" w:sz="8" w:color="E7E7E8"/>
            </w:tcBorders>
            <w:shd w:val="clear" w:color="auto" w:fill="E7E7E8"/>
          </w:tcPr>
          <w:p>
            <w:pPr>
              <w:spacing w:after="0"/>
              <w:rPr>
                <w:sz w:val="12"/>
                <w:szCs w:val="12"/>
                <w:color w:val="auto"/>
              </w:rPr>
            </w:pPr>
          </w:p>
        </w:tc>
        <w:tc>
          <w:tcPr>
            <w:tcW w:w="740" w:type="dxa"/>
            <w:vAlign w:val="bottom"/>
            <w:tcBorders>
              <w:bottom w:val="single" w:sz="8" w:color="auto"/>
            </w:tcBorders>
            <w:shd w:val="clear" w:color="auto" w:fill="E7E7E8"/>
          </w:tcPr>
          <w:p>
            <w:pPr>
              <w:jc w:val="right"/>
              <w:spacing w:after="0" w:line="143"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gridSpan w:val="2"/>
            <w:shd w:val="clear" w:color="auto" w:fill="E7E7E8"/>
          </w:tcPr>
          <w:p>
            <w:pPr>
              <w:jc w:val="right"/>
              <w:spacing w:after="0" w:line="143" w:lineRule="exact"/>
              <w:rPr>
                <w:sz w:val="20"/>
                <w:szCs w:val="20"/>
                <w:color w:val="auto"/>
              </w:rPr>
            </w:pPr>
            <w:r>
              <w:rPr>
                <w:rFonts w:ascii="Arial" w:cs="Arial" w:eastAsia="Arial" w:hAnsi="Arial"/>
                <w:sz w:val="13"/>
                <w:szCs w:val="13"/>
                <w:color w:val="auto"/>
                <w:w w:val="99"/>
              </w:rPr>
              <w:t>(1,604,741)</w:t>
            </w: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6960" w:type="dxa"/>
            <w:vAlign w:val="bottom"/>
            <w:tcBorders>
              <w:bottom w:val="single" w:sz="8" w:color="auto"/>
            </w:tcBorders>
          </w:tcPr>
          <w:p>
            <w:pPr>
              <w:jc w:val="right"/>
              <w:ind w:right="14"/>
              <w:spacing w:after="0" w:line="143" w:lineRule="exact"/>
              <w:rPr>
                <w:sz w:val="20"/>
                <w:szCs w:val="20"/>
                <w:color w:val="auto"/>
              </w:rPr>
            </w:pPr>
            <w:r>
              <w:rPr>
                <w:rFonts w:ascii="Arial" w:cs="Arial" w:eastAsia="Arial" w:hAnsi="Arial"/>
                <w:sz w:val="13"/>
                <w:szCs w:val="13"/>
                <w:color w:val="auto"/>
              </w:rPr>
              <w:t>Add Year-End Fair Value of Stock Awards Granted and Unvested in 2022</w:t>
            </w:r>
          </w:p>
        </w:tc>
        <w:tc>
          <w:tcPr>
            <w:tcW w:w="120" w:type="dxa"/>
            <w:vAlign w:val="bottom"/>
            <w:tcBorders>
              <w:bottom w:val="single" w:sz="8" w:color="E7E7E8"/>
            </w:tcBorders>
          </w:tcPr>
          <w:p>
            <w:pPr>
              <w:spacing w:after="0"/>
              <w:rPr>
                <w:sz w:val="12"/>
                <w:szCs w:val="12"/>
                <w:color w:val="auto"/>
              </w:rPr>
            </w:pP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4,854,042</w:t>
            </w:r>
          </w:p>
        </w:tc>
        <w:tc>
          <w:tcPr>
            <w:tcW w:w="120" w:type="dxa"/>
            <w:vAlign w:val="bottom"/>
            <w:tcBorders>
              <w:bottom w:val="single" w:sz="8" w:color="E7E7E8"/>
            </w:tcBorders>
          </w:tcPr>
          <w:p>
            <w:pPr>
              <w:spacing w:after="0"/>
              <w:rPr>
                <w:sz w:val="12"/>
                <w:szCs w:val="12"/>
                <w:color w:val="auto"/>
              </w:rPr>
            </w:pP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gridSpan w:val="2"/>
          </w:tcPr>
          <w:p>
            <w:pPr>
              <w:jc w:val="right"/>
              <w:spacing w:after="0" w:line="143" w:lineRule="exact"/>
              <w:rPr>
                <w:sz w:val="20"/>
                <w:szCs w:val="20"/>
                <w:color w:val="auto"/>
              </w:rPr>
            </w:pPr>
            <w:r>
              <w:rPr>
                <w:rFonts w:ascii="Arial" w:cs="Arial" w:eastAsia="Arial" w:hAnsi="Arial"/>
                <w:sz w:val="13"/>
                <w:szCs w:val="13"/>
                <w:color w:val="auto"/>
              </w:rPr>
              <w:t>1,442,455</w:t>
            </w: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6960" w:type="dxa"/>
            <w:vAlign w:val="bottom"/>
            <w:tcBorders>
              <w:bottom w:val="single" w:sz="8" w:color="auto"/>
            </w:tcBorders>
            <w:shd w:val="clear" w:color="auto" w:fill="E7E7E8"/>
          </w:tcPr>
          <w:p>
            <w:pPr>
              <w:jc w:val="right"/>
              <w:ind w:right="14"/>
              <w:spacing w:after="0" w:line="143" w:lineRule="exact"/>
              <w:rPr>
                <w:sz w:val="20"/>
                <w:szCs w:val="20"/>
                <w:color w:val="auto"/>
              </w:rPr>
            </w:pPr>
            <w:r>
              <w:rPr>
                <w:rFonts w:ascii="Arial" w:cs="Arial" w:eastAsia="Arial" w:hAnsi="Arial"/>
                <w:sz w:val="13"/>
                <w:szCs w:val="13"/>
                <w:color w:val="auto"/>
              </w:rPr>
              <w:t>Add Change in Fair Value of Prior Year Grants Unvested and Outstanding</w:t>
            </w:r>
          </w:p>
        </w:tc>
        <w:tc>
          <w:tcPr>
            <w:tcW w:w="120" w:type="dxa"/>
            <w:vAlign w:val="bottom"/>
            <w:tcBorders>
              <w:right w:val="single" w:sz="8" w:color="E7E7E8"/>
            </w:tcBorders>
            <w:shd w:val="clear" w:color="auto" w:fill="E7E7E8"/>
          </w:tcPr>
          <w:p>
            <w:pPr>
              <w:spacing w:after="0"/>
              <w:rPr>
                <w:sz w:val="12"/>
                <w:szCs w:val="12"/>
                <w:color w:val="auto"/>
              </w:rPr>
            </w:pPr>
          </w:p>
        </w:tc>
        <w:tc>
          <w:tcPr>
            <w:tcW w:w="740" w:type="dxa"/>
            <w:vAlign w:val="bottom"/>
            <w:tcBorders>
              <w:bottom w:val="single" w:sz="8" w:color="auto"/>
            </w:tcBorders>
            <w:shd w:val="clear" w:color="auto" w:fill="E7E7E8"/>
          </w:tcPr>
          <w:p>
            <w:pPr>
              <w:jc w:val="right"/>
              <w:spacing w:after="0" w:line="143"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E7E7E8"/>
          </w:tcPr>
          <w:p>
            <w:pPr>
              <w:jc w:val="right"/>
              <w:spacing w:after="0" w:line="143" w:lineRule="exact"/>
              <w:rPr>
                <w:sz w:val="20"/>
                <w:szCs w:val="20"/>
                <w:color w:val="auto"/>
              </w:rPr>
            </w:pPr>
            <w:r>
              <w:rPr>
                <w:rFonts w:ascii="Arial" w:cs="Arial" w:eastAsia="Arial" w:hAnsi="Arial"/>
                <w:sz w:val="13"/>
                <w:szCs w:val="13"/>
                <w:color w:val="auto"/>
              </w:rPr>
              <w:t>(8,444,026)</w:t>
            </w:r>
          </w:p>
        </w:tc>
        <w:tc>
          <w:tcPr>
            <w:tcW w:w="120" w:type="dxa"/>
            <w:vAlign w:val="bottom"/>
            <w:tcBorders>
              <w:right w:val="single" w:sz="8" w:color="E7E7E8"/>
            </w:tcBorders>
            <w:shd w:val="clear" w:color="auto" w:fill="E7E7E8"/>
          </w:tcPr>
          <w:p>
            <w:pPr>
              <w:spacing w:after="0"/>
              <w:rPr>
                <w:sz w:val="12"/>
                <w:szCs w:val="12"/>
                <w:color w:val="auto"/>
              </w:rPr>
            </w:pPr>
          </w:p>
        </w:tc>
        <w:tc>
          <w:tcPr>
            <w:tcW w:w="740" w:type="dxa"/>
            <w:vAlign w:val="bottom"/>
            <w:tcBorders>
              <w:bottom w:val="single" w:sz="8" w:color="auto"/>
            </w:tcBorders>
            <w:shd w:val="clear" w:color="auto" w:fill="E7E7E8"/>
          </w:tcPr>
          <w:p>
            <w:pPr>
              <w:jc w:val="right"/>
              <w:spacing w:after="0" w:line="143"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gridSpan w:val="2"/>
            <w:shd w:val="clear" w:color="auto" w:fill="E7E7E8"/>
          </w:tcPr>
          <w:p>
            <w:pPr>
              <w:jc w:val="right"/>
              <w:spacing w:after="0" w:line="143" w:lineRule="exact"/>
              <w:rPr>
                <w:sz w:val="20"/>
                <w:szCs w:val="20"/>
                <w:color w:val="auto"/>
              </w:rPr>
            </w:pPr>
            <w:r>
              <w:rPr>
                <w:rFonts w:ascii="Arial" w:cs="Arial" w:eastAsia="Arial" w:hAnsi="Arial"/>
                <w:sz w:val="13"/>
                <w:szCs w:val="13"/>
                <w:color w:val="auto"/>
                <w:w w:val="99"/>
              </w:rPr>
              <w:t>(1,999,648)</w:t>
            </w: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6960" w:type="dxa"/>
            <w:vAlign w:val="bottom"/>
            <w:tcBorders>
              <w:bottom w:val="single" w:sz="8" w:color="auto"/>
            </w:tcBorders>
          </w:tcPr>
          <w:p>
            <w:pPr>
              <w:jc w:val="right"/>
              <w:ind w:right="14"/>
              <w:spacing w:after="0" w:line="143" w:lineRule="exact"/>
              <w:rPr>
                <w:sz w:val="20"/>
                <w:szCs w:val="20"/>
                <w:color w:val="auto"/>
              </w:rPr>
            </w:pPr>
            <w:r>
              <w:rPr>
                <w:rFonts w:ascii="Arial" w:cs="Arial" w:eastAsia="Arial" w:hAnsi="Arial"/>
                <w:sz w:val="13"/>
                <w:szCs w:val="13"/>
                <w:color w:val="auto"/>
              </w:rPr>
              <w:t>Add Change in Fair Value of Stock Awards (made in prior years) Vested as of Vesting Date in 2022</w:t>
            </w:r>
          </w:p>
        </w:tc>
        <w:tc>
          <w:tcPr>
            <w:tcW w:w="120" w:type="dxa"/>
            <w:vAlign w:val="bottom"/>
            <w:tcBorders>
              <w:bottom w:val="single" w:sz="8" w:color="E7E7E8"/>
            </w:tcBorders>
          </w:tcPr>
          <w:p>
            <w:pPr>
              <w:spacing w:after="0"/>
              <w:rPr>
                <w:sz w:val="12"/>
                <w:szCs w:val="12"/>
                <w:color w:val="auto"/>
              </w:rPr>
            </w:pP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(2,138,845)</w:t>
            </w:r>
          </w:p>
        </w:tc>
        <w:tc>
          <w:tcPr>
            <w:tcW w:w="120" w:type="dxa"/>
            <w:vAlign w:val="bottom"/>
            <w:tcBorders>
              <w:bottom w:val="single" w:sz="8" w:color="E7E7E8"/>
            </w:tcBorders>
          </w:tcPr>
          <w:p>
            <w:pPr>
              <w:spacing w:after="0"/>
              <w:rPr>
                <w:sz w:val="12"/>
                <w:szCs w:val="12"/>
                <w:color w:val="auto"/>
              </w:rPr>
            </w:pP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gridSpan w:val="2"/>
          </w:tcPr>
          <w:p>
            <w:pPr>
              <w:jc w:val="right"/>
              <w:spacing w:after="0" w:line="143" w:lineRule="exact"/>
              <w:rPr>
                <w:sz w:val="20"/>
                <w:szCs w:val="20"/>
                <w:color w:val="auto"/>
              </w:rPr>
            </w:pPr>
            <w:r>
              <w:rPr>
                <w:rFonts w:ascii="Arial" w:cs="Arial" w:eastAsia="Arial" w:hAnsi="Arial"/>
                <w:sz w:val="13"/>
                <w:szCs w:val="13"/>
                <w:color w:val="auto"/>
              </w:rPr>
              <w:t>(749,289)</w:t>
            </w: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6960" w:type="dxa"/>
            <w:vAlign w:val="bottom"/>
            <w:tcBorders>
              <w:bottom w:val="single" w:sz="8" w:color="auto"/>
            </w:tcBorders>
            <w:shd w:val="clear" w:color="auto" w:fill="E7E7E8"/>
          </w:tcPr>
          <w:p>
            <w:pPr>
              <w:jc w:val="right"/>
              <w:ind w:right="14"/>
              <w:spacing w:after="0" w:line="143" w:lineRule="exact"/>
              <w:rPr>
                <w:sz w:val="20"/>
                <w:szCs w:val="20"/>
                <w:color w:val="auto"/>
              </w:rPr>
            </w:pPr>
            <w:r>
              <w:rPr>
                <w:rFonts w:ascii="Arial" w:cs="Arial" w:eastAsia="Arial" w:hAnsi="Arial"/>
                <w:sz w:val="13"/>
                <w:szCs w:val="13"/>
                <w:color w:val="auto"/>
              </w:rPr>
              <w:t>Add Dividend Equivalents Paid in 2022</w:t>
            </w:r>
          </w:p>
        </w:tc>
        <w:tc>
          <w:tcPr>
            <w:tcW w:w="120" w:type="dxa"/>
            <w:vAlign w:val="bottom"/>
            <w:tcBorders>
              <w:right w:val="single" w:sz="8" w:color="E7E7E8"/>
            </w:tcBorders>
            <w:shd w:val="clear" w:color="auto" w:fill="E7E7E8"/>
          </w:tcPr>
          <w:p>
            <w:pPr>
              <w:spacing w:after="0"/>
              <w:rPr>
                <w:sz w:val="12"/>
                <w:szCs w:val="12"/>
                <w:color w:val="auto"/>
              </w:rPr>
            </w:pPr>
          </w:p>
        </w:tc>
        <w:tc>
          <w:tcPr>
            <w:tcW w:w="740" w:type="dxa"/>
            <w:vAlign w:val="bottom"/>
            <w:tcBorders>
              <w:bottom w:val="single" w:sz="8" w:color="auto"/>
            </w:tcBorders>
            <w:shd w:val="clear" w:color="auto" w:fill="E7E7E8"/>
          </w:tcPr>
          <w:p>
            <w:pPr>
              <w:jc w:val="right"/>
              <w:spacing w:after="0" w:line="143"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E7E7E8"/>
          </w:tcPr>
          <w:p>
            <w:pPr>
              <w:jc w:val="right"/>
              <w:spacing w:after="0" w:line="143" w:lineRule="exact"/>
              <w:rPr>
                <w:sz w:val="20"/>
                <w:szCs w:val="20"/>
                <w:color w:val="auto"/>
              </w:rPr>
            </w:pPr>
            <w:r>
              <w:rPr>
                <w:rFonts w:ascii="Arial" w:cs="Arial" w:eastAsia="Arial" w:hAnsi="Arial"/>
                <w:sz w:val="13"/>
                <w:szCs w:val="13"/>
                <w:color w:val="auto"/>
              </w:rPr>
              <w:t>290,128</w:t>
            </w:r>
          </w:p>
        </w:tc>
        <w:tc>
          <w:tcPr>
            <w:tcW w:w="120" w:type="dxa"/>
            <w:vAlign w:val="bottom"/>
            <w:tcBorders>
              <w:right w:val="single" w:sz="8" w:color="E7E7E8"/>
            </w:tcBorders>
            <w:shd w:val="clear" w:color="auto" w:fill="E7E7E8"/>
          </w:tcPr>
          <w:p>
            <w:pPr>
              <w:spacing w:after="0"/>
              <w:rPr>
                <w:sz w:val="12"/>
                <w:szCs w:val="12"/>
                <w:color w:val="auto"/>
              </w:rPr>
            </w:pPr>
          </w:p>
        </w:tc>
        <w:tc>
          <w:tcPr>
            <w:tcW w:w="740" w:type="dxa"/>
            <w:vAlign w:val="bottom"/>
            <w:tcBorders>
              <w:bottom w:val="single" w:sz="8" w:color="auto"/>
            </w:tcBorders>
            <w:shd w:val="clear" w:color="auto" w:fill="E7E7E8"/>
          </w:tcPr>
          <w:p>
            <w:pPr>
              <w:jc w:val="right"/>
              <w:spacing w:after="0" w:line="143"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gridSpan w:val="2"/>
            <w:shd w:val="clear" w:color="auto" w:fill="E7E7E8"/>
          </w:tcPr>
          <w:p>
            <w:pPr>
              <w:jc w:val="right"/>
              <w:spacing w:after="0" w:line="143" w:lineRule="exact"/>
              <w:rPr>
                <w:sz w:val="20"/>
                <w:szCs w:val="20"/>
                <w:color w:val="auto"/>
              </w:rPr>
            </w:pPr>
            <w:r>
              <w:rPr>
                <w:rFonts w:ascii="Arial" w:cs="Arial" w:eastAsia="Arial" w:hAnsi="Arial"/>
                <w:sz w:val="13"/>
                <w:szCs w:val="13"/>
                <w:color w:val="auto"/>
              </w:rPr>
              <w:t>97,504</w:t>
            </w: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6960" w:type="dxa"/>
            <w:vAlign w:val="bottom"/>
            <w:tcBorders>
              <w:bottom w:val="single" w:sz="8" w:color="auto"/>
            </w:tcBorders>
          </w:tcPr>
          <w:p>
            <w:pPr>
              <w:jc w:val="right"/>
              <w:ind w:right="14"/>
              <w:spacing w:after="0" w:line="143" w:lineRule="exact"/>
              <w:rPr>
                <w:sz w:val="20"/>
                <w:szCs w:val="20"/>
                <w:color w:val="auto"/>
              </w:rPr>
            </w:pPr>
            <w:r>
              <w:rPr>
                <w:rFonts w:ascii="Arial" w:cs="Arial" w:eastAsia="Arial" w:hAnsi="Arial"/>
                <w:sz w:val="13"/>
                <w:szCs w:val="13"/>
                <w:b w:val="1"/>
                <w:bCs w:val="1"/>
                <w:color w:val="auto"/>
              </w:rPr>
              <w:t>Compensation Actually Paid in 2022</w:t>
            </w:r>
          </w:p>
        </w:tc>
        <w:tc>
          <w:tcPr>
            <w:tcW w:w="12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2,999,756</w:t>
            </w:r>
          </w:p>
        </w:tc>
        <w:tc>
          <w:tcPr>
            <w:tcW w:w="12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gridSpan w:val="2"/>
          </w:tcPr>
          <w:p>
            <w:pPr>
              <w:jc w:val="right"/>
              <w:spacing w:after="0" w:line="143" w:lineRule="exact"/>
              <w:rPr>
                <w:sz w:val="20"/>
                <w:szCs w:val="20"/>
                <w:color w:val="auto"/>
              </w:rPr>
            </w:pPr>
            <w:r>
              <w:rPr>
                <w:rFonts w:ascii="Arial" w:cs="Arial" w:eastAsia="Arial" w:hAnsi="Arial"/>
                <w:sz w:val="13"/>
                <w:szCs w:val="13"/>
                <w:b w:val="1"/>
                <w:bCs w:val="1"/>
                <w:color w:val="auto"/>
              </w:rPr>
              <w:t>5,616,935</w:t>
            </w:r>
          </w:p>
        </w:tc>
        <w:tc>
          <w:tcPr>
            <w:tcW w:w="0" w:type="dxa"/>
            <w:vAlign w:val="bottom"/>
          </w:tcPr>
          <w:p>
            <w:pPr>
              <w:spacing w:after="0"/>
              <w:rPr>
                <w:sz w:val="1"/>
                <w:szCs w:val="1"/>
                <w:color w:val="auto"/>
              </w:rPr>
            </w:pPr>
          </w:p>
        </w:tc>
      </w:tr>
      <w:tr>
        <w:trPr>
          <w:trHeight w:val="545"/>
        </w:trPr>
        <w:tc>
          <w:tcPr>
            <w:tcW w:w="11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20" w:type="dxa"/>
            <w:vAlign w:val="bottom"/>
            <w:gridSpan w:val="4"/>
          </w:tcPr>
          <w:p>
            <w:pPr>
              <w:ind w:left="680"/>
              <w:spacing w:after="0"/>
              <w:rPr>
                <w:sz w:val="20"/>
                <w:szCs w:val="20"/>
                <w:color w:val="auto"/>
              </w:rPr>
            </w:pPr>
            <w:r>
              <w:rPr>
                <w:rFonts w:ascii="Times New Roman" w:cs="Times New Roman" w:eastAsia="Times New Roman" w:hAnsi="Times New Roman"/>
                <w:sz w:val="13"/>
                <w:szCs w:val="13"/>
                <w:b w:val="1"/>
                <w:bCs w:val="1"/>
                <w:color w:val="auto"/>
              </w:rPr>
              <w:t xml:space="preserve">2024 </w:t>
            </w:r>
            <w:r>
              <w:rPr>
                <w:rFonts w:ascii="Times New Roman" w:cs="Times New Roman" w:eastAsia="Times New Roman" w:hAnsi="Times New Roman"/>
                <w:sz w:val="13"/>
                <w:szCs w:val="13"/>
                <w:color w:val="auto"/>
              </w:rPr>
              <w:t>Proxy Statement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244F"/>
              </w:rPr>
              <w:t>71</w:t>
            </w:r>
          </w:p>
        </w:tc>
        <w:tc>
          <w:tcPr>
            <w:tcW w:w="0" w:type="dxa"/>
            <w:vAlign w:val="bottom"/>
          </w:tcPr>
          <w:p>
            <w:pPr>
              <w:spacing w:after="0"/>
              <w:rPr>
                <w:sz w:val="1"/>
                <w:szCs w:val="1"/>
                <w:color w:val="auto"/>
              </w:rPr>
            </w:pPr>
          </w:p>
        </w:tc>
      </w:tr>
      <w:tr>
        <w:trPr>
          <w:trHeight w:val="385"/>
        </w:trPr>
        <w:tc>
          <w:tcPr>
            <w:tcW w:w="112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5134610</wp:posOffset>
            </wp:positionH>
            <wp:positionV relativeFrom="paragraph">
              <wp:posOffset>-1229360</wp:posOffset>
            </wp:positionV>
            <wp:extent cx="63500" cy="10287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3500" cy="102870"/>
                    </a:xfrm>
                    <a:prstGeom prst="rect">
                      <a:avLst/>
                    </a:prstGeom>
                    <a:noFill/>
                  </pic:spPr>
                </pic:pic>
              </a:graphicData>
            </a:graphic>
          </wp:anchor>
        </w:drawing>
        <w:drawing>
          <wp:anchor simplePos="0" relativeHeight="251657728" behindDoc="1" locked="0" layoutInCell="0" allowOverlap="1">
            <wp:simplePos x="0" y="0"/>
            <wp:positionH relativeFrom="column">
              <wp:posOffset>6142355</wp:posOffset>
            </wp:positionH>
            <wp:positionV relativeFrom="paragraph">
              <wp:posOffset>-1229360</wp:posOffset>
            </wp:positionV>
            <wp:extent cx="63500" cy="10287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3500" cy="102870"/>
                    </a:xfrm>
                    <a:prstGeom prst="rect">
                      <a:avLst/>
                    </a:prstGeom>
                    <a:noFill/>
                  </pic:spPr>
                </pic:pic>
              </a:graphicData>
            </a:graphic>
          </wp:anchor>
        </w:drawing>
        <w:drawing>
          <wp:anchor simplePos="0" relativeHeight="251657728" behindDoc="1" locked="0" layoutInCell="0" allowOverlap="1">
            <wp:simplePos x="0" y="0"/>
            <wp:positionH relativeFrom="column">
              <wp:posOffset>5134610</wp:posOffset>
            </wp:positionH>
            <wp:positionV relativeFrom="paragraph">
              <wp:posOffset>-1022985</wp:posOffset>
            </wp:positionV>
            <wp:extent cx="63500" cy="10287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3500" cy="102870"/>
                    </a:xfrm>
                    <a:prstGeom prst="rect">
                      <a:avLst/>
                    </a:prstGeom>
                    <a:noFill/>
                  </pic:spPr>
                </pic:pic>
              </a:graphicData>
            </a:graphic>
          </wp:anchor>
        </w:drawing>
        <w:drawing>
          <wp:anchor simplePos="0" relativeHeight="251657728" behindDoc="1" locked="0" layoutInCell="0" allowOverlap="1">
            <wp:simplePos x="0" y="0"/>
            <wp:positionH relativeFrom="column">
              <wp:posOffset>6142355</wp:posOffset>
            </wp:positionH>
            <wp:positionV relativeFrom="paragraph">
              <wp:posOffset>-1022985</wp:posOffset>
            </wp:positionV>
            <wp:extent cx="63500" cy="10287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3500" cy="10287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76" w:name="page77"/>
    <w:bookmarkEnd w:id="76"/>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ind w:left="300" w:hanging="300"/>
        <w:spacing w:after="0" w:line="206" w:lineRule="auto"/>
        <w:tabs>
          <w:tab w:leader="none" w:pos="300" w:val="left"/>
        </w:tabs>
        <w:numPr>
          <w:ilvl w:val="0"/>
          <w:numId w:val="120"/>
        </w:numPr>
        <w:rPr>
          <w:rFonts w:ascii="Arial" w:cs="Arial" w:eastAsia="Arial" w:hAnsi="Arial"/>
          <w:sz w:val="22"/>
          <w:szCs w:val="22"/>
          <w:color w:val="auto"/>
          <w:vertAlign w:val="superscript"/>
        </w:rPr>
      </w:pPr>
      <w:r>
        <w:rPr>
          <w:rFonts w:ascii="Arial" w:cs="Arial" w:eastAsia="Arial" w:hAnsi="Arial"/>
          <w:sz w:val="13"/>
          <w:szCs w:val="13"/>
          <w:color w:val="auto"/>
        </w:rPr>
        <w:t>The adjustments to the Summary Compensation Table totals to arrive to compensation actually paid in 2021 are outlined below. No awards were modified in 2021. These valuations assume a year-end share price of $196.64 and an average vest share price of $190.44. During this period Mr. Stromberg served as the PEO and Ms. Dardis, and former CFO Ms.Dufétel, and Messrs. Sharps, Thomson, and Veiel served as the Non-PEO NEOs.</w:t>
      </w:r>
    </w:p>
    <w:p>
      <w:pPr>
        <w:spacing w:after="0" w:line="153"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68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jc w:val="right"/>
              <w:ind w:right="34"/>
              <w:spacing w:after="0"/>
              <w:rPr>
                <w:sz w:val="20"/>
                <w:szCs w:val="20"/>
                <w:color w:val="auto"/>
              </w:rPr>
            </w:pPr>
            <w:r>
              <w:rPr>
                <w:rFonts w:ascii="Arial" w:cs="Arial" w:eastAsia="Arial" w:hAnsi="Arial"/>
                <w:sz w:val="12"/>
                <w:szCs w:val="12"/>
                <w:b w:val="1"/>
                <w:bCs w:val="1"/>
                <w:color w:val="auto"/>
              </w:rPr>
              <w:t>AVERAGE</w:t>
            </w:r>
          </w:p>
        </w:tc>
        <w:tc>
          <w:tcPr>
            <w:tcW w:w="0" w:type="dxa"/>
            <w:vAlign w:val="bottom"/>
          </w:tcPr>
          <w:p>
            <w:pPr>
              <w:spacing w:after="0"/>
              <w:rPr>
                <w:sz w:val="1"/>
                <w:szCs w:val="1"/>
                <w:color w:val="auto"/>
              </w:rPr>
            </w:pPr>
          </w:p>
        </w:tc>
      </w:tr>
      <w:tr>
        <w:trPr>
          <w:trHeight w:val="125"/>
        </w:trPr>
        <w:tc>
          <w:tcPr>
            <w:tcW w:w="694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2"/>
                <w:szCs w:val="12"/>
                <w:b w:val="1"/>
                <w:bCs w:val="1"/>
                <w:color w:val="auto"/>
              </w:rPr>
              <w:t>As of 12/31/2021</w:t>
            </w:r>
          </w:p>
        </w:tc>
        <w:tc>
          <w:tcPr>
            <w:tcW w:w="1640" w:type="dxa"/>
            <w:vAlign w:val="bottom"/>
            <w:tcBorders>
              <w:right w:val="single" w:sz="8" w:color="auto"/>
            </w:tcBorders>
            <w:gridSpan w:val="3"/>
            <w:vMerge w:val="restart"/>
          </w:tcPr>
          <w:p>
            <w:pPr>
              <w:ind w:left="200"/>
              <w:spacing w:after="0"/>
              <w:rPr>
                <w:sz w:val="20"/>
                <w:szCs w:val="20"/>
                <w:color w:val="auto"/>
              </w:rPr>
            </w:pPr>
            <w:r>
              <w:rPr>
                <w:rFonts w:ascii="Arial" w:cs="Arial" w:eastAsia="Arial" w:hAnsi="Arial"/>
                <w:sz w:val="12"/>
                <w:szCs w:val="12"/>
                <w:b w:val="1"/>
                <w:bCs w:val="1"/>
                <w:color w:val="auto"/>
              </w:rPr>
              <w:t>PEO COMPENSATION</w:t>
            </w:r>
          </w:p>
        </w:tc>
        <w:tc>
          <w:tcPr>
            <w:tcW w:w="1540" w:type="dxa"/>
            <w:vAlign w:val="bottom"/>
            <w:gridSpan w:val="2"/>
          </w:tcPr>
          <w:p>
            <w:pPr>
              <w:jc w:val="right"/>
              <w:ind w:right="34"/>
              <w:spacing w:after="0" w:line="125" w:lineRule="exact"/>
              <w:rPr>
                <w:sz w:val="20"/>
                <w:szCs w:val="20"/>
                <w:color w:val="auto"/>
              </w:rPr>
            </w:pPr>
            <w:r>
              <w:rPr>
                <w:rFonts w:ascii="Arial" w:cs="Arial" w:eastAsia="Arial" w:hAnsi="Arial"/>
                <w:sz w:val="12"/>
                <w:szCs w:val="12"/>
                <w:b w:val="1"/>
                <w:bCs w:val="1"/>
                <w:color w:val="auto"/>
              </w:rPr>
              <w:t>COMPENSATION FOR</w:t>
            </w:r>
          </w:p>
        </w:tc>
        <w:tc>
          <w:tcPr>
            <w:tcW w:w="0" w:type="dxa"/>
            <w:vAlign w:val="bottom"/>
          </w:tcPr>
          <w:p>
            <w:pPr>
              <w:spacing w:after="0"/>
              <w:rPr>
                <w:sz w:val="1"/>
                <w:szCs w:val="1"/>
                <w:color w:val="auto"/>
              </w:rPr>
            </w:pPr>
          </w:p>
        </w:tc>
      </w:tr>
      <w:tr>
        <w:trPr>
          <w:trHeight w:val="143"/>
        </w:trPr>
        <w:tc>
          <w:tcPr>
            <w:tcW w:w="6940" w:type="dxa"/>
            <w:vAlign w:val="bottom"/>
            <w:tcBorders>
              <w:right w:val="single" w:sz="8" w:color="auto"/>
            </w:tcBorders>
            <w:gridSpan w:val="2"/>
            <w:vMerge w:val="continue"/>
          </w:tcPr>
          <w:p>
            <w:pPr>
              <w:spacing w:after="0"/>
              <w:rPr>
                <w:sz w:val="12"/>
                <w:szCs w:val="12"/>
                <w:color w:val="auto"/>
              </w:rPr>
            </w:pPr>
          </w:p>
        </w:tc>
        <w:tc>
          <w:tcPr>
            <w:tcW w:w="1640" w:type="dxa"/>
            <w:vAlign w:val="bottom"/>
            <w:tcBorders>
              <w:right w:val="single" w:sz="8" w:color="auto"/>
            </w:tcBorders>
            <w:gridSpan w:val="3"/>
            <w:vMerge w:val="continue"/>
          </w:tcPr>
          <w:p>
            <w:pPr>
              <w:spacing w:after="0"/>
              <w:rPr>
                <w:sz w:val="12"/>
                <w:szCs w:val="12"/>
                <w:color w:val="auto"/>
              </w:rPr>
            </w:pPr>
          </w:p>
        </w:tc>
        <w:tc>
          <w:tcPr>
            <w:tcW w:w="1540" w:type="dxa"/>
            <w:vAlign w:val="bottom"/>
            <w:gridSpan w:val="2"/>
          </w:tcPr>
          <w:p>
            <w:pPr>
              <w:jc w:val="right"/>
              <w:ind w:right="34"/>
              <w:spacing w:after="0"/>
              <w:rPr>
                <w:sz w:val="20"/>
                <w:szCs w:val="20"/>
                <w:color w:val="auto"/>
              </w:rPr>
            </w:pPr>
            <w:r>
              <w:rPr>
                <w:rFonts w:ascii="Arial" w:cs="Arial" w:eastAsia="Arial" w:hAnsi="Arial"/>
                <w:sz w:val="12"/>
                <w:szCs w:val="12"/>
                <w:b w:val="1"/>
                <w:bCs w:val="1"/>
                <w:color w:val="auto"/>
              </w:rPr>
              <w:t>NON-PEO NEOs</w:t>
            </w:r>
          </w:p>
        </w:tc>
        <w:tc>
          <w:tcPr>
            <w:tcW w:w="0" w:type="dxa"/>
            <w:vAlign w:val="bottom"/>
          </w:tcPr>
          <w:p>
            <w:pPr>
              <w:spacing w:after="0"/>
              <w:rPr>
                <w:sz w:val="1"/>
                <w:szCs w:val="1"/>
                <w:color w:val="auto"/>
              </w:rPr>
            </w:pPr>
          </w:p>
        </w:tc>
      </w:tr>
      <w:tr>
        <w:trPr>
          <w:trHeight w:val="142"/>
        </w:trPr>
        <w:tc>
          <w:tcPr>
            <w:tcW w:w="6820" w:type="dxa"/>
            <w:vAlign w:val="bottom"/>
            <w:tcBorders>
              <w:top w:val="single" w:sz="8" w:color="auto"/>
              <w:bottom w:val="single" w:sz="8" w:color="auto"/>
            </w:tcBorders>
          </w:tcPr>
          <w:p>
            <w:pPr>
              <w:jc w:val="right"/>
              <w:ind w:right="14"/>
              <w:spacing w:after="0" w:line="143" w:lineRule="exact"/>
              <w:rPr>
                <w:sz w:val="20"/>
                <w:szCs w:val="20"/>
                <w:color w:val="auto"/>
              </w:rPr>
            </w:pPr>
            <w:r>
              <w:rPr>
                <w:rFonts w:ascii="Arial" w:cs="Arial" w:eastAsia="Arial" w:hAnsi="Arial"/>
                <w:sz w:val="13"/>
                <w:szCs w:val="13"/>
                <w:b w:val="1"/>
                <w:bCs w:val="1"/>
                <w:color w:val="auto"/>
              </w:rPr>
              <w:t>Summary Compensation Table—2022 Proxy</w:t>
            </w:r>
          </w:p>
        </w:tc>
        <w:tc>
          <w:tcPr>
            <w:tcW w:w="120" w:type="dxa"/>
            <w:vAlign w:val="bottom"/>
            <w:tcBorders>
              <w:bottom w:val="single" w:sz="8" w:color="E7E7E8"/>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780" w:type="dxa"/>
            <w:vAlign w:val="bottom"/>
            <w:tcBorders>
              <w:top w:val="single" w:sz="8" w:color="auto"/>
              <w:bottom w:val="single" w:sz="8" w:color="auto"/>
            </w:tcBorders>
          </w:tcPr>
          <w:p>
            <w:pPr>
              <w:jc w:val="right"/>
              <w:ind w:right="33"/>
              <w:spacing w:after="0" w:line="143" w:lineRule="exact"/>
              <w:rPr>
                <w:sz w:val="20"/>
                <w:szCs w:val="20"/>
                <w:color w:val="auto"/>
              </w:rPr>
            </w:pPr>
            <w:r>
              <w:rPr>
                <w:rFonts w:ascii="Arial" w:cs="Arial" w:eastAsia="Arial" w:hAnsi="Arial"/>
                <w:sz w:val="13"/>
                <w:szCs w:val="13"/>
                <w:b w:val="1"/>
                <w:bCs w:val="1"/>
                <w:color w:val="auto"/>
              </w:rPr>
              <w:t>17,127,330</w:t>
            </w:r>
          </w:p>
        </w:tc>
        <w:tc>
          <w:tcPr>
            <w:tcW w:w="120" w:type="dxa"/>
            <w:vAlign w:val="bottom"/>
            <w:tcBorders>
              <w:bottom w:val="single" w:sz="8" w:color="E7E7E8"/>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780" w:type="dxa"/>
            <w:vAlign w:val="bottom"/>
            <w:tcBorders>
              <w:top w:val="single" w:sz="8" w:color="auto"/>
              <w:bottom w:val="single" w:sz="8" w:color="auto"/>
            </w:tcBorders>
          </w:tcPr>
          <w:p>
            <w:pPr>
              <w:jc w:val="right"/>
              <w:ind w:right="34"/>
              <w:spacing w:after="0" w:line="143" w:lineRule="exact"/>
              <w:rPr>
                <w:sz w:val="20"/>
                <w:szCs w:val="20"/>
                <w:color w:val="auto"/>
              </w:rPr>
            </w:pPr>
            <w:r>
              <w:rPr>
                <w:rFonts w:ascii="Arial" w:cs="Arial" w:eastAsia="Arial" w:hAnsi="Arial"/>
                <w:sz w:val="13"/>
                <w:szCs w:val="13"/>
                <w:b w:val="1"/>
                <w:bCs w:val="1"/>
                <w:color w:val="auto"/>
              </w:rPr>
              <w:t>9,119,220</w:t>
            </w:r>
          </w:p>
        </w:tc>
        <w:tc>
          <w:tcPr>
            <w:tcW w:w="0" w:type="dxa"/>
            <w:vAlign w:val="bottom"/>
          </w:tcPr>
          <w:p>
            <w:pPr>
              <w:spacing w:after="0"/>
              <w:rPr>
                <w:sz w:val="1"/>
                <w:szCs w:val="1"/>
                <w:color w:val="auto"/>
              </w:rPr>
            </w:pPr>
          </w:p>
        </w:tc>
      </w:tr>
      <w:tr>
        <w:trPr>
          <w:trHeight w:val="142"/>
        </w:trPr>
        <w:tc>
          <w:tcPr>
            <w:tcW w:w="6820" w:type="dxa"/>
            <w:vAlign w:val="bottom"/>
            <w:tcBorders>
              <w:bottom w:val="single" w:sz="8" w:color="auto"/>
            </w:tcBorders>
            <w:shd w:val="clear" w:color="auto" w:fill="E7E7E8"/>
          </w:tcPr>
          <w:p>
            <w:pPr>
              <w:jc w:val="right"/>
              <w:ind w:right="14"/>
              <w:spacing w:after="0" w:line="143" w:lineRule="exact"/>
              <w:rPr>
                <w:sz w:val="20"/>
                <w:szCs w:val="20"/>
                <w:color w:val="auto"/>
              </w:rPr>
            </w:pPr>
            <w:r>
              <w:rPr>
                <w:rFonts w:ascii="Arial" w:cs="Arial" w:eastAsia="Arial" w:hAnsi="Arial"/>
                <w:sz w:val="13"/>
                <w:szCs w:val="13"/>
                <w:color w:val="auto"/>
              </w:rPr>
              <w:t>Subtract Grant Date Fair Value of Stock Awards Granted in 2021</w:t>
            </w:r>
          </w:p>
        </w:tc>
        <w:tc>
          <w:tcPr>
            <w:tcW w:w="120" w:type="dxa"/>
            <w:vAlign w:val="bottom"/>
            <w:tcBorders>
              <w:right w:val="single" w:sz="8" w:color="E7E7E8"/>
            </w:tcBorders>
            <w:shd w:val="clear" w:color="auto" w:fill="E7E7E8"/>
          </w:tcPr>
          <w:p>
            <w:pPr>
              <w:spacing w:after="0"/>
              <w:rPr>
                <w:sz w:val="12"/>
                <w:szCs w:val="12"/>
                <w:color w:val="auto"/>
              </w:rPr>
            </w:pPr>
          </w:p>
        </w:tc>
        <w:tc>
          <w:tcPr>
            <w:tcW w:w="740" w:type="dxa"/>
            <w:vAlign w:val="bottom"/>
            <w:tcBorders>
              <w:bottom w:val="single" w:sz="8" w:color="auto"/>
            </w:tcBorders>
            <w:shd w:val="clear" w:color="auto" w:fill="E7E7E8"/>
          </w:tcPr>
          <w:p>
            <w:pPr>
              <w:jc w:val="right"/>
              <w:spacing w:after="0" w:line="143"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E7E7E8"/>
          </w:tcPr>
          <w:p>
            <w:pPr>
              <w:jc w:val="right"/>
              <w:spacing w:after="0" w:line="143" w:lineRule="exact"/>
              <w:rPr>
                <w:sz w:val="20"/>
                <w:szCs w:val="20"/>
                <w:color w:val="auto"/>
              </w:rPr>
            </w:pPr>
            <w:r>
              <w:rPr>
                <w:rFonts w:ascii="Arial" w:cs="Arial" w:eastAsia="Arial" w:hAnsi="Arial"/>
                <w:sz w:val="13"/>
                <w:szCs w:val="13"/>
                <w:color w:val="auto"/>
              </w:rPr>
              <w:t>(6,600,390)</w:t>
            </w:r>
          </w:p>
        </w:tc>
        <w:tc>
          <w:tcPr>
            <w:tcW w:w="120" w:type="dxa"/>
            <w:vAlign w:val="bottom"/>
            <w:tcBorders>
              <w:right w:val="single" w:sz="8" w:color="E7E7E8"/>
            </w:tcBorders>
            <w:shd w:val="clear" w:color="auto" w:fill="E7E7E8"/>
          </w:tcPr>
          <w:p>
            <w:pPr>
              <w:spacing w:after="0"/>
              <w:rPr>
                <w:sz w:val="12"/>
                <w:szCs w:val="12"/>
                <w:color w:val="auto"/>
              </w:rPr>
            </w:pPr>
          </w:p>
        </w:tc>
        <w:tc>
          <w:tcPr>
            <w:tcW w:w="760" w:type="dxa"/>
            <w:vAlign w:val="bottom"/>
            <w:tcBorders>
              <w:bottom w:val="single" w:sz="8" w:color="auto"/>
            </w:tcBorders>
            <w:shd w:val="clear" w:color="auto" w:fill="E7E7E8"/>
          </w:tcPr>
          <w:p>
            <w:pPr>
              <w:jc w:val="right"/>
              <w:spacing w:after="0" w:line="143"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E7E7E8"/>
          </w:tcPr>
          <w:p>
            <w:pPr>
              <w:jc w:val="right"/>
              <w:spacing w:after="0" w:line="143" w:lineRule="exact"/>
              <w:rPr>
                <w:sz w:val="20"/>
                <w:szCs w:val="20"/>
                <w:color w:val="auto"/>
              </w:rPr>
            </w:pPr>
            <w:r>
              <w:rPr>
                <w:rFonts w:ascii="Arial" w:cs="Arial" w:eastAsia="Arial" w:hAnsi="Arial"/>
                <w:sz w:val="13"/>
                <w:szCs w:val="13"/>
                <w:color w:val="auto"/>
              </w:rPr>
              <w:t>(3,020,250)</w:t>
            </w:r>
          </w:p>
        </w:tc>
        <w:tc>
          <w:tcPr>
            <w:tcW w:w="0" w:type="dxa"/>
            <w:vAlign w:val="bottom"/>
          </w:tcPr>
          <w:p>
            <w:pPr>
              <w:spacing w:after="0"/>
              <w:rPr>
                <w:sz w:val="1"/>
                <w:szCs w:val="1"/>
                <w:color w:val="auto"/>
              </w:rPr>
            </w:pPr>
          </w:p>
        </w:tc>
      </w:tr>
      <w:tr>
        <w:trPr>
          <w:trHeight w:val="142"/>
        </w:trPr>
        <w:tc>
          <w:tcPr>
            <w:tcW w:w="6820" w:type="dxa"/>
            <w:vAlign w:val="bottom"/>
            <w:tcBorders>
              <w:bottom w:val="single" w:sz="8" w:color="auto"/>
            </w:tcBorders>
          </w:tcPr>
          <w:p>
            <w:pPr>
              <w:jc w:val="right"/>
              <w:ind w:right="14"/>
              <w:spacing w:after="0" w:line="143" w:lineRule="exact"/>
              <w:rPr>
                <w:sz w:val="20"/>
                <w:szCs w:val="20"/>
                <w:color w:val="auto"/>
              </w:rPr>
            </w:pPr>
            <w:r>
              <w:rPr>
                <w:rFonts w:ascii="Arial" w:cs="Arial" w:eastAsia="Arial" w:hAnsi="Arial"/>
                <w:sz w:val="13"/>
                <w:szCs w:val="13"/>
                <w:color w:val="auto"/>
              </w:rPr>
              <w:t>Add Year-End Fair Value of Stock Awards Granted and Unvested in 2021</w:t>
            </w:r>
          </w:p>
        </w:tc>
        <w:tc>
          <w:tcPr>
            <w:tcW w:w="120" w:type="dxa"/>
            <w:vAlign w:val="bottom"/>
            <w:tcBorders>
              <w:bottom w:val="single" w:sz="8" w:color="E7E7E8"/>
            </w:tcBorders>
          </w:tcPr>
          <w:p>
            <w:pPr>
              <w:spacing w:after="0"/>
              <w:rPr>
                <w:sz w:val="12"/>
                <w:szCs w:val="12"/>
                <w:color w:val="auto"/>
              </w:rPr>
            </w:pP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3"/>
              <w:spacing w:after="0" w:line="143" w:lineRule="exact"/>
              <w:rPr>
                <w:sz w:val="20"/>
                <w:szCs w:val="20"/>
                <w:color w:val="auto"/>
              </w:rPr>
            </w:pPr>
            <w:r>
              <w:rPr>
                <w:rFonts w:ascii="Arial" w:cs="Arial" w:eastAsia="Arial" w:hAnsi="Arial"/>
                <w:sz w:val="13"/>
                <w:szCs w:val="13"/>
                <w:color w:val="auto"/>
              </w:rPr>
              <w:t>6,355,405</w:t>
            </w:r>
          </w:p>
        </w:tc>
        <w:tc>
          <w:tcPr>
            <w:tcW w:w="120" w:type="dxa"/>
            <w:vAlign w:val="bottom"/>
            <w:tcBorders>
              <w:bottom w:val="single" w:sz="8" w:color="E7E7E8"/>
            </w:tcBorders>
          </w:tcPr>
          <w:p>
            <w:pPr>
              <w:spacing w:after="0"/>
              <w:rPr>
                <w:sz w:val="12"/>
                <w:szCs w:val="12"/>
                <w:color w:val="auto"/>
              </w:rPr>
            </w:pPr>
          </w:p>
        </w:tc>
        <w:tc>
          <w:tcPr>
            <w:tcW w:w="7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4"/>
              <w:spacing w:after="0" w:line="143" w:lineRule="exact"/>
              <w:rPr>
                <w:sz w:val="20"/>
                <w:szCs w:val="20"/>
                <w:color w:val="auto"/>
              </w:rPr>
            </w:pPr>
            <w:r>
              <w:rPr>
                <w:rFonts w:ascii="Arial" w:cs="Arial" w:eastAsia="Arial" w:hAnsi="Arial"/>
                <w:sz w:val="13"/>
                <w:szCs w:val="13"/>
                <w:color w:val="auto"/>
              </w:rPr>
              <w:t>2,908,148</w:t>
            </w:r>
          </w:p>
        </w:tc>
        <w:tc>
          <w:tcPr>
            <w:tcW w:w="0" w:type="dxa"/>
            <w:vAlign w:val="bottom"/>
          </w:tcPr>
          <w:p>
            <w:pPr>
              <w:spacing w:after="0"/>
              <w:rPr>
                <w:sz w:val="1"/>
                <w:szCs w:val="1"/>
                <w:color w:val="auto"/>
              </w:rPr>
            </w:pPr>
          </w:p>
        </w:tc>
      </w:tr>
      <w:tr>
        <w:trPr>
          <w:trHeight w:val="142"/>
        </w:trPr>
        <w:tc>
          <w:tcPr>
            <w:tcW w:w="6820" w:type="dxa"/>
            <w:vAlign w:val="bottom"/>
            <w:tcBorders>
              <w:bottom w:val="single" w:sz="8" w:color="auto"/>
            </w:tcBorders>
            <w:shd w:val="clear" w:color="auto" w:fill="E7E7E8"/>
          </w:tcPr>
          <w:p>
            <w:pPr>
              <w:jc w:val="right"/>
              <w:ind w:right="14"/>
              <w:spacing w:after="0" w:line="143" w:lineRule="exact"/>
              <w:rPr>
                <w:sz w:val="20"/>
                <w:szCs w:val="20"/>
                <w:color w:val="auto"/>
              </w:rPr>
            </w:pPr>
            <w:r>
              <w:rPr>
                <w:rFonts w:ascii="Arial" w:cs="Arial" w:eastAsia="Arial" w:hAnsi="Arial"/>
                <w:sz w:val="13"/>
                <w:szCs w:val="13"/>
                <w:color w:val="auto"/>
              </w:rPr>
              <w:t>Add Change in Fair Value of Prior Year Grants Unvested and Outstanding</w:t>
            </w:r>
          </w:p>
        </w:tc>
        <w:tc>
          <w:tcPr>
            <w:tcW w:w="120" w:type="dxa"/>
            <w:vAlign w:val="bottom"/>
            <w:tcBorders>
              <w:right w:val="single" w:sz="8" w:color="E7E7E8"/>
            </w:tcBorders>
            <w:shd w:val="clear" w:color="auto" w:fill="E7E7E8"/>
          </w:tcPr>
          <w:p>
            <w:pPr>
              <w:spacing w:after="0"/>
              <w:rPr>
                <w:sz w:val="12"/>
                <w:szCs w:val="12"/>
                <w:color w:val="auto"/>
              </w:rPr>
            </w:pPr>
          </w:p>
        </w:tc>
        <w:tc>
          <w:tcPr>
            <w:tcW w:w="740" w:type="dxa"/>
            <w:vAlign w:val="bottom"/>
            <w:tcBorders>
              <w:bottom w:val="single" w:sz="8" w:color="auto"/>
            </w:tcBorders>
            <w:shd w:val="clear" w:color="auto" w:fill="E7E7E8"/>
          </w:tcPr>
          <w:p>
            <w:pPr>
              <w:jc w:val="right"/>
              <w:spacing w:after="0" w:line="143"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E7E7E8"/>
          </w:tcPr>
          <w:p>
            <w:pPr>
              <w:jc w:val="right"/>
              <w:ind w:right="33"/>
              <w:spacing w:after="0" w:line="143" w:lineRule="exact"/>
              <w:rPr>
                <w:sz w:val="20"/>
                <w:szCs w:val="20"/>
                <w:color w:val="auto"/>
              </w:rPr>
            </w:pPr>
            <w:r>
              <w:rPr>
                <w:rFonts w:ascii="Arial" w:cs="Arial" w:eastAsia="Arial" w:hAnsi="Arial"/>
                <w:sz w:val="13"/>
                <w:szCs w:val="13"/>
                <w:color w:val="auto"/>
              </w:rPr>
              <w:t>4,807,722</w:t>
            </w:r>
          </w:p>
        </w:tc>
        <w:tc>
          <w:tcPr>
            <w:tcW w:w="120" w:type="dxa"/>
            <w:vAlign w:val="bottom"/>
            <w:tcBorders>
              <w:right w:val="single" w:sz="8" w:color="E7E7E8"/>
            </w:tcBorders>
            <w:shd w:val="clear" w:color="auto" w:fill="E7E7E8"/>
          </w:tcPr>
          <w:p>
            <w:pPr>
              <w:spacing w:after="0"/>
              <w:rPr>
                <w:sz w:val="12"/>
                <w:szCs w:val="12"/>
                <w:color w:val="auto"/>
              </w:rPr>
            </w:pPr>
          </w:p>
        </w:tc>
        <w:tc>
          <w:tcPr>
            <w:tcW w:w="760" w:type="dxa"/>
            <w:vAlign w:val="bottom"/>
            <w:tcBorders>
              <w:bottom w:val="single" w:sz="8" w:color="auto"/>
            </w:tcBorders>
            <w:shd w:val="clear" w:color="auto" w:fill="E7E7E8"/>
          </w:tcPr>
          <w:p>
            <w:pPr>
              <w:jc w:val="right"/>
              <w:spacing w:after="0" w:line="143"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E7E7E8"/>
          </w:tcPr>
          <w:p>
            <w:pPr>
              <w:jc w:val="right"/>
              <w:ind w:right="34"/>
              <w:spacing w:after="0" w:line="143" w:lineRule="exact"/>
              <w:rPr>
                <w:sz w:val="20"/>
                <w:szCs w:val="20"/>
                <w:color w:val="auto"/>
              </w:rPr>
            </w:pPr>
            <w:r>
              <w:rPr>
                <w:rFonts w:ascii="Arial" w:cs="Arial" w:eastAsia="Arial" w:hAnsi="Arial"/>
                <w:sz w:val="13"/>
                <w:szCs w:val="13"/>
                <w:color w:val="auto"/>
              </w:rPr>
              <w:t>1,693,273</w:t>
            </w:r>
          </w:p>
        </w:tc>
        <w:tc>
          <w:tcPr>
            <w:tcW w:w="0" w:type="dxa"/>
            <w:vAlign w:val="bottom"/>
          </w:tcPr>
          <w:p>
            <w:pPr>
              <w:spacing w:after="0"/>
              <w:rPr>
                <w:sz w:val="1"/>
                <w:szCs w:val="1"/>
                <w:color w:val="auto"/>
              </w:rPr>
            </w:pPr>
          </w:p>
        </w:tc>
      </w:tr>
      <w:tr>
        <w:trPr>
          <w:trHeight w:val="142"/>
        </w:trPr>
        <w:tc>
          <w:tcPr>
            <w:tcW w:w="6820" w:type="dxa"/>
            <w:vAlign w:val="bottom"/>
            <w:tcBorders>
              <w:bottom w:val="single" w:sz="8" w:color="auto"/>
            </w:tcBorders>
          </w:tcPr>
          <w:p>
            <w:pPr>
              <w:jc w:val="right"/>
              <w:ind w:right="14"/>
              <w:spacing w:after="0" w:line="143" w:lineRule="exact"/>
              <w:rPr>
                <w:sz w:val="20"/>
                <w:szCs w:val="20"/>
                <w:color w:val="auto"/>
              </w:rPr>
            </w:pPr>
            <w:r>
              <w:rPr>
                <w:rFonts w:ascii="Arial" w:cs="Arial" w:eastAsia="Arial" w:hAnsi="Arial"/>
                <w:sz w:val="13"/>
                <w:szCs w:val="13"/>
                <w:color w:val="auto"/>
              </w:rPr>
              <w:t>Add Change in Fair Value of Stock Awards (made in prior years) Vested as of Vesting Date in 2021</w:t>
            </w:r>
          </w:p>
        </w:tc>
        <w:tc>
          <w:tcPr>
            <w:tcW w:w="120" w:type="dxa"/>
            <w:vAlign w:val="bottom"/>
            <w:tcBorders>
              <w:bottom w:val="single" w:sz="8" w:color="E7E7E8"/>
            </w:tcBorders>
          </w:tcPr>
          <w:p>
            <w:pPr>
              <w:spacing w:after="0"/>
              <w:rPr>
                <w:sz w:val="12"/>
                <w:szCs w:val="12"/>
                <w:color w:val="auto"/>
              </w:rPr>
            </w:pP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3"/>
              <w:spacing w:after="0" w:line="143" w:lineRule="exact"/>
              <w:rPr>
                <w:sz w:val="20"/>
                <w:szCs w:val="20"/>
                <w:color w:val="auto"/>
              </w:rPr>
            </w:pPr>
            <w:r>
              <w:rPr>
                <w:rFonts w:ascii="Arial" w:cs="Arial" w:eastAsia="Arial" w:hAnsi="Arial"/>
                <w:sz w:val="13"/>
                <w:szCs w:val="13"/>
                <w:color w:val="auto"/>
              </w:rPr>
              <w:t>1,110,196</w:t>
            </w:r>
          </w:p>
        </w:tc>
        <w:tc>
          <w:tcPr>
            <w:tcW w:w="120" w:type="dxa"/>
            <w:vAlign w:val="bottom"/>
            <w:tcBorders>
              <w:bottom w:val="single" w:sz="8" w:color="E7E7E8"/>
            </w:tcBorders>
          </w:tcPr>
          <w:p>
            <w:pPr>
              <w:spacing w:after="0"/>
              <w:rPr>
                <w:sz w:val="12"/>
                <w:szCs w:val="12"/>
                <w:color w:val="auto"/>
              </w:rPr>
            </w:pPr>
          </w:p>
        </w:tc>
        <w:tc>
          <w:tcPr>
            <w:tcW w:w="7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4"/>
              <w:spacing w:after="0" w:line="143" w:lineRule="exact"/>
              <w:rPr>
                <w:sz w:val="20"/>
                <w:szCs w:val="20"/>
                <w:color w:val="auto"/>
              </w:rPr>
            </w:pPr>
            <w:r>
              <w:rPr>
                <w:rFonts w:ascii="Arial" w:cs="Arial" w:eastAsia="Arial" w:hAnsi="Arial"/>
                <w:sz w:val="13"/>
                <w:szCs w:val="13"/>
                <w:color w:val="auto"/>
              </w:rPr>
              <w:t>958,513</w:t>
            </w:r>
          </w:p>
        </w:tc>
        <w:tc>
          <w:tcPr>
            <w:tcW w:w="0" w:type="dxa"/>
            <w:vAlign w:val="bottom"/>
          </w:tcPr>
          <w:p>
            <w:pPr>
              <w:spacing w:after="0"/>
              <w:rPr>
                <w:sz w:val="1"/>
                <w:szCs w:val="1"/>
                <w:color w:val="auto"/>
              </w:rPr>
            </w:pPr>
          </w:p>
        </w:tc>
      </w:tr>
      <w:tr>
        <w:trPr>
          <w:trHeight w:val="142"/>
        </w:trPr>
        <w:tc>
          <w:tcPr>
            <w:tcW w:w="6820" w:type="dxa"/>
            <w:vAlign w:val="bottom"/>
            <w:tcBorders>
              <w:bottom w:val="single" w:sz="8" w:color="auto"/>
            </w:tcBorders>
            <w:shd w:val="clear" w:color="auto" w:fill="E7E7E8"/>
          </w:tcPr>
          <w:p>
            <w:pPr>
              <w:jc w:val="right"/>
              <w:ind w:right="14"/>
              <w:spacing w:after="0" w:line="143" w:lineRule="exact"/>
              <w:rPr>
                <w:sz w:val="20"/>
                <w:szCs w:val="20"/>
                <w:color w:val="auto"/>
              </w:rPr>
            </w:pPr>
            <w:r>
              <w:rPr>
                <w:rFonts w:ascii="Arial" w:cs="Arial" w:eastAsia="Arial" w:hAnsi="Arial"/>
                <w:sz w:val="13"/>
                <w:szCs w:val="13"/>
                <w:color w:val="auto"/>
              </w:rPr>
              <w:t>Subtract Prior Year LTI Awards Forfeited in 2021</w:t>
            </w:r>
          </w:p>
        </w:tc>
        <w:tc>
          <w:tcPr>
            <w:tcW w:w="120" w:type="dxa"/>
            <w:vAlign w:val="bottom"/>
            <w:tcBorders>
              <w:right w:val="single" w:sz="8" w:color="E7E7E8"/>
            </w:tcBorders>
            <w:shd w:val="clear" w:color="auto" w:fill="E7E7E8"/>
          </w:tcPr>
          <w:p>
            <w:pPr>
              <w:spacing w:after="0"/>
              <w:rPr>
                <w:sz w:val="12"/>
                <w:szCs w:val="12"/>
                <w:color w:val="auto"/>
              </w:rPr>
            </w:pPr>
          </w:p>
        </w:tc>
        <w:tc>
          <w:tcPr>
            <w:tcW w:w="740" w:type="dxa"/>
            <w:vAlign w:val="bottom"/>
            <w:tcBorders>
              <w:bottom w:val="single" w:sz="8" w:color="auto"/>
            </w:tcBorders>
            <w:shd w:val="clear" w:color="auto" w:fill="E7E7E8"/>
          </w:tcPr>
          <w:p>
            <w:pPr>
              <w:jc w:val="right"/>
              <w:spacing w:after="0" w:line="143"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E7E7E8"/>
          </w:tcPr>
          <w:p>
            <w:pPr>
              <w:jc w:val="right"/>
              <w:ind w:right="33"/>
              <w:spacing w:after="0" w:line="143"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E7E7E8"/>
            </w:tcBorders>
            <w:shd w:val="clear" w:color="auto" w:fill="E7E7E8"/>
          </w:tcPr>
          <w:p>
            <w:pPr>
              <w:spacing w:after="0"/>
              <w:rPr>
                <w:sz w:val="12"/>
                <w:szCs w:val="12"/>
                <w:color w:val="auto"/>
              </w:rPr>
            </w:pPr>
          </w:p>
        </w:tc>
        <w:tc>
          <w:tcPr>
            <w:tcW w:w="760" w:type="dxa"/>
            <w:vAlign w:val="bottom"/>
            <w:tcBorders>
              <w:bottom w:val="single" w:sz="8" w:color="auto"/>
            </w:tcBorders>
            <w:shd w:val="clear" w:color="auto" w:fill="E7E7E8"/>
          </w:tcPr>
          <w:p>
            <w:pPr>
              <w:jc w:val="right"/>
              <w:spacing w:after="0" w:line="143"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E7E7E8"/>
          </w:tcPr>
          <w:p>
            <w:pPr>
              <w:jc w:val="right"/>
              <w:spacing w:after="0" w:line="143" w:lineRule="exact"/>
              <w:rPr>
                <w:sz w:val="20"/>
                <w:szCs w:val="20"/>
                <w:color w:val="auto"/>
              </w:rPr>
            </w:pPr>
            <w:r>
              <w:rPr>
                <w:rFonts w:ascii="Arial" w:cs="Arial" w:eastAsia="Arial" w:hAnsi="Arial"/>
                <w:sz w:val="13"/>
                <w:szCs w:val="13"/>
                <w:color w:val="auto"/>
              </w:rPr>
              <w:t>(1,223,322)</w:t>
            </w:r>
          </w:p>
        </w:tc>
        <w:tc>
          <w:tcPr>
            <w:tcW w:w="0" w:type="dxa"/>
            <w:vAlign w:val="bottom"/>
          </w:tcPr>
          <w:p>
            <w:pPr>
              <w:spacing w:after="0"/>
              <w:rPr>
                <w:sz w:val="1"/>
                <w:szCs w:val="1"/>
                <w:color w:val="auto"/>
              </w:rPr>
            </w:pPr>
          </w:p>
        </w:tc>
      </w:tr>
      <w:tr>
        <w:trPr>
          <w:trHeight w:val="142"/>
        </w:trPr>
        <w:tc>
          <w:tcPr>
            <w:tcW w:w="6820" w:type="dxa"/>
            <w:vAlign w:val="bottom"/>
            <w:tcBorders>
              <w:bottom w:val="single" w:sz="8" w:color="auto"/>
            </w:tcBorders>
          </w:tcPr>
          <w:p>
            <w:pPr>
              <w:jc w:val="right"/>
              <w:ind w:right="14"/>
              <w:spacing w:after="0" w:line="143" w:lineRule="exact"/>
              <w:rPr>
                <w:sz w:val="20"/>
                <w:szCs w:val="20"/>
                <w:color w:val="auto"/>
              </w:rPr>
            </w:pPr>
            <w:r>
              <w:rPr>
                <w:rFonts w:ascii="Arial" w:cs="Arial" w:eastAsia="Arial" w:hAnsi="Arial"/>
                <w:sz w:val="13"/>
                <w:szCs w:val="13"/>
                <w:color w:val="auto"/>
              </w:rPr>
              <w:t>Add Dividend Equivalents Paid in 2021</w:t>
            </w:r>
          </w:p>
        </w:tc>
        <w:tc>
          <w:tcPr>
            <w:tcW w:w="120" w:type="dxa"/>
            <w:vAlign w:val="bottom"/>
            <w:tcBorders>
              <w:bottom w:val="single" w:sz="8" w:color="E7E7E8"/>
            </w:tcBorders>
          </w:tcPr>
          <w:p>
            <w:pPr>
              <w:spacing w:after="0"/>
              <w:rPr>
                <w:sz w:val="12"/>
                <w:szCs w:val="12"/>
                <w:color w:val="auto"/>
              </w:rPr>
            </w:pP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3"/>
              <w:spacing w:after="0" w:line="143" w:lineRule="exact"/>
              <w:rPr>
                <w:sz w:val="20"/>
                <w:szCs w:val="20"/>
                <w:color w:val="auto"/>
              </w:rPr>
            </w:pPr>
            <w:r>
              <w:rPr>
                <w:rFonts w:ascii="Arial" w:cs="Arial" w:eastAsia="Arial" w:hAnsi="Arial"/>
                <w:sz w:val="13"/>
                <w:szCs w:val="13"/>
                <w:color w:val="auto"/>
              </w:rPr>
              <w:t>604,017</w:t>
            </w:r>
          </w:p>
        </w:tc>
        <w:tc>
          <w:tcPr>
            <w:tcW w:w="120" w:type="dxa"/>
            <w:vAlign w:val="bottom"/>
            <w:tcBorders>
              <w:bottom w:val="single" w:sz="8" w:color="E7E7E8"/>
            </w:tcBorders>
          </w:tcPr>
          <w:p>
            <w:pPr>
              <w:spacing w:after="0"/>
              <w:rPr>
                <w:sz w:val="12"/>
                <w:szCs w:val="12"/>
                <w:color w:val="auto"/>
              </w:rPr>
            </w:pPr>
          </w:p>
        </w:tc>
        <w:tc>
          <w:tcPr>
            <w:tcW w:w="7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4"/>
              <w:spacing w:after="0" w:line="143" w:lineRule="exact"/>
              <w:rPr>
                <w:sz w:val="20"/>
                <w:szCs w:val="20"/>
                <w:color w:val="auto"/>
              </w:rPr>
            </w:pPr>
            <w:r>
              <w:rPr>
                <w:rFonts w:ascii="Arial" w:cs="Arial" w:eastAsia="Arial" w:hAnsi="Arial"/>
                <w:sz w:val="13"/>
                <w:szCs w:val="13"/>
                <w:color w:val="auto"/>
              </w:rPr>
              <w:t>333,062</w:t>
            </w:r>
          </w:p>
        </w:tc>
        <w:tc>
          <w:tcPr>
            <w:tcW w:w="0" w:type="dxa"/>
            <w:vAlign w:val="bottom"/>
          </w:tcPr>
          <w:p>
            <w:pPr>
              <w:spacing w:after="0"/>
              <w:rPr>
                <w:sz w:val="1"/>
                <w:szCs w:val="1"/>
                <w:color w:val="auto"/>
              </w:rPr>
            </w:pPr>
          </w:p>
        </w:tc>
      </w:tr>
      <w:tr>
        <w:trPr>
          <w:trHeight w:val="142"/>
        </w:trPr>
        <w:tc>
          <w:tcPr>
            <w:tcW w:w="6820" w:type="dxa"/>
            <w:vAlign w:val="bottom"/>
            <w:tcBorders>
              <w:bottom w:val="single" w:sz="8" w:color="auto"/>
            </w:tcBorders>
            <w:shd w:val="clear" w:color="auto" w:fill="E7E7E8"/>
          </w:tcPr>
          <w:p>
            <w:pPr>
              <w:jc w:val="right"/>
              <w:ind w:right="14"/>
              <w:spacing w:after="0" w:line="143" w:lineRule="exact"/>
              <w:rPr>
                <w:sz w:val="20"/>
                <w:szCs w:val="20"/>
                <w:color w:val="auto"/>
              </w:rPr>
            </w:pPr>
            <w:r>
              <w:rPr>
                <w:rFonts w:ascii="Arial" w:cs="Arial" w:eastAsia="Arial" w:hAnsi="Arial"/>
                <w:sz w:val="13"/>
                <w:szCs w:val="13"/>
                <w:b w:val="1"/>
                <w:bCs w:val="1"/>
                <w:color w:val="auto"/>
              </w:rPr>
              <w:t>Compensation Actually Paid in 2021</w:t>
            </w:r>
          </w:p>
        </w:tc>
        <w:tc>
          <w:tcPr>
            <w:tcW w:w="120" w:type="dxa"/>
            <w:vAlign w:val="bottom"/>
            <w:tcBorders>
              <w:right w:val="single" w:sz="8" w:color="E7E7E8"/>
            </w:tcBorders>
            <w:shd w:val="clear" w:color="auto" w:fill="E7E7E8"/>
          </w:tcPr>
          <w:p>
            <w:pPr>
              <w:spacing w:after="0"/>
              <w:rPr>
                <w:sz w:val="12"/>
                <w:szCs w:val="12"/>
                <w:color w:val="auto"/>
              </w:rPr>
            </w:pPr>
          </w:p>
        </w:tc>
        <w:tc>
          <w:tcPr>
            <w:tcW w:w="740" w:type="dxa"/>
            <w:vAlign w:val="bottom"/>
            <w:tcBorders>
              <w:bottom w:val="single" w:sz="8" w:color="auto"/>
            </w:tcBorders>
            <w:shd w:val="clear" w:color="auto" w:fill="E7E7E8"/>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shd w:val="clear" w:color="auto" w:fill="E7E7E8"/>
          </w:tcPr>
          <w:p>
            <w:pPr>
              <w:jc w:val="right"/>
              <w:ind w:right="33"/>
              <w:spacing w:after="0" w:line="143" w:lineRule="exact"/>
              <w:rPr>
                <w:sz w:val="20"/>
                <w:szCs w:val="20"/>
                <w:color w:val="auto"/>
              </w:rPr>
            </w:pPr>
            <w:r>
              <w:rPr>
                <w:rFonts w:ascii="Arial" w:cs="Arial" w:eastAsia="Arial" w:hAnsi="Arial"/>
                <w:sz w:val="13"/>
                <w:szCs w:val="13"/>
                <w:b w:val="1"/>
                <w:bCs w:val="1"/>
                <w:color w:val="auto"/>
              </w:rPr>
              <w:t>23,404,280</w:t>
            </w:r>
          </w:p>
        </w:tc>
        <w:tc>
          <w:tcPr>
            <w:tcW w:w="120" w:type="dxa"/>
            <w:vAlign w:val="bottom"/>
            <w:tcBorders>
              <w:right w:val="single" w:sz="8" w:color="E7E7E8"/>
            </w:tcBorders>
            <w:shd w:val="clear" w:color="auto" w:fill="E7E7E8"/>
          </w:tcPr>
          <w:p>
            <w:pPr>
              <w:spacing w:after="0"/>
              <w:rPr>
                <w:sz w:val="12"/>
                <w:szCs w:val="12"/>
                <w:color w:val="auto"/>
              </w:rPr>
            </w:pPr>
          </w:p>
        </w:tc>
        <w:tc>
          <w:tcPr>
            <w:tcW w:w="760" w:type="dxa"/>
            <w:vAlign w:val="bottom"/>
            <w:tcBorders>
              <w:bottom w:val="single" w:sz="8" w:color="auto"/>
            </w:tcBorders>
            <w:shd w:val="clear" w:color="auto" w:fill="E7E7E8"/>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shd w:val="clear" w:color="auto" w:fill="E7E7E8"/>
          </w:tcPr>
          <w:p>
            <w:pPr>
              <w:jc w:val="right"/>
              <w:ind w:right="34"/>
              <w:spacing w:after="0" w:line="143" w:lineRule="exact"/>
              <w:rPr>
                <w:sz w:val="20"/>
                <w:szCs w:val="20"/>
                <w:color w:val="auto"/>
              </w:rPr>
            </w:pPr>
            <w:r>
              <w:rPr>
                <w:rFonts w:ascii="Arial" w:cs="Arial" w:eastAsia="Arial" w:hAnsi="Arial"/>
                <w:sz w:val="13"/>
                <w:szCs w:val="13"/>
                <w:b w:val="1"/>
                <w:bCs w:val="1"/>
                <w:color w:val="auto"/>
              </w:rPr>
              <w:t>10,768,644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5047615</wp:posOffset>
            </wp:positionH>
            <wp:positionV relativeFrom="paragraph">
              <wp:posOffset>-729615</wp:posOffset>
            </wp:positionV>
            <wp:extent cx="63500" cy="10287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3500" cy="102870"/>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-729615</wp:posOffset>
            </wp:positionV>
            <wp:extent cx="63500" cy="10287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3500" cy="102870"/>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-523240</wp:posOffset>
            </wp:positionV>
            <wp:extent cx="63500" cy="10287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3500" cy="102870"/>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-523240</wp:posOffset>
            </wp:positionV>
            <wp:extent cx="63500" cy="10287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3500" cy="102870"/>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-316865</wp:posOffset>
            </wp:positionV>
            <wp:extent cx="63500" cy="10287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3500" cy="102870"/>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-316865</wp:posOffset>
            </wp:positionV>
            <wp:extent cx="63500" cy="10287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3500" cy="102870"/>
                    </a:xfrm>
                    <a:prstGeom prst="rect">
                      <a:avLst/>
                    </a:prstGeom>
                    <a:noFill/>
                  </pic:spPr>
                </pic:pic>
              </a:graphicData>
            </a:graphic>
          </wp:anchor>
        </w:drawing>
      </w:r>
    </w:p>
    <w:p>
      <w:pPr>
        <w:spacing w:after="0" w:line="172" w:lineRule="exact"/>
        <w:rPr>
          <w:sz w:val="20"/>
          <w:szCs w:val="20"/>
          <w:color w:val="auto"/>
        </w:rPr>
      </w:pPr>
    </w:p>
    <w:p>
      <w:pPr>
        <w:jc w:val="both"/>
        <w:ind w:left="300" w:hanging="300"/>
        <w:spacing w:after="0" w:line="206" w:lineRule="auto"/>
        <w:tabs>
          <w:tab w:leader="none" w:pos="300" w:val="left"/>
        </w:tabs>
        <w:numPr>
          <w:ilvl w:val="0"/>
          <w:numId w:val="121"/>
        </w:numPr>
        <w:rPr>
          <w:rFonts w:ascii="Arial" w:cs="Arial" w:eastAsia="Arial" w:hAnsi="Arial"/>
          <w:sz w:val="22"/>
          <w:szCs w:val="22"/>
          <w:color w:val="auto"/>
          <w:vertAlign w:val="superscript"/>
        </w:rPr>
      </w:pPr>
      <w:r>
        <w:rPr>
          <w:rFonts w:ascii="Arial" w:cs="Arial" w:eastAsia="Arial" w:hAnsi="Arial"/>
          <w:sz w:val="13"/>
          <w:szCs w:val="13"/>
          <w:color w:val="auto"/>
        </w:rPr>
        <w:t>The adjustments to the Summary Compensation Table totals to arrive to compensation actually paid in 2020 are outlined below. No awards were modified in 2020. These valuations assume a year-end share price of $151.39 and average vest share price of $139.84. During this period Mr. Stromberg served as the PEO and Ms. Dufétel, and Messrs. Sharps, Alderson and Veiel served as the Non-PEO NEOs.</w:t>
      </w:r>
    </w:p>
    <w:p>
      <w:pPr>
        <w:spacing w:after="0" w:line="153"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68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jc w:val="right"/>
              <w:ind w:right="34"/>
              <w:spacing w:after="0"/>
              <w:rPr>
                <w:sz w:val="20"/>
                <w:szCs w:val="20"/>
                <w:color w:val="auto"/>
              </w:rPr>
            </w:pPr>
            <w:r>
              <w:rPr>
                <w:rFonts w:ascii="Arial" w:cs="Arial" w:eastAsia="Arial" w:hAnsi="Arial"/>
                <w:sz w:val="12"/>
                <w:szCs w:val="12"/>
                <w:b w:val="1"/>
                <w:bCs w:val="1"/>
                <w:color w:val="auto"/>
              </w:rPr>
              <w:t>AVERAGE</w:t>
            </w:r>
          </w:p>
        </w:tc>
        <w:tc>
          <w:tcPr>
            <w:tcW w:w="0" w:type="dxa"/>
            <w:vAlign w:val="bottom"/>
          </w:tcPr>
          <w:p>
            <w:pPr>
              <w:spacing w:after="0"/>
              <w:rPr>
                <w:sz w:val="1"/>
                <w:szCs w:val="1"/>
                <w:color w:val="auto"/>
              </w:rPr>
            </w:pPr>
          </w:p>
        </w:tc>
      </w:tr>
      <w:tr>
        <w:trPr>
          <w:trHeight w:val="125"/>
        </w:trPr>
        <w:tc>
          <w:tcPr>
            <w:tcW w:w="694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2"/>
                <w:szCs w:val="12"/>
                <w:b w:val="1"/>
                <w:bCs w:val="1"/>
                <w:color w:val="auto"/>
              </w:rPr>
              <w:t>As of 12/31/2020</w:t>
            </w:r>
          </w:p>
        </w:tc>
        <w:tc>
          <w:tcPr>
            <w:tcW w:w="1640" w:type="dxa"/>
            <w:vAlign w:val="bottom"/>
            <w:tcBorders>
              <w:right w:val="single" w:sz="8" w:color="auto"/>
            </w:tcBorders>
            <w:gridSpan w:val="3"/>
            <w:vMerge w:val="restart"/>
          </w:tcPr>
          <w:p>
            <w:pPr>
              <w:ind w:left="200"/>
              <w:spacing w:after="0"/>
              <w:rPr>
                <w:sz w:val="20"/>
                <w:szCs w:val="20"/>
                <w:color w:val="auto"/>
              </w:rPr>
            </w:pPr>
            <w:r>
              <w:rPr>
                <w:rFonts w:ascii="Arial" w:cs="Arial" w:eastAsia="Arial" w:hAnsi="Arial"/>
                <w:sz w:val="12"/>
                <w:szCs w:val="12"/>
                <w:b w:val="1"/>
                <w:bCs w:val="1"/>
                <w:color w:val="auto"/>
              </w:rPr>
              <w:t>PEO COMPENSATION</w:t>
            </w:r>
          </w:p>
        </w:tc>
        <w:tc>
          <w:tcPr>
            <w:tcW w:w="1540" w:type="dxa"/>
            <w:vAlign w:val="bottom"/>
            <w:gridSpan w:val="2"/>
          </w:tcPr>
          <w:p>
            <w:pPr>
              <w:jc w:val="right"/>
              <w:ind w:right="34"/>
              <w:spacing w:after="0" w:line="125" w:lineRule="exact"/>
              <w:rPr>
                <w:sz w:val="20"/>
                <w:szCs w:val="20"/>
                <w:color w:val="auto"/>
              </w:rPr>
            </w:pPr>
            <w:r>
              <w:rPr>
                <w:rFonts w:ascii="Arial" w:cs="Arial" w:eastAsia="Arial" w:hAnsi="Arial"/>
                <w:sz w:val="12"/>
                <w:szCs w:val="12"/>
                <w:b w:val="1"/>
                <w:bCs w:val="1"/>
                <w:color w:val="auto"/>
              </w:rPr>
              <w:t>COMPENSATION FOR</w:t>
            </w:r>
          </w:p>
        </w:tc>
        <w:tc>
          <w:tcPr>
            <w:tcW w:w="0" w:type="dxa"/>
            <w:vAlign w:val="bottom"/>
          </w:tcPr>
          <w:p>
            <w:pPr>
              <w:spacing w:after="0"/>
              <w:rPr>
                <w:sz w:val="1"/>
                <w:szCs w:val="1"/>
                <w:color w:val="auto"/>
              </w:rPr>
            </w:pPr>
          </w:p>
        </w:tc>
      </w:tr>
      <w:tr>
        <w:trPr>
          <w:trHeight w:val="143"/>
        </w:trPr>
        <w:tc>
          <w:tcPr>
            <w:tcW w:w="6940" w:type="dxa"/>
            <w:vAlign w:val="bottom"/>
            <w:tcBorders>
              <w:right w:val="single" w:sz="8" w:color="auto"/>
            </w:tcBorders>
            <w:gridSpan w:val="2"/>
            <w:vMerge w:val="continue"/>
          </w:tcPr>
          <w:p>
            <w:pPr>
              <w:spacing w:after="0"/>
              <w:rPr>
                <w:sz w:val="12"/>
                <w:szCs w:val="12"/>
                <w:color w:val="auto"/>
              </w:rPr>
            </w:pPr>
          </w:p>
        </w:tc>
        <w:tc>
          <w:tcPr>
            <w:tcW w:w="1640" w:type="dxa"/>
            <w:vAlign w:val="bottom"/>
            <w:tcBorders>
              <w:right w:val="single" w:sz="8" w:color="auto"/>
            </w:tcBorders>
            <w:gridSpan w:val="3"/>
            <w:vMerge w:val="continue"/>
          </w:tcPr>
          <w:p>
            <w:pPr>
              <w:spacing w:after="0"/>
              <w:rPr>
                <w:sz w:val="12"/>
                <w:szCs w:val="12"/>
                <w:color w:val="auto"/>
              </w:rPr>
            </w:pPr>
          </w:p>
        </w:tc>
        <w:tc>
          <w:tcPr>
            <w:tcW w:w="1540" w:type="dxa"/>
            <w:vAlign w:val="bottom"/>
            <w:gridSpan w:val="2"/>
          </w:tcPr>
          <w:p>
            <w:pPr>
              <w:jc w:val="right"/>
              <w:ind w:right="34"/>
              <w:spacing w:after="0"/>
              <w:rPr>
                <w:sz w:val="20"/>
                <w:szCs w:val="20"/>
                <w:color w:val="auto"/>
              </w:rPr>
            </w:pPr>
            <w:r>
              <w:rPr>
                <w:rFonts w:ascii="Arial" w:cs="Arial" w:eastAsia="Arial" w:hAnsi="Arial"/>
                <w:sz w:val="12"/>
                <w:szCs w:val="12"/>
                <w:b w:val="1"/>
                <w:bCs w:val="1"/>
                <w:color w:val="auto"/>
              </w:rPr>
              <w:t>NON-PEO NEOs</w:t>
            </w:r>
          </w:p>
        </w:tc>
        <w:tc>
          <w:tcPr>
            <w:tcW w:w="0" w:type="dxa"/>
            <w:vAlign w:val="bottom"/>
          </w:tcPr>
          <w:p>
            <w:pPr>
              <w:spacing w:after="0"/>
              <w:rPr>
                <w:sz w:val="1"/>
                <w:szCs w:val="1"/>
                <w:color w:val="auto"/>
              </w:rPr>
            </w:pPr>
          </w:p>
        </w:tc>
      </w:tr>
      <w:tr>
        <w:trPr>
          <w:trHeight w:val="142"/>
        </w:trPr>
        <w:tc>
          <w:tcPr>
            <w:tcW w:w="6820" w:type="dxa"/>
            <w:vAlign w:val="bottom"/>
            <w:tcBorders>
              <w:top w:val="single" w:sz="8" w:color="auto"/>
              <w:bottom w:val="single" w:sz="8" w:color="auto"/>
            </w:tcBorders>
          </w:tcPr>
          <w:p>
            <w:pPr>
              <w:jc w:val="right"/>
              <w:ind w:right="14"/>
              <w:spacing w:after="0" w:line="143" w:lineRule="exact"/>
              <w:rPr>
                <w:sz w:val="20"/>
                <w:szCs w:val="20"/>
                <w:color w:val="auto"/>
              </w:rPr>
            </w:pPr>
            <w:r>
              <w:rPr>
                <w:rFonts w:ascii="Arial" w:cs="Arial" w:eastAsia="Arial" w:hAnsi="Arial"/>
                <w:sz w:val="13"/>
                <w:szCs w:val="13"/>
                <w:b w:val="1"/>
                <w:bCs w:val="1"/>
                <w:color w:val="auto"/>
              </w:rPr>
              <w:t>Summary Compensation Table—2021 Proxy</w:t>
            </w:r>
          </w:p>
        </w:tc>
        <w:tc>
          <w:tcPr>
            <w:tcW w:w="120" w:type="dxa"/>
            <w:vAlign w:val="bottom"/>
            <w:tcBorders>
              <w:bottom w:val="single" w:sz="8" w:color="E7E7E8"/>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780" w:type="dxa"/>
            <w:vAlign w:val="bottom"/>
            <w:tcBorders>
              <w:top w:val="single" w:sz="8" w:color="auto"/>
              <w:bottom w:val="single" w:sz="8" w:color="auto"/>
            </w:tcBorders>
          </w:tcPr>
          <w:p>
            <w:pPr>
              <w:jc w:val="right"/>
              <w:ind w:right="33"/>
              <w:spacing w:after="0" w:line="143" w:lineRule="exact"/>
              <w:rPr>
                <w:sz w:val="20"/>
                <w:szCs w:val="20"/>
                <w:color w:val="auto"/>
              </w:rPr>
            </w:pPr>
            <w:r>
              <w:rPr>
                <w:rFonts w:ascii="Arial" w:cs="Arial" w:eastAsia="Arial" w:hAnsi="Arial"/>
                <w:sz w:val="13"/>
                <w:szCs w:val="13"/>
                <w:b w:val="1"/>
                <w:bCs w:val="1"/>
                <w:color w:val="auto"/>
              </w:rPr>
              <w:t>15,337,274</w:t>
            </w:r>
          </w:p>
        </w:tc>
        <w:tc>
          <w:tcPr>
            <w:tcW w:w="120" w:type="dxa"/>
            <w:vAlign w:val="bottom"/>
            <w:tcBorders>
              <w:bottom w:val="single" w:sz="8" w:color="E7E7E8"/>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780" w:type="dxa"/>
            <w:vAlign w:val="bottom"/>
            <w:tcBorders>
              <w:top w:val="single" w:sz="8" w:color="auto"/>
              <w:bottom w:val="single" w:sz="8" w:color="auto"/>
            </w:tcBorders>
          </w:tcPr>
          <w:p>
            <w:pPr>
              <w:jc w:val="right"/>
              <w:ind w:right="34"/>
              <w:spacing w:after="0" w:line="143" w:lineRule="exact"/>
              <w:rPr>
                <w:sz w:val="20"/>
                <w:szCs w:val="20"/>
                <w:color w:val="auto"/>
              </w:rPr>
            </w:pPr>
            <w:r>
              <w:rPr>
                <w:rFonts w:ascii="Arial" w:cs="Arial" w:eastAsia="Arial" w:hAnsi="Arial"/>
                <w:sz w:val="13"/>
                <w:szCs w:val="13"/>
                <w:b w:val="1"/>
                <w:bCs w:val="1"/>
                <w:color w:val="auto"/>
              </w:rPr>
              <w:t>10,969,887</w:t>
            </w:r>
          </w:p>
        </w:tc>
        <w:tc>
          <w:tcPr>
            <w:tcW w:w="0" w:type="dxa"/>
            <w:vAlign w:val="bottom"/>
          </w:tcPr>
          <w:p>
            <w:pPr>
              <w:spacing w:after="0"/>
              <w:rPr>
                <w:sz w:val="1"/>
                <w:szCs w:val="1"/>
                <w:color w:val="auto"/>
              </w:rPr>
            </w:pPr>
          </w:p>
        </w:tc>
      </w:tr>
      <w:tr>
        <w:trPr>
          <w:trHeight w:val="142"/>
        </w:trPr>
        <w:tc>
          <w:tcPr>
            <w:tcW w:w="6820" w:type="dxa"/>
            <w:vAlign w:val="bottom"/>
            <w:tcBorders>
              <w:bottom w:val="single" w:sz="8" w:color="auto"/>
            </w:tcBorders>
            <w:shd w:val="clear" w:color="auto" w:fill="E7E7E8"/>
          </w:tcPr>
          <w:p>
            <w:pPr>
              <w:jc w:val="right"/>
              <w:ind w:right="14"/>
              <w:spacing w:after="0" w:line="143" w:lineRule="exact"/>
              <w:rPr>
                <w:sz w:val="20"/>
                <w:szCs w:val="20"/>
                <w:color w:val="auto"/>
              </w:rPr>
            </w:pPr>
            <w:r>
              <w:rPr>
                <w:rFonts w:ascii="Arial" w:cs="Arial" w:eastAsia="Arial" w:hAnsi="Arial"/>
                <w:sz w:val="13"/>
                <w:szCs w:val="13"/>
                <w:color w:val="auto"/>
              </w:rPr>
              <w:t>Subtract Grant Date Fair Value of Stock Awards Granted in 2020</w:t>
            </w:r>
          </w:p>
        </w:tc>
        <w:tc>
          <w:tcPr>
            <w:tcW w:w="120" w:type="dxa"/>
            <w:vAlign w:val="bottom"/>
            <w:tcBorders>
              <w:right w:val="single" w:sz="8" w:color="E7E7E8"/>
            </w:tcBorders>
            <w:shd w:val="clear" w:color="auto" w:fill="E7E7E8"/>
          </w:tcPr>
          <w:p>
            <w:pPr>
              <w:spacing w:after="0"/>
              <w:rPr>
                <w:sz w:val="12"/>
                <w:szCs w:val="12"/>
                <w:color w:val="auto"/>
              </w:rPr>
            </w:pPr>
          </w:p>
        </w:tc>
        <w:tc>
          <w:tcPr>
            <w:tcW w:w="740" w:type="dxa"/>
            <w:vAlign w:val="bottom"/>
            <w:tcBorders>
              <w:bottom w:val="single" w:sz="8" w:color="auto"/>
            </w:tcBorders>
            <w:shd w:val="clear" w:color="auto" w:fill="E7E7E8"/>
          </w:tcPr>
          <w:p>
            <w:pPr>
              <w:jc w:val="right"/>
              <w:spacing w:after="0" w:line="143"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E7E7E8"/>
          </w:tcPr>
          <w:p>
            <w:pPr>
              <w:jc w:val="right"/>
              <w:spacing w:after="0" w:line="143" w:lineRule="exact"/>
              <w:rPr>
                <w:sz w:val="20"/>
                <w:szCs w:val="20"/>
                <w:color w:val="auto"/>
              </w:rPr>
            </w:pPr>
            <w:r>
              <w:rPr>
                <w:rFonts w:ascii="Arial" w:cs="Arial" w:eastAsia="Arial" w:hAnsi="Arial"/>
                <w:sz w:val="13"/>
                <w:szCs w:val="13"/>
                <w:color w:val="auto"/>
              </w:rPr>
              <w:t>(5,900,108)</w:t>
            </w:r>
          </w:p>
        </w:tc>
        <w:tc>
          <w:tcPr>
            <w:tcW w:w="120" w:type="dxa"/>
            <w:vAlign w:val="bottom"/>
            <w:tcBorders>
              <w:right w:val="single" w:sz="8" w:color="E7E7E8"/>
            </w:tcBorders>
            <w:shd w:val="clear" w:color="auto" w:fill="E7E7E8"/>
          </w:tcPr>
          <w:p>
            <w:pPr>
              <w:spacing w:after="0"/>
              <w:rPr>
                <w:sz w:val="12"/>
                <w:szCs w:val="12"/>
                <w:color w:val="auto"/>
              </w:rPr>
            </w:pPr>
          </w:p>
        </w:tc>
        <w:tc>
          <w:tcPr>
            <w:tcW w:w="760" w:type="dxa"/>
            <w:vAlign w:val="bottom"/>
            <w:tcBorders>
              <w:bottom w:val="single" w:sz="8" w:color="auto"/>
            </w:tcBorders>
            <w:shd w:val="clear" w:color="auto" w:fill="E7E7E8"/>
          </w:tcPr>
          <w:p>
            <w:pPr>
              <w:jc w:val="right"/>
              <w:spacing w:after="0" w:line="143"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E7E7E8"/>
          </w:tcPr>
          <w:p>
            <w:pPr>
              <w:jc w:val="right"/>
              <w:spacing w:after="0" w:line="143" w:lineRule="exact"/>
              <w:rPr>
                <w:sz w:val="20"/>
                <w:szCs w:val="20"/>
                <w:color w:val="auto"/>
              </w:rPr>
            </w:pPr>
            <w:r>
              <w:rPr>
                <w:rFonts w:ascii="Arial" w:cs="Arial" w:eastAsia="Arial" w:hAnsi="Arial"/>
                <w:sz w:val="13"/>
                <w:szCs w:val="13"/>
                <w:color w:val="auto"/>
              </w:rPr>
              <w:t>(3,512,648)</w:t>
            </w:r>
          </w:p>
        </w:tc>
        <w:tc>
          <w:tcPr>
            <w:tcW w:w="0" w:type="dxa"/>
            <w:vAlign w:val="bottom"/>
          </w:tcPr>
          <w:p>
            <w:pPr>
              <w:spacing w:after="0"/>
              <w:rPr>
                <w:sz w:val="1"/>
                <w:szCs w:val="1"/>
                <w:color w:val="auto"/>
              </w:rPr>
            </w:pPr>
          </w:p>
        </w:tc>
      </w:tr>
      <w:tr>
        <w:trPr>
          <w:trHeight w:val="142"/>
        </w:trPr>
        <w:tc>
          <w:tcPr>
            <w:tcW w:w="6820" w:type="dxa"/>
            <w:vAlign w:val="bottom"/>
            <w:tcBorders>
              <w:bottom w:val="single" w:sz="8" w:color="auto"/>
            </w:tcBorders>
          </w:tcPr>
          <w:p>
            <w:pPr>
              <w:jc w:val="right"/>
              <w:ind w:right="14"/>
              <w:spacing w:after="0" w:line="143" w:lineRule="exact"/>
              <w:rPr>
                <w:sz w:val="20"/>
                <w:szCs w:val="20"/>
                <w:color w:val="auto"/>
              </w:rPr>
            </w:pPr>
            <w:r>
              <w:rPr>
                <w:rFonts w:ascii="Arial" w:cs="Arial" w:eastAsia="Arial" w:hAnsi="Arial"/>
                <w:sz w:val="13"/>
                <w:szCs w:val="13"/>
                <w:color w:val="auto"/>
              </w:rPr>
              <w:t>Add Year-End Fair Value of Stock Awards Granted and Unvested in 2020</w:t>
            </w:r>
          </w:p>
        </w:tc>
        <w:tc>
          <w:tcPr>
            <w:tcW w:w="120" w:type="dxa"/>
            <w:vAlign w:val="bottom"/>
            <w:tcBorders>
              <w:bottom w:val="single" w:sz="8" w:color="E7E7E8"/>
            </w:tcBorders>
          </w:tcPr>
          <w:p>
            <w:pPr>
              <w:spacing w:after="0"/>
              <w:rPr>
                <w:sz w:val="12"/>
                <w:szCs w:val="12"/>
                <w:color w:val="auto"/>
              </w:rPr>
            </w:pP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3"/>
              <w:spacing w:after="0" w:line="143" w:lineRule="exact"/>
              <w:rPr>
                <w:sz w:val="20"/>
                <w:szCs w:val="20"/>
                <w:color w:val="auto"/>
              </w:rPr>
            </w:pPr>
            <w:r>
              <w:rPr>
                <w:rFonts w:ascii="Arial" w:cs="Arial" w:eastAsia="Arial" w:hAnsi="Arial"/>
                <w:sz w:val="13"/>
                <w:szCs w:val="13"/>
                <w:color w:val="auto"/>
              </w:rPr>
              <w:t>5,831,543</w:t>
            </w:r>
          </w:p>
        </w:tc>
        <w:tc>
          <w:tcPr>
            <w:tcW w:w="120" w:type="dxa"/>
            <w:vAlign w:val="bottom"/>
            <w:tcBorders>
              <w:bottom w:val="single" w:sz="8" w:color="E7E7E8"/>
            </w:tcBorders>
          </w:tcPr>
          <w:p>
            <w:pPr>
              <w:spacing w:after="0"/>
              <w:rPr>
                <w:sz w:val="12"/>
                <w:szCs w:val="12"/>
                <w:color w:val="auto"/>
              </w:rPr>
            </w:pPr>
          </w:p>
        </w:tc>
        <w:tc>
          <w:tcPr>
            <w:tcW w:w="7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4"/>
              <w:spacing w:after="0" w:line="143" w:lineRule="exact"/>
              <w:rPr>
                <w:sz w:val="20"/>
                <w:szCs w:val="20"/>
                <w:color w:val="auto"/>
              </w:rPr>
            </w:pPr>
            <w:r>
              <w:rPr>
                <w:rFonts w:ascii="Arial" w:cs="Arial" w:eastAsia="Arial" w:hAnsi="Arial"/>
                <w:sz w:val="13"/>
                <w:szCs w:val="13"/>
                <w:color w:val="auto"/>
              </w:rPr>
              <w:t>3,471,827</w:t>
            </w:r>
          </w:p>
        </w:tc>
        <w:tc>
          <w:tcPr>
            <w:tcW w:w="0" w:type="dxa"/>
            <w:vAlign w:val="bottom"/>
          </w:tcPr>
          <w:p>
            <w:pPr>
              <w:spacing w:after="0"/>
              <w:rPr>
                <w:sz w:val="1"/>
                <w:szCs w:val="1"/>
                <w:color w:val="auto"/>
              </w:rPr>
            </w:pPr>
          </w:p>
        </w:tc>
      </w:tr>
      <w:tr>
        <w:trPr>
          <w:trHeight w:val="142"/>
        </w:trPr>
        <w:tc>
          <w:tcPr>
            <w:tcW w:w="6820" w:type="dxa"/>
            <w:vAlign w:val="bottom"/>
            <w:tcBorders>
              <w:bottom w:val="single" w:sz="8" w:color="auto"/>
            </w:tcBorders>
            <w:shd w:val="clear" w:color="auto" w:fill="E7E7E8"/>
          </w:tcPr>
          <w:p>
            <w:pPr>
              <w:jc w:val="right"/>
              <w:ind w:right="14"/>
              <w:spacing w:after="0" w:line="143" w:lineRule="exact"/>
              <w:rPr>
                <w:sz w:val="20"/>
                <w:szCs w:val="20"/>
                <w:color w:val="auto"/>
              </w:rPr>
            </w:pPr>
            <w:r>
              <w:rPr>
                <w:rFonts w:ascii="Arial" w:cs="Arial" w:eastAsia="Arial" w:hAnsi="Arial"/>
                <w:sz w:val="13"/>
                <w:szCs w:val="13"/>
                <w:color w:val="auto"/>
              </w:rPr>
              <w:t>Add Change in Fair Value of Prior Year Grants Unvested and Outstanding</w:t>
            </w:r>
          </w:p>
        </w:tc>
        <w:tc>
          <w:tcPr>
            <w:tcW w:w="120" w:type="dxa"/>
            <w:vAlign w:val="bottom"/>
            <w:tcBorders>
              <w:right w:val="single" w:sz="8" w:color="E7E7E8"/>
            </w:tcBorders>
            <w:shd w:val="clear" w:color="auto" w:fill="E7E7E8"/>
          </w:tcPr>
          <w:p>
            <w:pPr>
              <w:spacing w:after="0"/>
              <w:rPr>
                <w:sz w:val="12"/>
                <w:szCs w:val="12"/>
                <w:color w:val="auto"/>
              </w:rPr>
            </w:pPr>
          </w:p>
        </w:tc>
        <w:tc>
          <w:tcPr>
            <w:tcW w:w="740" w:type="dxa"/>
            <w:vAlign w:val="bottom"/>
            <w:tcBorders>
              <w:bottom w:val="single" w:sz="8" w:color="auto"/>
            </w:tcBorders>
            <w:shd w:val="clear" w:color="auto" w:fill="E7E7E8"/>
          </w:tcPr>
          <w:p>
            <w:pPr>
              <w:jc w:val="right"/>
              <w:spacing w:after="0" w:line="143"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E7E7E8"/>
          </w:tcPr>
          <w:p>
            <w:pPr>
              <w:jc w:val="right"/>
              <w:ind w:right="33"/>
              <w:spacing w:after="0" w:line="143" w:lineRule="exact"/>
              <w:rPr>
                <w:sz w:val="20"/>
                <w:szCs w:val="20"/>
                <w:color w:val="auto"/>
              </w:rPr>
            </w:pPr>
            <w:r>
              <w:rPr>
                <w:rFonts w:ascii="Arial" w:cs="Arial" w:eastAsia="Arial" w:hAnsi="Arial"/>
                <w:sz w:val="13"/>
                <w:szCs w:val="13"/>
                <w:color w:val="auto"/>
              </w:rPr>
              <w:t>3,066,315</w:t>
            </w:r>
          </w:p>
        </w:tc>
        <w:tc>
          <w:tcPr>
            <w:tcW w:w="120" w:type="dxa"/>
            <w:vAlign w:val="bottom"/>
            <w:tcBorders>
              <w:right w:val="single" w:sz="8" w:color="E7E7E8"/>
            </w:tcBorders>
            <w:shd w:val="clear" w:color="auto" w:fill="E7E7E8"/>
          </w:tcPr>
          <w:p>
            <w:pPr>
              <w:spacing w:after="0"/>
              <w:rPr>
                <w:sz w:val="12"/>
                <w:szCs w:val="12"/>
                <w:color w:val="auto"/>
              </w:rPr>
            </w:pPr>
          </w:p>
        </w:tc>
        <w:tc>
          <w:tcPr>
            <w:tcW w:w="760" w:type="dxa"/>
            <w:vAlign w:val="bottom"/>
            <w:tcBorders>
              <w:bottom w:val="single" w:sz="8" w:color="auto"/>
            </w:tcBorders>
            <w:shd w:val="clear" w:color="auto" w:fill="E7E7E8"/>
          </w:tcPr>
          <w:p>
            <w:pPr>
              <w:jc w:val="right"/>
              <w:spacing w:after="0" w:line="143"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E7E7E8"/>
          </w:tcPr>
          <w:p>
            <w:pPr>
              <w:jc w:val="right"/>
              <w:ind w:right="34"/>
              <w:spacing w:after="0" w:line="143" w:lineRule="exact"/>
              <w:rPr>
                <w:sz w:val="20"/>
                <w:szCs w:val="20"/>
                <w:color w:val="auto"/>
              </w:rPr>
            </w:pPr>
            <w:r>
              <w:rPr>
                <w:rFonts w:ascii="Arial" w:cs="Arial" w:eastAsia="Arial" w:hAnsi="Arial"/>
                <w:sz w:val="13"/>
                <w:szCs w:val="13"/>
                <w:color w:val="auto"/>
              </w:rPr>
              <w:t>1,956,299</w:t>
            </w:r>
          </w:p>
        </w:tc>
        <w:tc>
          <w:tcPr>
            <w:tcW w:w="0" w:type="dxa"/>
            <w:vAlign w:val="bottom"/>
          </w:tcPr>
          <w:p>
            <w:pPr>
              <w:spacing w:after="0"/>
              <w:rPr>
                <w:sz w:val="1"/>
                <w:szCs w:val="1"/>
                <w:color w:val="auto"/>
              </w:rPr>
            </w:pPr>
          </w:p>
        </w:tc>
      </w:tr>
      <w:tr>
        <w:trPr>
          <w:trHeight w:val="142"/>
        </w:trPr>
        <w:tc>
          <w:tcPr>
            <w:tcW w:w="6820" w:type="dxa"/>
            <w:vAlign w:val="bottom"/>
            <w:tcBorders>
              <w:bottom w:val="single" w:sz="8" w:color="auto"/>
            </w:tcBorders>
          </w:tcPr>
          <w:p>
            <w:pPr>
              <w:jc w:val="right"/>
              <w:ind w:right="14"/>
              <w:spacing w:after="0" w:line="143" w:lineRule="exact"/>
              <w:rPr>
                <w:sz w:val="20"/>
                <w:szCs w:val="20"/>
                <w:color w:val="auto"/>
              </w:rPr>
            </w:pPr>
            <w:r>
              <w:rPr>
                <w:rFonts w:ascii="Arial" w:cs="Arial" w:eastAsia="Arial" w:hAnsi="Arial"/>
                <w:sz w:val="13"/>
                <w:szCs w:val="13"/>
                <w:color w:val="auto"/>
              </w:rPr>
              <w:t>Add Change in Fair Value of Stock Awards (made in prior years) Vested as of Vesting Date in 2020</w:t>
            </w:r>
          </w:p>
        </w:tc>
        <w:tc>
          <w:tcPr>
            <w:tcW w:w="120" w:type="dxa"/>
            <w:vAlign w:val="bottom"/>
            <w:tcBorders>
              <w:bottom w:val="single" w:sz="8" w:color="E7E7E8"/>
            </w:tcBorders>
          </w:tcPr>
          <w:p>
            <w:pPr>
              <w:spacing w:after="0"/>
              <w:rPr>
                <w:sz w:val="12"/>
                <w:szCs w:val="12"/>
                <w:color w:val="auto"/>
              </w:rPr>
            </w:pP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3"/>
              <w:spacing w:after="0" w:line="143" w:lineRule="exact"/>
              <w:rPr>
                <w:sz w:val="20"/>
                <w:szCs w:val="20"/>
                <w:color w:val="auto"/>
              </w:rPr>
            </w:pPr>
            <w:r>
              <w:rPr>
                <w:rFonts w:ascii="Arial" w:cs="Arial" w:eastAsia="Arial" w:hAnsi="Arial"/>
                <w:sz w:val="13"/>
                <w:szCs w:val="13"/>
                <w:color w:val="auto"/>
              </w:rPr>
              <w:t>504,223</w:t>
            </w:r>
          </w:p>
        </w:tc>
        <w:tc>
          <w:tcPr>
            <w:tcW w:w="120" w:type="dxa"/>
            <w:vAlign w:val="bottom"/>
            <w:tcBorders>
              <w:bottom w:val="single" w:sz="8" w:color="E7E7E8"/>
            </w:tcBorders>
          </w:tcPr>
          <w:p>
            <w:pPr>
              <w:spacing w:after="0"/>
              <w:rPr>
                <w:sz w:val="12"/>
                <w:szCs w:val="12"/>
                <w:color w:val="auto"/>
              </w:rPr>
            </w:pPr>
          </w:p>
        </w:tc>
        <w:tc>
          <w:tcPr>
            <w:tcW w:w="7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4"/>
              <w:spacing w:after="0" w:line="143" w:lineRule="exact"/>
              <w:rPr>
                <w:sz w:val="20"/>
                <w:szCs w:val="20"/>
                <w:color w:val="auto"/>
              </w:rPr>
            </w:pPr>
            <w:r>
              <w:rPr>
                <w:rFonts w:ascii="Arial" w:cs="Arial" w:eastAsia="Arial" w:hAnsi="Arial"/>
                <w:sz w:val="13"/>
                <w:szCs w:val="13"/>
                <w:color w:val="auto"/>
              </w:rPr>
              <w:t>718,559</w:t>
            </w:r>
          </w:p>
        </w:tc>
        <w:tc>
          <w:tcPr>
            <w:tcW w:w="0" w:type="dxa"/>
            <w:vAlign w:val="bottom"/>
          </w:tcPr>
          <w:p>
            <w:pPr>
              <w:spacing w:after="0"/>
              <w:rPr>
                <w:sz w:val="1"/>
                <w:szCs w:val="1"/>
                <w:color w:val="auto"/>
              </w:rPr>
            </w:pPr>
          </w:p>
        </w:tc>
      </w:tr>
      <w:tr>
        <w:trPr>
          <w:trHeight w:val="142"/>
        </w:trPr>
        <w:tc>
          <w:tcPr>
            <w:tcW w:w="6820" w:type="dxa"/>
            <w:vAlign w:val="bottom"/>
            <w:tcBorders>
              <w:bottom w:val="single" w:sz="8" w:color="auto"/>
            </w:tcBorders>
            <w:shd w:val="clear" w:color="auto" w:fill="E7E7E8"/>
          </w:tcPr>
          <w:p>
            <w:pPr>
              <w:jc w:val="right"/>
              <w:ind w:right="14"/>
              <w:spacing w:after="0" w:line="143" w:lineRule="exact"/>
              <w:rPr>
                <w:sz w:val="20"/>
                <w:szCs w:val="20"/>
                <w:color w:val="auto"/>
              </w:rPr>
            </w:pPr>
            <w:r>
              <w:rPr>
                <w:rFonts w:ascii="Arial" w:cs="Arial" w:eastAsia="Arial" w:hAnsi="Arial"/>
                <w:sz w:val="13"/>
                <w:szCs w:val="13"/>
                <w:color w:val="auto"/>
              </w:rPr>
              <w:t>Add Dividend Equivalents Paid in 2020</w:t>
            </w:r>
          </w:p>
        </w:tc>
        <w:tc>
          <w:tcPr>
            <w:tcW w:w="120" w:type="dxa"/>
            <w:vAlign w:val="bottom"/>
            <w:tcBorders>
              <w:right w:val="single" w:sz="8" w:color="E7E7E8"/>
            </w:tcBorders>
            <w:shd w:val="clear" w:color="auto" w:fill="E7E7E8"/>
          </w:tcPr>
          <w:p>
            <w:pPr>
              <w:spacing w:after="0"/>
              <w:rPr>
                <w:sz w:val="12"/>
                <w:szCs w:val="12"/>
                <w:color w:val="auto"/>
              </w:rPr>
            </w:pPr>
          </w:p>
        </w:tc>
        <w:tc>
          <w:tcPr>
            <w:tcW w:w="740" w:type="dxa"/>
            <w:vAlign w:val="bottom"/>
            <w:tcBorders>
              <w:bottom w:val="single" w:sz="8" w:color="auto"/>
            </w:tcBorders>
            <w:shd w:val="clear" w:color="auto" w:fill="E7E7E8"/>
          </w:tcPr>
          <w:p>
            <w:pPr>
              <w:jc w:val="right"/>
              <w:spacing w:after="0" w:line="143"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E7E7E8"/>
          </w:tcPr>
          <w:p>
            <w:pPr>
              <w:jc w:val="right"/>
              <w:ind w:right="33"/>
              <w:spacing w:after="0" w:line="143" w:lineRule="exact"/>
              <w:rPr>
                <w:sz w:val="20"/>
                <w:szCs w:val="20"/>
                <w:color w:val="auto"/>
              </w:rPr>
            </w:pPr>
            <w:r>
              <w:rPr>
                <w:rFonts w:ascii="Arial" w:cs="Arial" w:eastAsia="Arial" w:hAnsi="Arial"/>
                <w:sz w:val="13"/>
                <w:szCs w:val="13"/>
                <w:color w:val="auto"/>
              </w:rPr>
              <w:t>528,239</w:t>
            </w:r>
          </w:p>
        </w:tc>
        <w:tc>
          <w:tcPr>
            <w:tcW w:w="120" w:type="dxa"/>
            <w:vAlign w:val="bottom"/>
            <w:tcBorders>
              <w:right w:val="single" w:sz="8" w:color="E7E7E8"/>
            </w:tcBorders>
            <w:shd w:val="clear" w:color="auto" w:fill="E7E7E8"/>
          </w:tcPr>
          <w:p>
            <w:pPr>
              <w:spacing w:after="0"/>
              <w:rPr>
                <w:sz w:val="12"/>
                <w:szCs w:val="12"/>
                <w:color w:val="auto"/>
              </w:rPr>
            </w:pPr>
          </w:p>
        </w:tc>
        <w:tc>
          <w:tcPr>
            <w:tcW w:w="760" w:type="dxa"/>
            <w:vAlign w:val="bottom"/>
            <w:tcBorders>
              <w:bottom w:val="single" w:sz="8" w:color="auto"/>
            </w:tcBorders>
            <w:shd w:val="clear" w:color="auto" w:fill="E7E7E8"/>
          </w:tcPr>
          <w:p>
            <w:pPr>
              <w:jc w:val="right"/>
              <w:spacing w:after="0" w:line="143"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E7E7E8"/>
          </w:tcPr>
          <w:p>
            <w:pPr>
              <w:jc w:val="right"/>
              <w:ind w:right="34"/>
              <w:spacing w:after="0" w:line="143" w:lineRule="exact"/>
              <w:rPr>
                <w:sz w:val="20"/>
                <w:szCs w:val="20"/>
                <w:color w:val="auto"/>
              </w:rPr>
            </w:pPr>
            <w:r>
              <w:rPr>
                <w:rFonts w:ascii="Arial" w:cs="Arial" w:eastAsia="Arial" w:hAnsi="Arial"/>
                <w:sz w:val="13"/>
                <w:szCs w:val="13"/>
                <w:color w:val="auto"/>
              </w:rPr>
              <w:t>313,200</w:t>
            </w:r>
          </w:p>
        </w:tc>
        <w:tc>
          <w:tcPr>
            <w:tcW w:w="0" w:type="dxa"/>
            <w:vAlign w:val="bottom"/>
          </w:tcPr>
          <w:p>
            <w:pPr>
              <w:spacing w:after="0"/>
              <w:rPr>
                <w:sz w:val="1"/>
                <w:szCs w:val="1"/>
                <w:color w:val="auto"/>
              </w:rPr>
            </w:pPr>
          </w:p>
        </w:tc>
      </w:tr>
      <w:tr>
        <w:trPr>
          <w:trHeight w:val="142"/>
        </w:trPr>
        <w:tc>
          <w:tcPr>
            <w:tcW w:w="6820" w:type="dxa"/>
            <w:vAlign w:val="bottom"/>
            <w:tcBorders>
              <w:bottom w:val="single" w:sz="8" w:color="auto"/>
            </w:tcBorders>
          </w:tcPr>
          <w:p>
            <w:pPr>
              <w:jc w:val="right"/>
              <w:ind w:right="14"/>
              <w:spacing w:after="0" w:line="143" w:lineRule="exact"/>
              <w:rPr>
                <w:sz w:val="20"/>
                <w:szCs w:val="20"/>
                <w:color w:val="auto"/>
              </w:rPr>
            </w:pPr>
            <w:r>
              <w:rPr>
                <w:rFonts w:ascii="Arial" w:cs="Arial" w:eastAsia="Arial" w:hAnsi="Arial"/>
                <w:sz w:val="13"/>
                <w:szCs w:val="13"/>
                <w:b w:val="1"/>
                <w:bCs w:val="1"/>
                <w:color w:val="auto"/>
              </w:rPr>
              <w:t>Compensation Actually Paid in 2020</w:t>
            </w:r>
          </w:p>
        </w:tc>
        <w:tc>
          <w:tcPr>
            <w:tcW w:w="12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ind w:right="33"/>
              <w:spacing w:after="0" w:line="143" w:lineRule="exact"/>
              <w:rPr>
                <w:sz w:val="20"/>
                <w:szCs w:val="20"/>
                <w:color w:val="auto"/>
              </w:rPr>
            </w:pPr>
            <w:r>
              <w:rPr>
                <w:rFonts w:ascii="Arial" w:cs="Arial" w:eastAsia="Arial" w:hAnsi="Arial"/>
                <w:sz w:val="13"/>
                <w:szCs w:val="13"/>
                <w:b w:val="1"/>
                <w:bCs w:val="1"/>
                <w:color w:val="auto"/>
              </w:rPr>
              <w:t>19,367,486</w:t>
            </w:r>
          </w:p>
        </w:tc>
        <w:tc>
          <w:tcPr>
            <w:tcW w:w="12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ind w:right="34"/>
              <w:spacing w:after="0" w:line="143" w:lineRule="exact"/>
              <w:rPr>
                <w:sz w:val="20"/>
                <w:szCs w:val="20"/>
                <w:color w:val="auto"/>
              </w:rPr>
            </w:pPr>
            <w:r>
              <w:rPr>
                <w:rFonts w:ascii="Arial" w:cs="Arial" w:eastAsia="Arial" w:hAnsi="Arial"/>
                <w:sz w:val="13"/>
                <w:szCs w:val="13"/>
                <w:b w:val="1"/>
                <w:bCs w:val="1"/>
                <w:color w:val="auto"/>
              </w:rPr>
              <w:t>13,917,124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5047615</wp:posOffset>
            </wp:positionH>
            <wp:positionV relativeFrom="paragraph">
              <wp:posOffset>-626110</wp:posOffset>
            </wp:positionV>
            <wp:extent cx="63500" cy="10287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3500" cy="102870"/>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-626110</wp:posOffset>
            </wp:positionV>
            <wp:extent cx="63500" cy="10287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3500" cy="102870"/>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-419735</wp:posOffset>
            </wp:positionV>
            <wp:extent cx="63500" cy="10287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3500" cy="102870"/>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-419735</wp:posOffset>
            </wp:positionV>
            <wp:extent cx="63500" cy="10287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3500" cy="102870"/>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-213360</wp:posOffset>
            </wp:positionV>
            <wp:extent cx="63500" cy="10287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3500" cy="102870"/>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-213360</wp:posOffset>
            </wp:positionV>
            <wp:extent cx="63500" cy="10287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3500" cy="102870"/>
                    </a:xfrm>
                    <a:prstGeom prst="rect">
                      <a:avLst/>
                    </a:prstGeom>
                    <a:noFill/>
                  </pic:spPr>
                </pic:pic>
              </a:graphicData>
            </a:graphic>
          </wp:anchor>
        </w:drawing>
      </w:r>
    </w:p>
    <w:p>
      <w:pPr>
        <w:spacing w:after="0" w:line="110" w:lineRule="exact"/>
        <w:rPr>
          <w:sz w:val="20"/>
          <w:szCs w:val="20"/>
          <w:color w:val="auto"/>
        </w:rPr>
      </w:pPr>
    </w:p>
    <w:p>
      <w:pPr>
        <w:ind w:left="300" w:right="100" w:hanging="300"/>
        <w:spacing w:after="0" w:line="193" w:lineRule="auto"/>
        <w:tabs>
          <w:tab w:leader="none" w:pos="300" w:val="left"/>
        </w:tabs>
        <w:numPr>
          <w:ilvl w:val="0"/>
          <w:numId w:val="122"/>
        </w:numPr>
        <w:rPr>
          <w:rFonts w:ascii="Times New Roman" w:cs="Times New Roman" w:eastAsia="Times New Roman" w:hAnsi="Times New Roman"/>
          <w:sz w:val="22"/>
          <w:szCs w:val="22"/>
          <w:color w:val="auto"/>
          <w:vertAlign w:val="superscript"/>
        </w:rPr>
      </w:pPr>
      <w:r>
        <w:rPr>
          <w:rFonts w:ascii="Arial" w:cs="Arial" w:eastAsia="Arial" w:hAnsi="Arial"/>
          <w:sz w:val="13"/>
          <w:szCs w:val="13"/>
          <w:color w:val="auto"/>
        </w:rPr>
        <w:t>Our peer group total stockholder return is calculated with respect to the NASDAQ Asset Manager Index, which is the same peer group as reported pursuant to Item 201(e) of Regulation S-K.</w:t>
      </w:r>
    </w:p>
    <w:p>
      <w:pPr>
        <w:spacing w:after="0" w:line="51" w:lineRule="exact"/>
        <w:rPr>
          <w:sz w:val="20"/>
          <w:szCs w:val="20"/>
          <w:color w:val="auto"/>
        </w:rPr>
      </w:pPr>
    </w:p>
    <w:p>
      <w:pPr>
        <w:ind w:left="300" w:right="320" w:hanging="300"/>
        <w:spacing w:after="0" w:line="193" w:lineRule="auto"/>
        <w:tabs>
          <w:tab w:leader="none" w:pos="300" w:val="left"/>
        </w:tabs>
        <w:numPr>
          <w:ilvl w:val="0"/>
          <w:numId w:val="123"/>
        </w:numPr>
        <w:rPr>
          <w:rFonts w:ascii="Times New Roman" w:cs="Times New Roman" w:eastAsia="Times New Roman" w:hAnsi="Times New Roman"/>
          <w:sz w:val="22"/>
          <w:szCs w:val="22"/>
          <w:color w:val="auto"/>
          <w:vertAlign w:val="superscript"/>
        </w:rPr>
      </w:pPr>
      <w:r>
        <w:rPr>
          <w:rFonts w:ascii="Arial" w:cs="Arial" w:eastAsia="Arial" w:hAnsi="Arial"/>
          <w:sz w:val="13"/>
          <w:szCs w:val="13"/>
          <w:color w:val="auto"/>
        </w:rPr>
        <w:t>In no particular order, the following table outlines what we believe to be our NEO's key performance measures. These measures are highlighted on pages 51 and 52. We believe net revenue to be the most significant measure in determining the compensation of our NEOs.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KEY PERFORMANCE MEASURES</w:t>
      </w:r>
    </w:p>
    <w:p>
      <w:pPr>
        <w:spacing w:after="0" w:line="5" w:lineRule="exact"/>
        <w:rPr>
          <w:sz w:val="20"/>
          <w:szCs w:val="20"/>
          <w:color w:val="auto"/>
        </w:rPr>
      </w:pPr>
    </w:p>
    <w:tbl>
      <w:tblPr>
        <w:tblLayout w:type="fixed"/>
        <w:tblInd w:w="2240" w:type="dxa"/>
        <w:tblCellMar>
          <w:top w:w="0" w:type="dxa"/>
          <w:left w:w="0" w:type="dxa"/>
          <w:bottom w:w="0" w:type="dxa"/>
          <w:right w:w="0" w:type="dxa"/>
        </w:tblCellMar>
      </w:tblPr>
      <w:tr>
        <w:trPr>
          <w:trHeight w:val="142"/>
        </w:trPr>
        <w:tc>
          <w:tcPr>
            <w:tcW w:w="3220" w:type="dxa"/>
            <w:vAlign w:val="bottom"/>
            <w:tcBorders>
              <w:top w:val="single" w:sz="8" w:color="auto"/>
              <w:bottom w:val="single" w:sz="8" w:color="auto"/>
            </w:tcBorders>
          </w:tcPr>
          <w:p>
            <w:pPr>
              <w:jc w:val="center"/>
              <w:ind w:left="113"/>
              <w:spacing w:after="0" w:line="143" w:lineRule="exact"/>
              <w:rPr>
                <w:sz w:val="20"/>
                <w:szCs w:val="20"/>
                <w:color w:val="auto"/>
              </w:rPr>
            </w:pPr>
            <w:r>
              <w:rPr>
                <w:rFonts w:ascii="Arial" w:cs="Arial" w:eastAsia="Arial" w:hAnsi="Arial"/>
                <w:sz w:val="13"/>
                <w:szCs w:val="13"/>
                <w:color w:val="auto"/>
              </w:rPr>
              <w:t>Assets Under Management</w:t>
            </w:r>
          </w:p>
        </w:tc>
        <w:tc>
          <w:tcPr>
            <w:tcW w:w="3540" w:type="dxa"/>
            <w:vAlign w:val="bottom"/>
            <w:tcBorders>
              <w:top w:val="single" w:sz="8" w:color="auto"/>
              <w:bottom w:val="single" w:sz="8" w:color="auto"/>
            </w:tcBorders>
          </w:tcPr>
          <w:p>
            <w:pPr>
              <w:jc w:val="center"/>
              <w:ind w:left="93"/>
              <w:spacing w:after="0" w:line="143" w:lineRule="exact"/>
              <w:rPr>
                <w:sz w:val="20"/>
                <w:szCs w:val="20"/>
                <w:color w:val="auto"/>
              </w:rPr>
            </w:pPr>
            <w:r>
              <w:rPr>
                <w:rFonts w:ascii="Arial" w:cs="Arial" w:eastAsia="Arial" w:hAnsi="Arial"/>
                <w:sz w:val="13"/>
                <w:szCs w:val="13"/>
                <w:color w:val="auto"/>
              </w:rPr>
              <w:t>Investment Performance</w:t>
            </w:r>
          </w:p>
        </w:tc>
      </w:tr>
      <w:tr>
        <w:trPr>
          <w:trHeight w:val="142"/>
        </w:trPr>
        <w:tc>
          <w:tcPr>
            <w:tcW w:w="3220" w:type="dxa"/>
            <w:vAlign w:val="bottom"/>
            <w:tcBorders>
              <w:bottom w:val="single" w:sz="8" w:color="auto"/>
            </w:tcBorders>
            <w:shd w:val="clear" w:color="auto" w:fill="E7E7E8"/>
          </w:tcPr>
          <w:p>
            <w:pPr>
              <w:jc w:val="center"/>
              <w:ind w:left="113"/>
              <w:spacing w:after="0" w:line="143" w:lineRule="exact"/>
              <w:rPr>
                <w:sz w:val="20"/>
                <w:szCs w:val="20"/>
                <w:color w:val="auto"/>
              </w:rPr>
            </w:pPr>
            <w:r>
              <w:rPr>
                <w:rFonts w:ascii="Arial" w:cs="Arial" w:eastAsia="Arial" w:hAnsi="Arial"/>
                <w:sz w:val="13"/>
                <w:szCs w:val="13"/>
                <w:color w:val="auto"/>
              </w:rPr>
              <w:t>Net Income</w:t>
            </w:r>
          </w:p>
        </w:tc>
        <w:tc>
          <w:tcPr>
            <w:tcW w:w="3540" w:type="dxa"/>
            <w:vAlign w:val="bottom"/>
            <w:tcBorders>
              <w:bottom w:val="single" w:sz="8" w:color="auto"/>
            </w:tcBorders>
            <w:shd w:val="clear" w:color="auto" w:fill="E7E7E8"/>
          </w:tcPr>
          <w:p>
            <w:pPr>
              <w:jc w:val="center"/>
              <w:ind w:left="93"/>
              <w:spacing w:after="0" w:line="143" w:lineRule="exact"/>
              <w:rPr>
                <w:sz w:val="20"/>
                <w:szCs w:val="20"/>
                <w:color w:val="auto"/>
              </w:rPr>
            </w:pPr>
            <w:r>
              <w:rPr>
                <w:rFonts w:ascii="Arial" w:cs="Arial" w:eastAsia="Arial" w:hAnsi="Arial"/>
                <w:sz w:val="13"/>
                <w:szCs w:val="13"/>
                <w:color w:val="auto"/>
              </w:rPr>
              <w:t>Net Operating Income</w:t>
            </w:r>
          </w:p>
        </w:tc>
      </w:tr>
      <w:tr>
        <w:trPr>
          <w:trHeight w:val="142"/>
        </w:trPr>
        <w:tc>
          <w:tcPr>
            <w:tcW w:w="3220" w:type="dxa"/>
            <w:vAlign w:val="bottom"/>
            <w:tcBorders>
              <w:bottom w:val="single" w:sz="8" w:color="auto"/>
            </w:tcBorders>
          </w:tcPr>
          <w:p>
            <w:pPr>
              <w:jc w:val="center"/>
              <w:ind w:left="93"/>
              <w:spacing w:after="0" w:line="143" w:lineRule="exact"/>
              <w:rPr>
                <w:sz w:val="20"/>
                <w:szCs w:val="20"/>
                <w:color w:val="auto"/>
              </w:rPr>
            </w:pPr>
            <w:r>
              <w:rPr>
                <w:rFonts w:ascii="Arial" w:cs="Arial" w:eastAsia="Arial" w:hAnsi="Arial"/>
                <w:sz w:val="13"/>
                <w:szCs w:val="13"/>
                <w:color w:val="auto"/>
              </w:rPr>
              <w:t>Net Revenue</w:t>
            </w:r>
          </w:p>
        </w:tc>
        <w:tc>
          <w:tcPr>
            <w:tcW w:w="3540" w:type="dxa"/>
            <w:vAlign w:val="bottom"/>
            <w:tcBorders>
              <w:bottom w:val="single" w:sz="8" w:color="auto"/>
            </w:tcBorders>
          </w:tcPr>
          <w:p>
            <w:pPr>
              <w:jc w:val="center"/>
              <w:ind w:left="93"/>
              <w:spacing w:after="0" w:line="143" w:lineRule="exact"/>
              <w:rPr>
                <w:sz w:val="20"/>
                <w:szCs w:val="20"/>
                <w:color w:val="auto"/>
              </w:rPr>
            </w:pPr>
            <w:r>
              <w:rPr>
                <w:rFonts w:ascii="Arial" w:cs="Arial" w:eastAsia="Arial" w:hAnsi="Arial"/>
                <w:sz w:val="13"/>
                <w:szCs w:val="13"/>
                <w:color w:val="auto"/>
              </w:rPr>
              <w:t>Non-GAAP Diluted Earnings per Share</w:t>
            </w:r>
          </w:p>
        </w:tc>
      </w:tr>
      <w:tr>
        <w:trPr>
          <w:trHeight w:val="142"/>
        </w:trPr>
        <w:tc>
          <w:tcPr>
            <w:tcW w:w="3220" w:type="dxa"/>
            <w:vAlign w:val="bottom"/>
            <w:tcBorders>
              <w:bottom w:val="single" w:sz="8" w:color="auto"/>
            </w:tcBorders>
            <w:shd w:val="clear" w:color="auto" w:fill="E7E7E8"/>
          </w:tcPr>
          <w:p>
            <w:pPr>
              <w:jc w:val="center"/>
              <w:ind w:left="113"/>
              <w:spacing w:after="0" w:line="143" w:lineRule="exact"/>
              <w:rPr>
                <w:sz w:val="20"/>
                <w:szCs w:val="20"/>
                <w:color w:val="auto"/>
              </w:rPr>
            </w:pPr>
            <w:r>
              <w:rPr>
                <w:rFonts w:ascii="Arial" w:cs="Arial" w:eastAsia="Arial" w:hAnsi="Arial"/>
                <w:sz w:val="13"/>
                <w:szCs w:val="13"/>
                <w:color w:val="auto"/>
              </w:rPr>
              <w:t>Operating Margin</w:t>
            </w:r>
          </w:p>
        </w:tc>
        <w:tc>
          <w:tcPr>
            <w:tcW w:w="3540" w:type="dxa"/>
            <w:vAlign w:val="bottom"/>
            <w:tcBorders>
              <w:bottom w:val="single" w:sz="8" w:color="auto"/>
            </w:tcBorders>
            <w:shd w:val="clear" w:color="auto" w:fill="E7E7E8"/>
          </w:tcPr>
          <w:p>
            <w:pPr>
              <w:spacing w:after="0"/>
              <w:rPr>
                <w:sz w:val="12"/>
                <w:szCs w:val="12"/>
                <w:color w:val="auto"/>
              </w:rPr>
            </w:pPr>
          </w:p>
        </w:tc>
      </w:tr>
    </w:tbl>
    <w:p>
      <w:pPr>
        <w:spacing w:after="0" w:line="17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3"/>
          <w:szCs w:val="13"/>
          <w:b w:val="1"/>
          <w:bCs w:val="1"/>
          <w:color w:val="00244F"/>
        </w:rPr>
        <w:t>72</w:t>
      </w:r>
      <w:r>
        <w:rPr>
          <w:sz w:val="20"/>
          <w:szCs w:val="20"/>
          <w:color w:val="auto"/>
        </w:rPr>
        <w:tab/>
      </w:r>
      <w:r>
        <w:rPr>
          <w:rFonts w:ascii="Times New Roman" w:cs="Times New Roman" w:eastAsia="Times New Roman" w:hAnsi="Times New Roman"/>
          <w:sz w:val="13"/>
          <w:szCs w:val="13"/>
          <w:b w:val="1"/>
          <w:bCs w:val="1"/>
          <w:color w:val="00244F"/>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42480" cy="762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77" w:name="page78"/>
    <w:bookmarkEnd w:id="77"/>
    <w:p>
      <w:pPr>
        <w:spacing w:after="0"/>
        <w:rPr>
          <w:sz w:val="20"/>
          <w:szCs w:val="20"/>
          <w:color w:val="auto"/>
        </w:rPr>
      </w:pPr>
      <w:r>
        <w:rPr>
          <w:rFonts w:ascii="Arial" w:cs="Arial" w:eastAsia="Arial" w:hAnsi="Arial"/>
          <w:sz w:val="17"/>
          <w:szCs w:val="17"/>
          <w:u w:val="single" w:color="auto"/>
          <w:color w:val="0000EE"/>
        </w:rPr>
        <w:t>Table of Contents</w:t>
      </w:r>
    </w:p>
    <w:p>
      <w:pPr>
        <w:spacing w:after="0" w:line="396" w:lineRule="exact"/>
        <w:rPr>
          <w:sz w:val="20"/>
          <w:szCs w:val="20"/>
          <w:color w:val="auto"/>
        </w:rPr>
      </w:pPr>
    </w:p>
    <w:p>
      <w:pPr>
        <w:jc w:val="both"/>
        <w:ind w:right="140"/>
        <w:spacing w:after="0" w:line="261" w:lineRule="auto"/>
        <w:rPr>
          <w:sz w:val="20"/>
          <w:szCs w:val="20"/>
          <w:color w:val="auto"/>
        </w:rPr>
      </w:pPr>
      <w:r>
        <w:rPr>
          <w:rFonts w:ascii="Arial" w:cs="Arial" w:eastAsia="Arial" w:hAnsi="Arial"/>
          <w:sz w:val="15"/>
          <w:szCs w:val="15"/>
          <w:color w:val="auto"/>
        </w:rPr>
        <w:t>The charts below illustrate the correlation between NEO compensation and (i) total stockholder return, (ii) net revenue, and (iii) net income attributable to T. Rowe Price Group, Inc. for 2020 through 2023. The charts below also provide a comparison between the Price Group total shareholder return against the total shareholder return of our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110490</wp:posOffset>
            </wp:positionV>
            <wp:extent cx="6316980" cy="247586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316980" cy="2475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60" w:type="dxa"/>
            <w:vAlign w:val="bottom"/>
          </w:tcPr>
          <w:p>
            <w:pPr>
              <w:ind w:left="9620"/>
              <w:spacing w:after="0"/>
              <w:rPr>
                <w:sz w:val="20"/>
                <w:szCs w:val="20"/>
                <w:color w:val="auto"/>
              </w:rPr>
            </w:pPr>
            <w:r>
              <w:rPr>
                <w:rFonts w:ascii="Times New Roman" w:cs="Times New Roman" w:eastAsia="Times New Roman" w:hAnsi="Times New Roman"/>
                <w:sz w:val="13"/>
                <w:szCs w:val="13"/>
                <w:b w:val="1"/>
                <w:bCs w:val="1"/>
                <w:color w:val="auto"/>
              </w:rPr>
              <w:t xml:space="preserve">2024 </w:t>
            </w:r>
            <w:r>
              <w:rPr>
                <w:rFonts w:ascii="Times New Roman" w:cs="Times New Roman" w:eastAsia="Times New Roman" w:hAnsi="Times New Roman"/>
                <w:sz w:val="13"/>
                <w:szCs w:val="13"/>
                <w:color w:val="auto"/>
              </w:rPr>
              <w:t>Proxy Statement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244F"/>
              </w:rPr>
              <w:t>73</w:t>
            </w:r>
          </w:p>
        </w:tc>
      </w:tr>
      <w:tr>
        <w:trPr>
          <w:trHeight w:val="385"/>
        </w:trPr>
        <w:tc>
          <w:tcPr>
            <w:tcW w:w="10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3" w:right="339" w:bottom="1440" w:gutter="0" w:footer="0" w:header="0"/>
        </w:sectPr>
      </w:pPr>
    </w:p>
    <w:bookmarkStart w:id="78" w:name="page79"/>
    <w:bookmarkEnd w:id="78"/>
    <w:p>
      <w:pPr>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259715</wp:posOffset>
            </wp:positionV>
            <wp:extent cx="571500" cy="22225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71500" cy="22225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FFFFFF"/>
        </w:rPr>
        <w:t>Proposal 2</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254F"/>
        </w:rPr>
        <w:t>Advisory Vote on the Compensation Paid to Our Named Executive Officers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INTRODUCTION</w:t>
      </w:r>
    </w:p>
    <w:p>
      <w:pPr>
        <w:spacing w:after="0" w:line="213" w:lineRule="exact"/>
        <w:rPr>
          <w:sz w:val="20"/>
          <w:szCs w:val="20"/>
          <w:color w:val="auto"/>
        </w:rPr>
      </w:pPr>
    </w:p>
    <w:p>
      <w:pPr>
        <w:ind w:right="320"/>
        <w:spacing w:after="0" w:line="261" w:lineRule="auto"/>
        <w:rPr>
          <w:sz w:val="20"/>
          <w:szCs w:val="20"/>
          <w:color w:val="auto"/>
        </w:rPr>
      </w:pPr>
      <w:r>
        <w:rPr>
          <w:rFonts w:ascii="Arial" w:cs="Arial" w:eastAsia="Arial" w:hAnsi="Arial"/>
          <w:sz w:val="15"/>
          <w:szCs w:val="15"/>
          <w:color w:val="auto"/>
        </w:rPr>
        <w:t>In accordance with the requirements of Section 14A of the Exchange Act and the related rules of the SEC, our stockholders have the opportunity to cast an annual advisory vote to approve the compensation of our NEOs as disclosed pursuant to the SEC's compensation disclosure rules, which disclosure includes the CD&amp;A, the compensation tables, and the narrative disclosures that accompany the compensation tables (a "Say-on-Pay" vote).</w:t>
      </w:r>
    </w:p>
    <w:p>
      <w:pPr>
        <w:spacing w:after="0" w:line="137" w:lineRule="exact"/>
        <w:rPr>
          <w:sz w:val="20"/>
          <w:szCs w:val="20"/>
          <w:color w:val="auto"/>
        </w:rPr>
      </w:pPr>
    </w:p>
    <w:p>
      <w:pPr>
        <w:ind w:right="60"/>
        <w:spacing w:after="0" w:line="249" w:lineRule="auto"/>
        <w:rPr>
          <w:sz w:val="20"/>
          <w:szCs w:val="20"/>
          <w:color w:val="auto"/>
        </w:rPr>
      </w:pPr>
      <w:r>
        <w:rPr>
          <w:rFonts w:ascii="Arial" w:cs="Arial" w:eastAsia="Arial" w:hAnsi="Arial"/>
          <w:sz w:val="15"/>
          <w:szCs w:val="15"/>
          <w:color w:val="auto"/>
        </w:rPr>
        <w:t>Our NEO compensation is straight forward, goal-oriented, long-term focused, transparent, and aligned with the interests of our stockholders. Our incentive compensation programs are designed to motivate and reward performance, with a focus on rewarding the intermediate- and long-term achievements of our NEOs, as measured by a number of factors, including (i) the financial performance and financial stability of Price Group, (ii) the relative investment performance of our mutual funds and other investment portfolios, and (iii) the performance of our NEOs against the corporate and individual goals established at the beginning of the year. Our executive compensation programs are also designed to reward our NEOs for other important contributions to our success, including corporate integrity, service quality, customer loyalty, risk management, corporate reputation, and the quality of our team of professionals and collaboration within that team. Our equity awards create a strong alignment of the financial interests of our NEOs directly to the long-term performance of our Company, as measured by our stock price.</w:t>
      </w:r>
    </w:p>
    <w:p>
      <w:pPr>
        <w:spacing w:after="0" w:line="172"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NEO compensation in 2023 was aligned with our financial and operational performance for 2023. The structure of the compensation for our CEO and President and other NEOs reflects our performance-based compensation philosophy, which ties a significant portion of their pay to the success of the Company and to their individual performance goals.</w:t>
      </w:r>
    </w:p>
    <w:p>
      <w:pPr>
        <w:spacing w:after="0" w:line="162" w:lineRule="exact"/>
        <w:rPr>
          <w:sz w:val="20"/>
          <w:szCs w:val="20"/>
          <w:color w:val="auto"/>
        </w:rPr>
      </w:pPr>
    </w:p>
    <w:p>
      <w:pPr>
        <w:ind w:right="240"/>
        <w:spacing w:after="0" w:line="261" w:lineRule="auto"/>
        <w:rPr>
          <w:sz w:val="20"/>
          <w:szCs w:val="20"/>
          <w:color w:val="auto"/>
        </w:rPr>
      </w:pPr>
      <w:r>
        <w:rPr>
          <w:rFonts w:ascii="Arial" w:cs="Arial" w:eastAsia="Arial" w:hAnsi="Arial"/>
          <w:sz w:val="15"/>
          <w:szCs w:val="15"/>
          <w:color w:val="auto"/>
        </w:rPr>
        <w:t>We urge you to read the CD&amp;A section of this proxy statement for additional details on our executive compensation policies and practices, including our compensation philosophy, 2023 objectives, and the 2023 compensation decisions for our NEOs. We believe that, viewed as a whole, our compensation practices and policies are appropriate and fair to both the Company and its executives and to our stockholders.</w:t>
      </w:r>
    </w:p>
    <w:p>
      <w:pPr>
        <w:spacing w:after="0" w:line="137"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We value the feedback provided by our stockholders. At the 2023 Annual Meeting, approximately 85% of votes cast supported our executive compensation program. We have discussions with certain of our stockholders regarding various corporate governance topics, including executive compensation, and take into account the views of stockholders regarding the design and effectiveness of our executive compensation program.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PROPOSAL</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color w:val="auto"/>
        </w:rPr>
        <w:t>We are asking you to vote on the adoption of the following resolution:</w:t>
      </w:r>
    </w:p>
    <w:p>
      <w:pPr>
        <w:spacing w:after="0" w:line="202" w:lineRule="exact"/>
        <w:rPr>
          <w:sz w:val="20"/>
          <w:szCs w:val="20"/>
          <w:color w:val="auto"/>
        </w:rPr>
      </w:pPr>
    </w:p>
    <w:p>
      <w:pPr>
        <w:spacing w:after="0" w:line="289" w:lineRule="auto"/>
        <w:rPr>
          <w:sz w:val="20"/>
          <w:szCs w:val="20"/>
          <w:color w:val="auto"/>
        </w:rPr>
      </w:pPr>
      <w:r>
        <w:rPr>
          <w:rFonts w:ascii="Arial" w:cs="Arial" w:eastAsia="Arial" w:hAnsi="Arial"/>
          <w:sz w:val="15"/>
          <w:szCs w:val="15"/>
          <w:b w:val="1"/>
          <w:bCs w:val="1"/>
          <w:color w:val="auto"/>
        </w:rPr>
        <w:t>BE IT RESOLVED by the stockholders of Price Group, that the stockholders approve the compensation of the Company's NEOs as disclosed pursuant to Item 402 of Regulation S-K in the Company's proxy statement for the Annual Meeting.</w:t>
      </w:r>
    </w:p>
    <w:p>
      <w:pPr>
        <w:spacing w:after="0" w:line="135" w:lineRule="exact"/>
        <w:rPr>
          <w:sz w:val="20"/>
          <w:szCs w:val="20"/>
          <w:color w:val="auto"/>
        </w:rPr>
      </w:pPr>
    </w:p>
    <w:p>
      <w:pPr>
        <w:ind w:right="60"/>
        <w:spacing w:after="0" w:line="315" w:lineRule="auto"/>
        <w:rPr>
          <w:sz w:val="20"/>
          <w:szCs w:val="20"/>
          <w:color w:val="auto"/>
        </w:rPr>
      </w:pPr>
      <w:r>
        <w:rPr>
          <w:rFonts w:ascii="Arial" w:cs="Arial" w:eastAsia="Arial" w:hAnsi="Arial"/>
          <w:sz w:val="14"/>
          <w:szCs w:val="14"/>
          <w:color w:val="auto"/>
        </w:rPr>
        <w:t>As an advisory vote, this proposal is non-binding. Although the vote is non-binding, the Board and the Compensation Committee value the opinions of our stockholders and will consider the outcome of the vote when designing and administering our compensation programs and when making future compensation decisions for our NEOs.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80" w:type="dxa"/>
            <w:vAlign w:val="bottom"/>
            <w:shd w:val="clear" w:color="auto" w:fill="27C0DA"/>
          </w:tcPr>
          <w:p>
            <w:pPr>
              <w:spacing w:after="0"/>
              <w:rPr>
                <w:sz w:val="6"/>
                <w:szCs w:val="6"/>
                <w:color w:val="auto"/>
              </w:rPr>
            </w:pPr>
          </w:p>
        </w:tc>
        <w:tc>
          <w:tcPr>
            <w:tcW w:w="9680" w:type="dxa"/>
            <w:vAlign w:val="bottom"/>
            <w:shd w:val="clear" w:color="auto" w:fill="27C0DA"/>
          </w:tcPr>
          <w:p>
            <w:pPr>
              <w:spacing w:after="0"/>
              <w:rPr>
                <w:sz w:val="6"/>
                <w:szCs w:val="6"/>
                <w:color w:val="auto"/>
              </w:rPr>
            </w:pPr>
          </w:p>
        </w:tc>
        <w:tc>
          <w:tcPr>
            <w:tcW w:w="1480" w:type="dxa"/>
            <w:vAlign w:val="bottom"/>
            <w:tcBorders>
              <w:right w:val="single" w:sz="8" w:color="27BFDA"/>
            </w:tcBorders>
            <w:shd w:val="clear" w:color="auto" w:fill="27BFDA"/>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80" w:type="dxa"/>
            <w:vAlign w:val="bottom"/>
            <w:shd w:val="clear" w:color="auto" w:fill="27C0DA"/>
          </w:tcPr>
          <w:p>
            <w:pPr>
              <w:spacing w:after="0"/>
              <w:rPr>
                <w:sz w:val="21"/>
                <w:szCs w:val="21"/>
                <w:color w:val="auto"/>
              </w:rPr>
            </w:pPr>
          </w:p>
        </w:tc>
        <w:tc>
          <w:tcPr>
            <w:tcW w:w="9680" w:type="dxa"/>
            <w:vAlign w:val="bottom"/>
            <w:vMerge w:val="restart"/>
          </w:tcPr>
          <w:p>
            <w:pPr>
              <w:ind w:left="1960"/>
              <w:spacing w:after="0"/>
              <w:rPr>
                <w:sz w:val="20"/>
                <w:szCs w:val="20"/>
                <w:color w:val="auto"/>
              </w:rPr>
            </w:pPr>
            <w:r>
              <w:rPr>
                <w:rFonts w:ascii="Arial" w:cs="Arial" w:eastAsia="Arial" w:hAnsi="Arial"/>
                <w:sz w:val="15"/>
                <w:szCs w:val="15"/>
                <w:b w:val="1"/>
                <w:bCs w:val="1"/>
                <w:color w:val="auto"/>
              </w:rPr>
              <w:t>Recommendation of the Board</w:t>
            </w:r>
          </w:p>
        </w:tc>
        <w:tc>
          <w:tcPr>
            <w:tcW w:w="1480" w:type="dxa"/>
            <w:vAlign w:val="bottom"/>
            <w:tcBorders>
              <w:right w:val="single" w:sz="8" w:color="27BFDA"/>
            </w:tcBorders>
            <w:shd w:val="clear" w:color="auto" w:fill="27C0DA"/>
          </w:tcPr>
          <w:p>
            <w:pPr>
              <w:ind w:left="200"/>
              <w:spacing w:after="0"/>
              <w:rPr>
                <w:sz w:val="20"/>
                <w:szCs w:val="20"/>
                <w:color w:val="auto"/>
              </w:rPr>
            </w:pPr>
            <w:r>
              <w:rPr>
                <w:rFonts w:ascii="Arial" w:cs="Arial" w:eastAsia="Arial" w:hAnsi="Arial"/>
                <w:sz w:val="15"/>
                <w:szCs w:val="15"/>
                <w:b w:val="1"/>
                <w:bCs w:val="1"/>
                <w:color w:val="FFFFFF"/>
              </w:rPr>
              <w:t>Vote Required</w:t>
            </w:r>
          </w:p>
        </w:tc>
        <w:tc>
          <w:tcPr>
            <w:tcW w:w="0" w:type="dxa"/>
            <w:vAlign w:val="bottom"/>
          </w:tcPr>
          <w:p>
            <w:pPr>
              <w:spacing w:after="0"/>
              <w:rPr>
                <w:sz w:val="1"/>
                <w:szCs w:val="1"/>
                <w:color w:val="auto"/>
              </w:rPr>
            </w:pPr>
          </w:p>
        </w:tc>
      </w:tr>
      <w:tr>
        <w:trPr>
          <w:trHeight w:val="81"/>
        </w:trPr>
        <w:tc>
          <w:tcPr>
            <w:tcW w:w="80" w:type="dxa"/>
            <w:vAlign w:val="bottom"/>
            <w:shd w:val="clear" w:color="auto" w:fill="27C0DA"/>
          </w:tcPr>
          <w:p>
            <w:pPr>
              <w:spacing w:after="0"/>
              <w:rPr>
                <w:sz w:val="7"/>
                <w:szCs w:val="7"/>
                <w:color w:val="auto"/>
              </w:rPr>
            </w:pPr>
          </w:p>
        </w:tc>
        <w:tc>
          <w:tcPr>
            <w:tcW w:w="9680" w:type="dxa"/>
            <w:vAlign w:val="bottom"/>
            <w:vMerge w:val="continue"/>
          </w:tcPr>
          <w:p>
            <w:pPr>
              <w:spacing w:after="0"/>
              <w:rPr>
                <w:sz w:val="7"/>
                <w:szCs w:val="7"/>
                <w:color w:val="auto"/>
              </w:rPr>
            </w:pPr>
          </w:p>
        </w:tc>
        <w:tc>
          <w:tcPr>
            <w:tcW w:w="1480" w:type="dxa"/>
            <w:vAlign w:val="bottom"/>
            <w:tcBorders>
              <w:right w:val="single" w:sz="8" w:color="27BFDA"/>
            </w:tcBorders>
            <w:shd w:val="clear" w:color="auto" w:fill="27C0DA"/>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80" w:type="dxa"/>
            <w:vAlign w:val="bottom"/>
            <w:shd w:val="clear" w:color="auto" w:fill="27C0DA"/>
          </w:tcPr>
          <w:p>
            <w:pPr>
              <w:spacing w:after="0"/>
              <w:rPr>
                <w:sz w:val="14"/>
                <w:szCs w:val="14"/>
                <w:color w:val="auto"/>
              </w:rPr>
            </w:pPr>
          </w:p>
        </w:tc>
        <w:tc>
          <w:tcPr>
            <w:tcW w:w="9680" w:type="dxa"/>
            <w:vAlign w:val="bottom"/>
          </w:tcPr>
          <w:p>
            <w:pPr>
              <w:ind w:left="1960"/>
              <w:spacing w:after="0" w:line="163" w:lineRule="exact"/>
              <w:rPr>
                <w:sz w:val="20"/>
                <w:szCs w:val="20"/>
                <w:color w:val="auto"/>
              </w:rPr>
            </w:pPr>
            <w:r>
              <w:rPr>
                <w:rFonts w:ascii="Arial" w:cs="Arial" w:eastAsia="Arial" w:hAnsi="Arial"/>
                <w:sz w:val="15"/>
                <w:szCs w:val="15"/>
                <w:b w:val="1"/>
                <w:bCs w:val="1"/>
                <w:color w:val="044469"/>
              </w:rPr>
              <w:t>We recommend that you vote FOR Proposal 2, the approval of the compensation of our NEOs as disclosed</w:t>
            </w:r>
          </w:p>
        </w:tc>
        <w:tc>
          <w:tcPr>
            <w:tcW w:w="1480" w:type="dxa"/>
            <w:vAlign w:val="bottom"/>
            <w:tcBorders>
              <w:right w:val="single" w:sz="8" w:color="27C0DA"/>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80" w:type="dxa"/>
            <w:vAlign w:val="bottom"/>
            <w:shd w:val="clear" w:color="auto" w:fill="27C0DA"/>
          </w:tcPr>
          <w:p>
            <w:pPr>
              <w:spacing w:after="0"/>
              <w:rPr>
                <w:sz w:val="17"/>
                <w:szCs w:val="17"/>
                <w:color w:val="auto"/>
              </w:rPr>
            </w:pPr>
          </w:p>
        </w:tc>
        <w:tc>
          <w:tcPr>
            <w:tcW w:w="9680" w:type="dxa"/>
            <w:vAlign w:val="bottom"/>
          </w:tcPr>
          <w:p>
            <w:pPr>
              <w:ind w:left="1960"/>
              <w:spacing w:after="0"/>
              <w:rPr>
                <w:sz w:val="20"/>
                <w:szCs w:val="20"/>
                <w:color w:val="auto"/>
              </w:rPr>
            </w:pPr>
            <w:r>
              <w:rPr>
                <w:rFonts w:ascii="Arial" w:cs="Arial" w:eastAsia="Arial" w:hAnsi="Arial"/>
                <w:sz w:val="15"/>
                <w:szCs w:val="15"/>
                <w:b w:val="1"/>
                <w:bCs w:val="1"/>
                <w:color w:val="044469"/>
              </w:rPr>
              <w:t>in the proxy statement pursuant to the SEC’s compensation disclosure rules.</w:t>
            </w:r>
          </w:p>
        </w:tc>
        <w:tc>
          <w:tcPr>
            <w:tcW w:w="1480" w:type="dxa"/>
            <w:vAlign w:val="bottom"/>
            <w:tcBorders>
              <w:right w:val="single" w:sz="8" w:color="27C0DA"/>
            </w:tcBorders>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80" w:type="dxa"/>
            <w:vAlign w:val="bottom"/>
            <w:shd w:val="clear" w:color="auto" w:fill="27C0DA"/>
          </w:tcPr>
          <w:p>
            <w:pPr>
              <w:spacing w:after="0"/>
              <w:rPr>
                <w:sz w:val="2"/>
                <w:szCs w:val="2"/>
                <w:color w:val="auto"/>
              </w:rPr>
            </w:pPr>
          </w:p>
        </w:tc>
        <w:tc>
          <w:tcPr>
            <w:tcW w:w="9680" w:type="dxa"/>
            <w:vAlign w:val="bottom"/>
          </w:tcPr>
          <w:p>
            <w:pPr>
              <w:spacing w:after="0"/>
              <w:rPr>
                <w:sz w:val="2"/>
                <w:szCs w:val="2"/>
                <w:color w:val="auto"/>
              </w:rPr>
            </w:pPr>
          </w:p>
        </w:tc>
        <w:tc>
          <w:tcPr>
            <w:tcW w:w="1480" w:type="dxa"/>
            <w:vAlign w:val="bottom"/>
            <w:tcBorders>
              <w:right w:val="single" w:sz="8" w:color="27C0DA"/>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5"/>
        </w:trPr>
        <w:tc>
          <w:tcPr>
            <w:tcW w:w="80" w:type="dxa"/>
            <w:vAlign w:val="bottom"/>
            <w:shd w:val="clear" w:color="auto" w:fill="27C0DA"/>
          </w:tcPr>
          <w:p>
            <w:pPr>
              <w:spacing w:after="0"/>
              <w:rPr>
                <w:sz w:val="6"/>
                <w:szCs w:val="6"/>
                <w:color w:val="auto"/>
              </w:rPr>
            </w:pPr>
          </w:p>
        </w:tc>
        <w:tc>
          <w:tcPr>
            <w:tcW w:w="9680" w:type="dxa"/>
            <w:vAlign w:val="bottom"/>
            <w:shd w:val="clear" w:color="auto" w:fill="27C0DA"/>
          </w:tcPr>
          <w:p>
            <w:pPr>
              <w:spacing w:after="0"/>
              <w:rPr>
                <w:sz w:val="6"/>
                <w:szCs w:val="6"/>
                <w:color w:val="auto"/>
              </w:rPr>
            </w:pPr>
          </w:p>
        </w:tc>
        <w:tc>
          <w:tcPr>
            <w:tcW w:w="1480" w:type="dxa"/>
            <w:vAlign w:val="bottom"/>
            <w:tcBorders>
              <w:right w:val="single" w:sz="8" w:color="27C0DA"/>
            </w:tcBorders>
            <w:shd w:val="clear" w:color="auto" w:fill="27C0DA"/>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-412115</wp:posOffset>
            </wp:positionV>
            <wp:extent cx="857250" cy="30162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57250" cy="301625"/>
                    </a:xfrm>
                    <a:prstGeom prst="rect">
                      <a:avLst/>
                    </a:prstGeom>
                    <a:noFill/>
                  </pic:spPr>
                </pic:pic>
              </a:graphicData>
            </a:graphic>
          </wp:anchor>
        </w:drawing>
      </w:r>
    </w:p>
    <w:p>
      <w:pPr>
        <w:spacing w:after="0" w:line="15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3"/>
          <w:szCs w:val="13"/>
          <w:b w:val="1"/>
          <w:bCs w:val="1"/>
          <w:color w:val="00244F"/>
        </w:rPr>
        <w:t>74</w:t>
      </w:r>
      <w:r>
        <w:rPr>
          <w:sz w:val="20"/>
          <w:szCs w:val="20"/>
          <w:color w:val="auto"/>
        </w:rPr>
        <w:tab/>
      </w:r>
      <w:r>
        <w:rPr>
          <w:rFonts w:ascii="Times New Roman" w:cs="Times New Roman" w:eastAsia="Times New Roman" w:hAnsi="Times New Roman"/>
          <w:sz w:val="13"/>
          <w:szCs w:val="13"/>
          <w:b w:val="1"/>
          <w:bCs w:val="1"/>
          <w:color w:val="00244F"/>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42480" cy="762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79" w:name="page80"/>
    <w:bookmarkEnd w:id="79"/>
    <w:p>
      <w:pPr>
        <w:spacing w:after="0"/>
        <w:rPr>
          <w:sz w:val="20"/>
          <w:szCs w:val="20"/>
          <w:color w:val="auto"/>
        </w:rPr>
      </w:pPr>
      <w:r>
        <w:rPr>
          <w:rFonts w:ascii="Arial" w:cs="Arial" w:eastAsia="Arial" w:hAnsi="Arial"/>
          <w:sz w:val="17"/>
          <w:szCs w:val="17"/>
          <w:u w:val="single" w:color="auto"/>
          <w:color w:val="0000EE"/>
        </w:rPr>
        <w:t>Table of Contents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55"/>
          <w:szCs w:val="55"/>
          <w:color w:val="00254F"/>
        </w:rPr>
        <w:t>Audit Matters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254F"/>
        </w:rPr>
        <w:t>Disclosure of Fees Charged by Our Independent Registered Public Accounting Firm</w:t>
      </w:r>
    </w:p>
    <w:p>
      <w:pPr>
        <w:spacing w:after="0" w:line="212"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The following table summarizes the aggregate fees charged by KPMG LLP and KPMG entities for professional services rendered to Price Group and its subsidiaries, and to sponsored OHA funds (OHA Funds) during 2023 and 2022. All services were approved by the Audit Committee pursuant to the pre-approval procedures described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4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2023</w:t>
            </w:r>
          </w:p>
        </w:tc>
        <w:tc>
          <w:tcPr>
            <w:tcW w:w="8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664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gridSpan w:val="2"/>
          </w:tcPr>
          <w:p>
            <w:pPr>
              <w:jc w:val="right"/>
              <w:ind w:right="220"/>
              <w:spacing w:after="0" w:line="125" w:lineRule="exact"/>
              <w:rPr>
                <w:sz w:val="20"/>
                <w:szCs w:val="20"/>
                <w:color w:val="auto"/>
              </w:rPr>
            </w:pPr>
            <w:r>
              <w:rPr>
                <w:rFonts w:ascii="Arial" w:cs="Arial" w:eastAsia="Arial" w:hAnsi="Arial"/>
                <w:sz w:val="12"/>
                <w:szCs w:val="12"/>
                <w:b w:val="1"/>
                <w:bCs w:val="1"/>
                <w:color w:val="auto"/>
                <w:w w:val="94"/>
              </w:rPr>
              <w:t>T. ROWE PRICE GROUP, INC.</w:t>
            </w:r>
          </w:p>
        </w:tc>
        <w:tc>
          <w:tcPr>
            <w:tcW w:w="54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1"/>
              </w:rPr>
              <w:t>OHA FUNDS</w:t>
            </w:r>
            <w:r>
              <w:rPr>
                <w:rFonts w:ascii="Arial" w:cs="Arial" w:eastAsia="Arial" w:hAnsi="Arial"/>
                <w:sz w:val="19"/>
                <w:szCs w:val="19"/>
                <w:b w:val="1"/>
                <w:bCs w:val="1"/>
                <w:color w:val="auto"/>
                <w:w w:val="91"/>
                <w:vertAlign w:val="superscript"/>
              </w:rPr>
              <w:t>5</w:t>
            </w:r>
          </w:p>
        </w:tc>
        <w:tc>
          <w:tcPr>
            <w:tcW w:w="160" w:type="dxa"/>
            <w:vAlign w:val="bottom"/>
            <w:tcBorders>
              <w:right w:val="single" w:sz="8" w:color="auto"/>
            </w:tcBorders>
            <w:vMerge w:val="restart"/>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8"/>
        </w:trPr>
        <w:tc>
          <w:tcPr>
            <w:tcW w:w="6640" w:type="dxa"/>
            <w:vAlign w:val="bottom"/>
            <w:tcBorders>
              <w:bottom w:val="single" w:sz="8" w:color="auto"/>
            </w:tcBorders>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AND SUBSIDIARIES</w:t>
            </w:r>
          </w:p>
        </w:tc>
        <w:tc>
          <w:tcPr>
            <w:tcW w:w="160" w:type="dxa"/>
            <w:vAlign w:val="bottom"/>
            <w:tcBorders>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60" w:type="dxa"/>
            <w:vAlign w:val="bottom"/>
            <w:tcBorders>
              <w:right w:val="single" w:sz="8" w:color="auto"/>
            </w:tcBorders>
            <w:vMerge w:val="continue"/>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6640" w:type="dxa"/>
            <w:vAlign w:val="bottom"/>
            <w:tcBorders>
              <w:bottom w:val="single" w:sz="8" w:color="808080"/>
            </w:tcBorders>
          </w:tcPr>
          <w:p>
            <w:pPr>
              <w:ind w:left="60"/>
              <w:spacing w:after="0"/>
              <w:rPr>
                <w:sz w:val="20"/>
                <w:szCs w:val="20"/>
                <w:color w:val="auto"/>
              </w:rPr>
            </w:pPr>
            <w:r>
              <w:rPr>
                <w:rFonts w:ascii="Arial" w:cs="Arial" w:eastAsia="Arial" w:hAnsi="Arial"/>
                <w:sz w:val="15"/>
                <w:szCs w:val="15"/>
                <w:color w:val="auto"/>
              </w:rPr>
              <w:t>Audit Fees</w:t>
            </w:r>
          </w:p>
        </w:tc>
        <w:tc>
          <w:tcPr>
            <w:tcW w:w="160" w:type="dxa"/>
            <w:vAlign w:val="bottom"/>
            <w:tcBorders>
              <w:bottom w:val="single" w:sz="8" w:color="E7E7E8"/>
            </w:tcBorders>
          </w:tcPr>
          <w:p>
            <w:pPr>
              <w:spacing w:after="0"/>
              <w:rPr>
                <w:sz w:val="22"/>
                <w:szCs w:val="22"/>
                <w:color w:val="auto"/>
              </w:rPr>
            </w:pPr>
          </w:p>
        </w:tc>
        <w:tc>
          <w:tcPr>
            <w:tcW w:w="1680" w:type="dxa"/>
            <w:vAlign w:val="bottom"/>
            <w:tcBorders>
              <w:bottom w:val="single" w:sz="8" w:color="808080"/>
            </w:tcBorders>
          </w:tcPr>
          <w:p>
            <w:pPr>
              <w:jc w:val="right"/>
              <w:spacing w:after="0" w:line="255" w:lineRule="exact"/>
              <w:rPr>
                <w:sz w:val="20"/>
                <w:szCs w:val="20"/>
                <w:color w:val="auto"/>
              </w:rPr>
            </w:pPr>
            <w:r>
              <w:rPr>
                <w:rFonts w:ascii="Arial" w:cs="Arial" w:eastAsia="Arial" w:hAnsi="Arial"/>
                <w:sz w:val="15"/>
                <w:szCs w:val="15"/>
                <w:color w:val="auto"/>
              </w:rPr>
              <w:t>$5,732,067</w:t>
            </w:r>
            <w:r>
              <w:rPr>
                <w:rFonts w:ascii="Arial" w:cs="Arial" w:eastAsia="Arial" w:hAnsi="Arial"/>
                <w:sz w:val="24"/>
                <w:szCs w:val="24"/>
                <w:color w:val="auto"/>
                <w:vertAlign w:val="superscript"/>
              </w:rPr>
              <w:t>1</w:t>
            </w:r>
          </w:p>
        </w:tc>
        <w:tc>
          <w:tcPr>
            <w:tcW w:w="160" w:type="dxa"/>
            <w:vAlign w:val="bottom"/>
            <w:tcBorders>
              <w:bottom w:val="single" w:sz="8" w:color="E7E7E8"/>
            </w:tcBorders>
          </w:tcPr>
          <w:p>
            <w:pPr>
              <w:spacing w:after="0"/>
              <w:rPr>
                <w:sz w:val="22"/>
                <w:szCs w:val="22"/>
                <w:color w:val="auto"/>
              </w:rPr>
            </w:pPr>
          </w:p>
        </w:tc>
        <w:tc>
          <w:tcPr>
            <w:tcW w:w="54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6,772,010</w:t>
            </w:r>
          </w:p>
        </w:tc>
        <w:tc>
          <w:tcPr>
            <w:tcW w:w="160" w:type="dxa"/>
            <w:vAlign w:val="bottom"/>
            <w:tcBorders>
              <w:bottom w:val="single" w:sz="8" w:color="E7E7E8"/>
            </w:tcBorders>
          </w:tcPr>
          <w:p>
            <w:pPr>
              <w:spacing w:after="0"/>
              <w:rPr>
                <w:sz w:val="22"/>
                <w:szCs w:val="22"/>
                <w:color w:val="auto"/>
              </w:rPr>
            </w:pPr>
          </w:p>
        </w:tc>
        <w:tc>
          <w:tcPr>
            <w:tcW w:w="110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$12,504,077</w:t>
            </w:r>
          </w:p>
        </w:tc>
        <w:tc>
          <w:tcPr>
            <w:tcW w:w="0" w:type="dxa"/>
            <w:vAlign w:val="bottom"/>
          </w:tcPr>
          <w:p>
            <w:pPr>
              <w:spacing w:after="0"/>
              <w:rPr>
                <w:sz w:val="1"/>
                <w:szCs w:val="1"/>
                <w:color w:val="auto"/>
              </w:rPr>
            </w:pPr>
          </w:p>
        </w:tc>
      </w:tr>
      <w:tr>
        <w:trPr>
          <w:trHeight w:val="255"/>
        </w:trPr>
        <w:tc>
          <w:tcPr>
            <w:tcW w:w="6640" w:type="dxa"/>
            <w:vAlign w:val="bottom"/>
            <w:tcBorders>
              <w:bottom w:val="single" w:sz="8" w:color="808080"/>
            </w:tcBorders>
            <w:shd w:val="clear" w:color="auto" w:fill="E7E7E8"/>
          </w:tcPr>
          <w:p>
            <w:pPr>
              <w:ind w:left="60"/>
              <w:spacing w:after="0"/>
              <w:rPr>
                <w:sz w:val="20"/>
                <w:szCs w:val="20"/>
                <w:color w:val="auto"/>
              </w:rPr>
            </w:pPr>
            <w:r>
              <w:rPr>
                <w:rFonts w:ascii="Arial" w:cs="Arial" w:eastAsia="Arial" w:hAnsi="Arial"/>
                <w:sz w:val="15"/>
                <w:szCs w:val="15"/>
                <w:color w:val="auto"/>
              </w:rPr>
              <w:t>Audit-Related Fees</w:t>
            </w:r>
          </w:p>
        </w:tc>
        <w:tc>
          <w:tcPr>
            <w:tcW w:w="160" w:type="dxa"/>
            <w:vAlign w:val="bottom"/>
            <w:tcBorders>
              <w:right w:val="single" w:sz="8" w:color="E7E7E8"/>
            </w:tcBorders>
            <w:shd w:val="clear" w:color="auto" w:fill="E7E7E8"/>
          </w:tcPr>
          <w:p>
            <w:pPr>
              <w:spacing w:after="0"/>
              <w:rPr>
                <w:sz w:val="22"/>
                <w:szCs w:val="22"/>
                <w:color w:val="auto"/>
              </w:rPr>
            </w:pPr>
          </w:p>
        </w:tc>
        <w:tc>
          <w:tcPr>
            <w:tcW w:w="1680" w:type="dxa"/>
            <w:vAlign w:val="bottom"/>
            <w:tcBorders>
              <w:bottom w:val="single" w:sz="8" w:color="808080"/>
            </w:tcBorders>
            <w:shd w:val="clear" w:color="auto" w:fill="E7E7E8"/>
          </w:tcPr>
          <w:p>
            <w:pPr>
              <w:jc w:val="right"/>
              <w:spacing w:after="0" w:line="255" w:lineRule="exact"/>
              <w:rPr>
                <w:sz w:val="20"/>
                <w:szCs w:val="20"/>
                <w:color w:val="auto"/>
              </w:rPr>
            </w:pPr>
            <w:r>
              <w:rPr>
                <w:rFonts w:ascii="Arial" w:cs="Arial" w:eastAsia="Arial" w:hAnsi="Arial"/>
                <w:sz w:val="15"/>
                <w:szCs w:val="15"/>
                <w:color w:val="auto"/>
              </w:rPr>
              <w:t>635,111</w:t>
            </w:r>
            <w:r>
              <w:rPr>
                <w:rFonts w:ascii="Arial" w:cs="Arial" w:eastAsia="Arial" w:hAnsi="Arial"/>
                <w:sz w:val="24"/>
                <w:szCs w:val="24"/>
                <w:color w:val="auto"/>
                <w:vertAlign w:val="superscript"/>
              </w:rPr>
              <w:t>2</w:t>
            </w:r>
          </w:p>
        </w:tc>
        <w:tc>
          <w:tcPr>
            <w:tcW w:w="160" w:type="dxa"/>
            <w:vAlign w:val="bottom"/>
            <w:tcBorders>
              <w:right w:val="single" w:sz="8" w:color="E7E7E8"/>
            </w:tcBorders>
            <w:shd w:val="clear" w:color="auto" w:fill="E7E7E8"/>
          </w:tcPr>
          <w:p>
            <w:pPr>
              <w:spacing w:after="0"/>
              <w:rPr>
                <w:sz w:val="22"/>
                <w:szCs w:val="22"/>
                <w:color w:val="auto"/>
              </w:rPr>
            </w:pPr>
          </w:p>
        </w:tc>
        <w:tc>
          <w:tcPr>
            <w:tcW w:w="540" w:type="dxa"/>
            <w:vAlign w:val="bottom"/>
            <w:tcBorders>
              <w:bottom w:val="single" w:sz="8" w:color="808080"/>
            </w:tcBorders>
            <w:shd w:val="clear" w:color="auto" w:fill="E7E7E8"/>
          </w:tcPr>
          <w:p>
            <w:pPr>
              <w:spacing w:after="0"/>
              <w:rPr>
                <w:sz w:val="22"/>
                <w:szCs w:val="22"/>
                <w:color w:val="auto"/>
              </w:rPr>
            </w:pPr>
          </w:p>
        </w:tc>
        <w:tc>
          <w:tcPr>
            <w:tcW w:w="80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506,387</w:t>
            </w:r>
          </w:p>
        </w:tc>
        <w:tc>
          <w:tcPr>
            <w:tcW w:w="160" w:type="dxa"/>
            <w:vAlign w:val="bottom"/>
            <w:tcBorders>
              <w:right w:val="single" w:sz="8" w:color="E7E7E8"/>
            </w:tcBorders>
            <w:shd w:val="clear" w:color="auto" w:fill="E7E7E8"/>
          </w:tcPr>
          <w:p>
            <w:pPr>
              <w:spacing w:after="0"/>
              <w:rPr>
                <w:sz w:val="22"/>
                <w:szCs w:val="22"/>
                <w:color w:val="auto"/>
              </w:rPr>
            </w:pPr>
          </w:p>
        </w:tc>
        <w:tc>
          <w:tcPr>
            <w:tcW w:w="110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1,141,498</w:t>
            </w:r>
          </w:p>
        </w:tc>
        <w:tc>
          <w:tcPr>
            <w:tcW w:w="0" w:type="dxa"/>
            <w:vAlign w:val="bottom"/>
          </w:tcPr>
          <w:p>
            <w:pPr>
              <w:spacing w:after="0"/>
              <w:rPr>
                <w:sz w:val="1"/>
                <w:szCs w:val="1"/>
                <w:color w:val="auto"/>
              </w:rPr>
            </w:pPr>
          </w:p>
        </w:tc>
      </w:tr>
      <w:tr>
        <w:trPr>
          <w:trHeight w:val="255"/>
        </w:trPr>
        <w:tc>
          <w:tcPr>
            <w:tcW w:w="6640" w:type="dxa"/>
            <w:vAlign w:val="bottom"/>
            <w:tcBorders>
              <w:bottom w:val="single" w:sz="8" w:color="808080"/>
            </w:tcBorders>
          </w:tcPr>
          <w:p>
            <w:pPr>
              <w:ind w:left="60"/>
              <w:spacing w:after="0"/>
              <w:rPr>
                <w:sz w:val="20"/>
                <w:szCs w:val="20"/>
                <w:color w:val="auto"/>
              </w:rPr>
            </w:pPr>
            <w:r>
              <w:rPr>
                <w:rFonts w:ascii="Arial" w:cs="Arial" w:eastAsia="Arial" w:hAnsi="Arial"/>
                <w:sz w:val="15"/>
                <w:szCs w:val="15"/>
                <w:color w:val="auto"/>
              </w:rPr>
              <w:t>Tax Fees</w:t>
            </w:r>
          </w:p>
        </w:tc>
        <w:tc>
          <w:tcPr>
            <w:tcW w:w="160" w:type="dxa"/>
            <w:vAlign w:val="bottom"/>
            <w:tcBorders>
              <w:bottom w:val="single" w:sz="8" w:color="E7E7E8"/>
            </w:tcBorders>
          </w:tcPr>
          <w:p>
            <w:pPr>
              <w:spacing w:after="0"/>
              <w:rPr>
                <w:sz w:val="22"/>
                <w:szCs w:val="22"/>
                <w:color w:val="auto"/>
              </w:rPr>
            </w:pPr>
          </w:p>
        </w:tc>
        <w:tc>
          <w:tcPr>
            <w:tcW w:w="1680" w:type="dxa"/>
            <w:vAlign w:val="bottom"/>
            <w:tcBorders>
              <w:bottom w:val="single" w:sz="8" w:color="808080"/>
            </w:tcBorders>
          </w:tcPr>
          <w:p>
            <w:pPr>
              <w:jc w:val="right"/>
              <w:spacing w:after="0" w:line="255" w:lineRule="exact"/>
              <w:rPr>
                <w:sz w:val="20"/>
                <w:szCs w:val="20"/>
                <w:color w:val="auto"/>
              </w:rPr>
            </w:pPr>
            <w:r>
              <w:rPr>
                <w:rFonts w:ascii="Arial" w:cs="Arial" w:eastAsia="Arial" w:hAnsi="Arial"/>
                <w:sz w:val="15"/>
                <w:szCs w:val="15"/>
                <w:color w:val="auto"/>
              </w:rPr>
              <w:t>3,388,092</w:t>
            </w:r>
            <w:r>
              <w:rPr>
                <w:rFonts w:ascii="Arial" w:cs="Arial" w:eastAsia="Arial" w:hAnsi="Arial"/>
                <w:sz w:val="24"/>
                <w:szCs w:val="24"/>
                <w:color w:val="auto"/>
                <w:vertAlign w:val="superscript"/>
              </w:rPr>
              <w:t>3</w:t>
            </w:r>
          </w:p>
        </w:tc>
        <w:tc>
          <w:tcPr>
            <w:tcW w:w="160" w:type="dxa"/>
            <w:vAlign w:val="bottom"/>
            <w:tcBorders>
              <w:bottom w:val="single" w:sz="8" w:color="E7E7E8"/>
            </w:tcBorders>
          </w:tcPr>
          <w:p>
            <w:pPr>
              <w:spacing w:after="0"/>
              <w:rPr>
                <w:sz w:val="22"/>
                <w:szCs w:val="22"/>
                <w:color w:val="auto"/>
              </w:rPr>
            </w:pPr>
          </w:p>
        </w:tc>
        <w:tc>
          <w:tcPr>
            <w:tcW w:w="540" w:type="dxa"/>
            <w:vAlign w:val="bottom"/>
            <w:tcBorders>
              <w:bottom w:val="single" w:sz="8" w:color="808080"/>
            </w:tcBorders>
          </w:tcPr>
          <w:p>
            <w:pPr>
              <w:spacing w:after="0"/>
              <w:rPr>
                <w:sz w:val="22"/>
                <w:szCs w:val="22"/>
                <w:color w:val="auto"/>
              </w:rPr>
            </w:pPr>
          </w:p>
        </w:tc>
        <w:tc>
          <w:tcPr>
            <w:tcW w:w="80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w w:val="95"/>
              </w:rPr>
              <w:t>12,631,685</w:t>
            </w:r>
          </w:p>
        </w:tc>
        <w:tc>
          <w:tcPr>
            <w:tcW w:w="160" w:type="dxa"/>
            <w:vAlign w:val="bottom"/>
            <w:tcBorders>
              <w:bottom w:val="single" w:sz="8" w:color="E7E7E8"/>
            </w:tcBorders>
          </w:tcPr>
          <w:p>
            <w:pPr>
              <w:spacing w:after="0"/>
              <w:rPr>
                <w:sz w:val="22"/>
                <w:szCs w:val="22"/>
                <w:color w:val="auto"/>
              </w:rPr>
            </w:pPr>
          </w:p>
        </w:tc>
        <w:tc>
          <w:tcPr>
            <w:tcW w:w="110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16,019,777</w:t>
            </w:r>
          </w:p>
        </w:tc>
        <w:tc>
          <w:tcPr>
            <w:tcW w:w="0" w:type="dxa"/>
            <w:vAlign w:val="bottom"/>
          </w:tcPr>
          <w:p>
            <w:pPr>
              <w:spacing w:after="0"/>
              <w:rPr>
                <w:sz w:val="1"/>
                <w:szCs w:val="1"/>
                <w:color w:val="auto"/>
              </w:rPr>
            </w:pPr>
          </w:p>
        </w:tc>
      </w:tr>
      <w:tr>
        <w:trPr>
          <w:trHeight w:val="255"/>
        </w:trPr>
        <w:tc>
          <w:tcPr>
            <w:tcW w:w="6800" w:type="dxa"/>
            <w:vAlign w:val="bottom"/>
            <w:tcBorders>
              <w:right w:val="single" w:sz="8" w:color="E7E7E8"/>
            </w:tcBorders>
            <w:gridSpan w:val="2"/>
            <w:shd w:val="clear" w:color="auto" w:fill="E7E7E8"/>
          </w:tcPr>
          <w:p>
            <w:pPr>
              <w:ind w:left="60"/>
              <w:spacing w:after="0"/>
              <w:rPr>
                <w:sz w:val="20"/>
                <w:szCs w:val="20"/>
                <w:color w:val="auto"/>
              </w:rPr>
            </w:pPr>
            <w:r>
              <w:rPr>
                <w:rFonts w:ascii="Arial" w:cs="Arial" w:eastAsia="Arial" w:hAnsi="Arial"/>
                <w:sz w:val="15"/>
                <w:szCs w:val="15"/>
                <w:color w:val="auto"/>
              </w:rPr>
              <w:t>All Other Fees</w:t>
            </w:r>
          </w:p>
        </w:tc>
        <w:tc>
          <w:tcPr>
            <w:tcW w:w="1680" w:type="dxa"/>
            <w:vAlign w:val="bottom"/>
            <w:shd w:val="clear" w:color="auto" w:fill="E7E7E8"/>
          </w:tcPr>
          <w:p>
            <w:pPr>
              <w:jc w:val="right"/>
              <w:spacing w:after="0" w:line="255" w:lineRule="exact"/>
              <w:rPr>
                <w:sz w:val="20"/>
                <w:szCs w:val="20"/>
                <w:color w:val="auto"/>
              </w:rPr>
            </w:pPr>
            <w:r>
              <w:rPr>
                <w:rFonts w:ascii="Arial" w:cs="Arial" w:eastAsia="Arial" w:hAnsi="Arial"/>
                <w:sz w:val="15"/>
                <w:szCs w:val="15"/>
                <w:color w:val="auto"/>
              </w:rPr>
              <w:t>109,830</w:t>
            </w:r>
            <w:r>
              <w:rPr>
                <w:rFonts w:ascii="Arial" w:cs="Arial" w:eastAsia="Arial" w:hAnsi="Arial"/>
                <w:sz w:val="24"/>
                <w:szCs w:val="24"/>
                <w:color w:val="auto"/>
                <w:vertAlign w:val="superscript"/>
              </w:rPr>
              <w:t>4</w:t>
            </w:r>
          </w:p>
        </w:tc>
        <w:tc>
          <w:tcPr>
            <w:tcW w:w="160" w:type="dxa"/>
            <w:vAlign w:val="bottom"/>
            <w:tcBorders>
              <w:right w:val="single" w:sz="8" w:color="E7E7E8"/>
            </w:tcBorders>
            <w:shd w:val="clear" w:color="auto" w:fill="E7E7E8"/>
          </w:tcPr>
          <w:p>
            <w:pPr>
              <w:spacing w:after="0"/>
              <w:rPr>
                <w:sz w:val="22"/>
                <w:szCs w:val="22"/>
                <w:color w:val="auto"/>
              </w:rPr>
            </w:pPr>
          </w:p>
        </w:tc>
        <w:tc>
          <w:tcPr>
            <w:tcW w:w="540" w:type="dxa"/>
            <w:vAlign w:val="bottom"/>
            <w:shd w:val="clear" w:color="auto" w:fill="E7E7E8"/>
          </w:tcPr>
          <w:p>
            <w:pPr>
              <w:spacing w:after="0"/>
              <w:rPr>
                <w:sz w:val="22"/>
                <w:szCs w:val="22"/>
                <w:color w:val="auto"/>
              </w:rPr>
            </w:pPr>
          </w:p>
        </w:tc>
        <w:tc>
          <w:tcPr>
            <w:tcW w:w="960" w:type="dxa"/>
            <w:vAlign w:val="bottom"/>
            <w:tcBorders>
              <w:right w:val="single" w:sz="8" w:color="E7E7E8"/>
            </w:tcBorders>
            <w:gridSpan w:val="2"/>
            <w:shd w:val="clear" w:color="auto" w:fill="E7E7E8"/>
          </w:tcPr>
          <w:p>
            <w:pPr>
              <w:jc w:val="right"/>
              <w:ind w:right="220"/>
              <w:spacing w:after="0"/>
              <w:rPr>
                <w:sz w:val="20"/>
                <w:szCs w:val="20"/>
                <w:color w:val="auto"/>
              </w:rPr>
            </w:pPr>
            <w:r>
              <w:rPr>
                <w:rFonts w:ascii="Arial" w:cs="Arial" w:eastAsia="Arial" w:hAnsi="Arial"/>
                <w:sz w:val="15"/>
                <w:szCs w:val="15"/>
                <w:color w:val="auto"/>
              </w:rPr>
              <w:t>—</w:t>
            </w:r>
          </w:p>
        </w:tc>
        <w:tc>
          <w:tcPr>
            <w:tcW w:w="1100" w:type="dxa"/>
            <w:vAlign w:val="bottom"/>
            <w:shd w:val="clear" w:color="auto" w:fill="E7E7E8"/>
          </w:tcPr>
          <w:p>
            <w:pPr>
              <w:jc w:val="right"/>
              <w:spacing w:after="0"/>
              <w:rPr>
                <w:sz w:val="20"/>
                <w:szCs w:val="20"/>
                <w:color w:val="auto"/>
              </w:rPr>
            </w:pPr>
            <w:r>
              <w:rPr>
                <w:rFonts w:ascii="Arial" w:cs="Arial" w:eastAsia="Arial" w:hAnsi="Arial"/>
                <w:sz w:val="15"/>
                <w:szCs w:val="15"/>
                <w:color w:val="auto"/>
              </w:rPr>
              <w:t>109,830</w:t>
            </w:r>
          </w:p>
        </w:tc>
        <w:tc>
          <w:tcPr>
            <w:tcW w:w="0" w:type="dxa"/>
            <w:vAlign w:val="bottom"/>
          </w:tcPr>
          <w:p>
            <w:pPr>
              <w:spacing w:after="0"/>
              <w:rPr>
                <w:sz w:val="1"/>
                <w:szCs w:val="1"/>
                <w:color w:val="auto"/>
              </w:rPr>
            </w:pPr>
          </w:p>
        </w:tc>
      </w:tr>
      <w:tr>
        <w:trPr>
          <w:trHeight w:val="210"/>
        </w:trPr>
        <w:tc>
          <w:tcPr>
            <w:tcW w:w="6640" w:type="dxa"/>
            <w:vAlign w:val="bottom"/>
            <w:tcBorders>
              <w:top w:val="single" w:sz="8" w:color="808080"/>
              <w:bottom w:val="single" w:sz="8" w:color="808080"/>
            </w:tcBorders>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Borders>
              <w:top w:val="single" w:sz="8" w:color="808080"/>
              <w:bottom w:val="single" w:sz="8" w:color="808080"/>
            </w:tcBorders>
          </w:tcPr>
          <w:p>
            <w:pPr>
              <w:jc w:val="right"/>
              <w:ind w:right="70"/>
              <w:spacing w:after="0"/>
              <w:rPr>
                <w:sz w:val="20"/>
                <w:szCs w:val="20"/>
                <w:color w:val="auto"/>
              </w:rPr>
            </w:pPr>
            <w:r>
              <w:rPr>
                <w:rFonts w:ascii="Arial" w:cs="Arial" w:eastAsia="Arial" w:hAnsi="Arial"/>
                <w:sz w:val="15"/>
                <w:szCs w:val="15"/>
                <w:color w:val="auto"/>
              </w:rPr>
              <w:t>$9,865,100</w:t>
            </w:r>
          </w:p>
        </w:tc>
        <w:tc>
          <w:tcPr>
            <w:tcW w:w="160" w:type="dxa"/>
            <w:vAlign w:val="bottom"/>
          </w:tcPr>
          <w:p>
            <w:pPr>
              <w:spacing w:after="0"/>
              <w:rPr>
                <w:sz w:val="18"/>
                <w:szCs w:val="18"/>
                <w:color w:val="auto"/>
              </w:rPr>
            </w:pPr>
          </w:p>
        </w:tc>
        <w:tc>
          <w:tcPr>
            <w:tcW w:w="1340" w:type="dxa"/>
            <w:vAlign w:val="bottom"/>
            <w:tcBorders>
              <w:top w:val="single" w:sz="8" w:color="808080"/>
              <w:bottom w:val="single" w:sz="8" w:color="808080"/>
            </w:tcBorders>
            <w:gridSpan w:val="2"/>
          </w:tcPr>
          <w:p>
            <w:pPr>
              <w:jc w:val="right"/>
              <w:spacing w:after="0"/>
              <w:rPr>
                <w:sz w:val="20"/>
                <w:szCs w:val="20"/>
                <w:color w:val="auto"/>
              </w:rPr>
            </w:pPr>
            <w:r>
              <w:rPr>
                <w:rFonts w:ascii="Arial" w:cs="Arial" w:eastAsia="Arial" w:hAnsi="Arial"/>
                <w:sz w:val="15"/>
                <w:szCs w:val="15"/>
                <w:color w:val="auto"/>
              </w:rPr>
              <w:t>$19,910,082</w:t>
            </w:r>
          </w:p>
        </w:tc>
        <w:tc>
          <w:tcPr>
            <w:tcW w:w="160" w:type="dxa"/>
            <w:vAlign w:val="bottom"/>
          </w:tcPr>
          <w:p>
            <w:pPr>
              <w:spacing w:after="0"/>
              <w:rPr>
                <w:sz w:val="18"/>
                <w:szCs w:val="18"/>
                <w:color w:val="auto"/>
              </w:rPr>
            </w:pPr>
          </w:p>
        </w:tc>
        <w:tc>
          <w:tcPr>
            <w:tcW w:w="11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5"/>
                <w:szCs w:val="15"/>
                <w:color w:val="auto"/>
              </w:rPr>
              <w:t>$29,775,182</w:t>
            </w:r>
          </w:p>
        </w:tc>
        <w:tc>
          <w:tcPr>
            <w:tcW w:w="0" w:type="dxa"/>
            <w:vAlign w:val="bottom"/>
          </w:tcPr>
          <w:p>
            <w:pPr>
              <w:spacing w:after="0"/>
              <w:rPr>
                <w:sz w:val="1"/>
                <w:szCs w:val="1"/>
                <w:color w:val="auto"/>
              </w:rPr>
            </w:pPr>
          </w:p>
        </w:tc>
      </w:tr>
      <w:tr>
        <w:trPr>
          <w:trHeight w:val="87"/>
        </w:trPr>
        <w:tc>
          <w:tcPr>
            <w:tcW w:w="6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2022</w:t>
            </w: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6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840" w:type="dxa"/>
            <w:vAlign w:val="bottom"/>
            <w:tcBorders>
              <w:right w:val="single" w:sz="8" w:color="auto"/>
            </w:tcBorders>
            <w:gridSpan w:val="2"/>
          </w:tcPr>
          <w:p>
            <w:pPr>
              <w:jc w:val="right"/>
              <w:ind w:right="220"/>
              <w:spacing w:after="0" w:line="129" w:lineRule="exact"/>
              <w:rPr>
                <w:sz w:val="20"/>
                <w:szCs w:val="20"/>
                <w:color w:val="auto"/>
              </w:rPr>
            </w:pPr>
            <w:r>
              <w:rPr>
                <w:rFonts w:ascii="Arial" w:cs="Arial" w:eastAsia="Arial" w:hAnsi="Arial"/>
                <w:sz w:val="12"/>
                <w:szCs w:val="12"/>
                <w:b w:val="1"/>
                <w:bCs w:val="1"/>
                <w:color w:val="auto"/>
                <w:w w:val="94"/>
              </w:rPr>
              <w:t>T. ROWE PRICE GROUP, INC.</w:t>
            </w:r>
          </w:p>
        </w:tc>
        <w:tc>
          <w:tcPr>
            <w:tcW w:w="5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1"/>
              </w:rPr>
              <w:t>OHA FUNDS</w:t>
            </w:r>
            <w:r>
              <w:rPr>
                <w:rFonts w:ascii="Arial" w:cs="Arial" w:eastAsia="Arial" w:hAnsi="Arial"/>
                <w:sz w:val="19"/>
                <w:szCs w:val="19"/>
                <w:b w:val="1"/>
                <w:bCs w:val="1"/>
                <w:color w:val="auto"/>
                <w:w w:val="91"/>
                <w:vertAlign w:val="superscript"/>
              </w:rPr>
              <w:t>5</w:t>
            </w:r>
          </w:p>
        </w:tc>
        <w:tc>
          <w:tcPr>
            <w:tcW w:w="160" w:type="dxa"/>
            <w:vAlign w:val="bottom"/>
            <w:tcBorders>
              <w:right w:val="single" w:sz="8" w:color="auto"/>
            </w:tcBorders>
            <w:vMerge w:val="restart"/>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8"/>
        </w:trPr>
        <w:tc>
          <w:tcPr>
            <w:tcW w:w="6640" w:type="dxa"/>
            <w:vAlign w:val="bottom"/>
            <w:tcBorders>
              <w:bottom w:val="single" w:sz="8" w:color="auto"/>
            </w:tcBorders>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AND SUBSIDIARIES</w:t>
            </w:r>
          </w:p>
        </w:tc>
        <w:tc>
          <w:tcPr>
            <w:tcW w:w="160" w:type="dxa"/>
            <w:vAlign w:val="bottom"/>
            <w:tcBorders>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60" w:type="dxa"/>
            <w:vAlign w:val="bottom"/>
            <w:tcBorders>
              <w:right w:val="single" w:sz="8" w:color="auto"/>
            </w:tcBorders>
            <w:vMerge w:val="continue"/>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6640" w:type="dxa"/>
            <w:vAlign w:val="bottom"/>
            <w:tcBorders>
              <w:bottom w:val="single" w:sz="8" w:color="808080"/>
            </w:tcBorders>
          </w:tcPr>
          <w:p>
            <w:pPr>
              <w:ind w:left="60"/>
              <w:spacing w:after="0"/>
              <w:rPr>
                <w:sz w:val="20"/>
                <w:szCs w:val="20"/>
                <w:color w:val="auto"/>
              </w:rPr>
            </w:pPr>
            <w:r>
              <w:rPr>
                <w:rFonts w:ascii="Arial" w:cs="Arial" w:eastAsia="Arial" w:hAnsi="Arial"/>
                <w:sz w:val="15"/>
                <w:szCs w:val="15"/>
                <w:color w:val="auto"/>
              </w:rPr>
              <w:t>Audit Fees</w:t>
            </w:r>
          </w:p>
        </w:tc>
        <w:tc>
          <w:tcPr>
            <w:tcW w:w="160" w:type="dxa"/>
            <w:vAlign w:val="bottom"/>
            <w:tcBorders>
              <w:bottom w:val="single" w:sz="8" w:color="E7E7E8"/>
            </w:tcBorders>
          </w:tcPr>
          <w:p>
            <w:pPr>
              <w:spacing w:after="0"/>
              <w:rPr>
                <w:sz w:val="22"/>
                <w:szCs w:val="22"/>
                <w:color w:val="auto"/>
              </w:rPr>
            </w:pPr>
          </w:p>
        </w:tc>
        <w:tc>
          <w:tcPr>
            <w:tcW w:w="1680" w:type="dxa"/>
            <w:vAlign w:val="bottom"/>
            <w:tcBorders>
              <w:bottom w:val="single" w:sz="8" w:color="808080"/>
            </w:tcBorders>
          </w:tcPr>
          <w:p>
            <w:pPr>
              <w:jc w:val="right"/>
              <w:spacing w:after="0" w:line="255" w:lineRule="exact"/>
              <w:rPr>
                <w:sz w:val="20"/>
                <w:szCs w:val="20"/>
                <w:color w:val="auto"/>
              </w:rPr>
            </w:pPr>
            <w:r>
              <w:rPr>
                <w:rFonts w:ascii="Arial" w:cs="Arial" w:eastAsia="Arial" w:hAnsi="Arial"/>
                <w:sz w:val="15"/>
                <w:szCs w:val="15"/>
                <w:color w:val="auto"/>
              </w:rPr>
              <w:t>$ 6,794,605</w:t>
            </w:r>
            <w:r>
              <w:rPr>
                <w:rFonts w:ascii="Arial" w:cs="Arial" w:eastAsia="Arial" w:hAnsi="Arial"/>
                <w:sz w:val="24"/>
                <w:szCs w:val="24"/>
                <w:color w:val="auto"/>
                <w:vertAlign w:val="superscript"/>
              </w:rPr>
              <w:t>1</w:t>
            </w:r>
          </w:p>
        </w:tc>
        <w:tc>
          <w:tcPr>
            <w:tcW w:w="160" w:type="dxa"/>
            <w:vAlign w:val="bottom"/>
            <w:tcBorders>
              <w:bottom w:val="single" w:sz="8" w:color="E7E7E8"/>
            </w:tcBorders>
          </w:tcPr>
          <w:p>
            <w:pPr>
              <w:spacing w:after="0"/>
              <w:rPr>
                <w:sz w:val="22"/>
                <w:szCs w:val="22"/>
                <w:color w:val="auto"/>
              </w:rPr>
            </w:pPr>
          </w:p>
        </w:tc>
        <w:tc>
          <w:tcPr>
            <w:tcW w:w="54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4,400,000</w:t>
            </w:r>
          </w:p>
        </w:tc>
        <w:tc>
          <w:tcPr>
            <w:tcW w:w="160" w:type="dxa"/>
            <w:vAlign w:val="bottom"/>
            <w:tcBorders>
              <w:bottom w:val="single" w:sz="8" w:color="E7E7E8"/>
            </w:tcBorders>
          </w:tcPr>
          <w:p>
            <w:pPr>
              <w:spacing w:after="0"/>
              <w:rPr>
                <w:sz w:val="22"/>
                <w:szCs w:val="22"/>
                <w:color w:val="auto"/>
              </w:rPr>
            </w:pPr>
          </w:p>
        </w:tc>
        <w:tc>
          <w:tcPr>
            <w:tcW w:w="110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$11,194,605</w:t>
            </w:r>
          </w:p>
        </w:tc>
        <w:tc>
          <w:tcPr>
            <w:tcW w:w="0" w:type="dxa"/>
            <w:vAlign w:val="bottom"/>
          </w:tcPr>
          <w:p>
            <w:pPr>
              <w:spacing w:after="0"/>
              <w:rPr>
                <w:sz w:val="1"/>
                <w:szCs w:val="1"/>
                <w:color w:val="auto"/>
              </w:rPr>
            </w:pPr>
          </w:p>
        </w:tc>
      </w:tr>
      <w:tr>
        <w:trPr>
          <w:trHeight w:val="255"/>
        </w:trPr>
        <w:tc>
          <w:tcPr>
            <w:tcW w:w="6640" w:type="dxa"/>
            <w:vAlign w:val="bottom"/>
            <w:tcBorders>
              <w:bottom w:val="single" w:sz="8" w:color="808080"/>
            </w:tcBorders>
            <w:shd w:val="clear" w:color="auto" w:fill="E7E7E8"/>
          </w:tcPr>
          <w:p>
            <w:pPr>
              <w:ind w:left="60"/>
              <w:spacing w:after="0"/>
              <w:rPr>
                <w:sz w:val="20"/>
                <w:szCs w:val="20"/>
                <w:color w:val="auto"/>
              </w:rPr>
            </w:pPr>
            <w:r>
              <w:rPr>
                <w:rFonts w:ascii="Arial" w:cs="Arial" w:eastAsia="Arial" w:hAnsi="Arial"/>
                <w:sz w:val="15"/>
                <w:szCs w:val="15"/>
                <w:color w:val="auto"/>
              </w:rPr>
              <w:t>Audit-Related Fees</w:t>
            </w:r>
          </w:p>
        </w:tc>
        <w:tc>
          <w:tcPr>
            <w:tcW w:w="160" w:type="dxa"/>
            <w:vAlign w:val="bottom"/>
            <w:tcBorders>
              <w:right w:val="single" w:sz="8" w:color="E7E7E8"/>
            </w:tcBorders>
            <w:shd w:val="clear" w:color="auto" w:fill="E7E7E8"/>
          </w:tcPr>
          <w:p>
            <w:pPr>
              <w:spacing w:after="0"/>
              <w:rPr>
                <w:sz w:val="22"/>
                <w:szCs w:val="22"/>
                <w:color w:val="auto"/>
              </w:rPr>
            </w:pPr>
          </w:p>
        </w:tc>
        <w:tc>
          <w:tcPr>
            <w:tcW w:w="1680" w:type="dxa"/>
            <w:vAlign w:val="bottom"/>
            <w:tcBorders>
              <w:bottom w:val="single" w:sz="8" w:color="808080"/>
            </w:tcBorders>
            <w:shd w:val="clear" w:color="auto" w:fill="E7E7E8"/>
          </w:tcPr>
          <w:p>
            <w:pPr>
              <w:jc w:val="right"/>
              <w:spacing w:after="0" w:line="255" w:lineRule="exact"/>
              <w:rPr>
                <w:sz w:val="20"/>
                <w:szCs w:val="20"/>
                <w:color w:val="auto"/>
              </w:rPr>
            </w:pPr>
            <w:r>
              <w:rPr>
                <w:rFonts w:ascii="Arial" w:cs="Arial" w:eastAsia="Arial" w:hAnsi="Arial"/>
                <w:sz w:val="15"/>
                <w:szCs w:val="15"/>
                <w:color w:val="auto"/>
              </w:rPr>
              <w:t>560,438</w:t>
            </w:r>
            <w:r>
              <w:rPr>
                <w:rFonts w:ascii="Arial" w:cs="Arial" w:eastAsia="Arial" w:hAnsi="Arial"/>
                <w:sz w:val="24"/>
                <w:szCs w:val="24"/>
                <w:color w:val="auto"/>
                <w:vertAlign w:val="superscript"/>
              </w:rPr>
              <w:t>2</w:t>
            </w:r>
          </w:p>
        </w:tc>
        <w:tc>
          <w:tcPr>
            <w:tcW w:w="160" w:type="dxa"/>
            <w:vAlign w:val="bottom"/>
            <w:tcBorders>
              <w:right w:val="single" w:sz="8" w:color="E7E7E8"/>
            </w:tcBorders>
            <w:shd w:val="clear" w:color="auto" w:fill="E7E7E8"/>
          </w:tcPr>
          <w:p>
            <w:pPr>
              <w:spacing w:after="0"/>
              <w:rPr>
                <w:sz w:val="22"/>
                <w:szCs w:val="22"/>
                <w:color w:val="auto"/>
              </w:rPr>
            </w:pPr>
          </w:p>
        </w:tc>
        <w:tc>
          <w:tcPr>
            <w:tcW w:w="540" w:type="dxa"/>
            <w:vAlign w:val="bottom"/>
            <w:tcBorders>
              <w:bottom w:val="single" w:sz="8" w:color="808080"/>
            </w:tcBorders>
            <w:shd w:val="clear" w:color="auto" w:fill="E7E7E8"/>
          </w:tcPr>
          <w:p>
            <w:pPr>
              <w:spacing w:after="0"/>
              <w:rPr>
                <w:sz w:val="22"/>
                <w:szCs w:val="22"/>
                <w:color w:val="auto"/>
              </w:rPr>
            </w:pPr>
          </w:p>
        </w:tc>
        <w:tc>
          <w:tcPr>
            <w:tcW w:w="80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374,191</w:t>
            </w:r>
          </w:p>
        </w:tc>
        <w:tc>
          <w:tcPr>
            <w:tcW w:w="160" w:type="dxa"/>
            <w:vAlign w:val="bottom"/>
            <w:tcBorders>
              <w:right w:val="single" w:sz="8" w:color="E7E7E8"/>
            </w:tcBorders>
            <w:shd w:val="clear" w:color="auto" w:fill="E7E7E8"/>
          </w:tcPr>
          <w:p>
            <w:pPr>
              <w:spacing w:after="0"/>
              <w:rPr>
                <w:sz w:val="22"/>
                <w:szCs w:val="22"/>
                <w:color w:val="auto"/>
              </w:rPr>
            </w:pPr>
          </w:p>
        </w:tc>
        <w:tc>
          <w:tcPr>
            <w:tcW w:w="110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934,629</w:t>
            </w:r>
          </w:p>
        </w:tc>
        <w:tc>
          <w:tcPr>
            <w:tcW w:w="0" w:type="dxa"/>
            <w:vAlign w:val="bottom"/>
          </w:tcPr>
          <w:p>
            <w:pPr>
              <w:spacing w:after="0"/>
              <w:rPr>
                <w:sz w:val="1"/>
                <w:szCs w:val="1"/>
                <w:color w:val="auto"/>
              </w:rPr>
            </w:pPr>
          </w:p>
        </w:tc>
      </w:tr>
      <w:tr>
        <w:trPr>
          <w:trHeight w:val="255"/>
        </w:trPr>
        <w:tc>
          <w:tcPr>
            <w:tcW w:w="6640" w:type="dxa"/>
            <w:vAlign w:val="bottom"/>
            <w:tcBorders>
              <w:bottom w:val="single" w:sz="8" w:color="808080"/>
            </w:tcBorders>
          </w:tcPr>
          <w:p>
            <w:pPr>
              <w:ind w:left="60"/>
              <w:spacing w:after="0"/>
              <w:rPr>
                <w:sz w:val="20"/>
                <w:szCs w:val="20"/>
                <w:color w:val="auto"/>
              </w:rPr>
            </w:pPr>
            <w:r>
              <w:rPr>
                <w:rFonts w:ascii="Arial" w:cs="Arial" w:eastAsia="Arial" w:hAnsi="Arial"/>
                <w:sz w:val="15"/>
                <w:szCs w:val="15"/>
                <w:color w:val="auto"/>
              </w:rPr>
              <w:t>Tax Fees</w:t>
            </w:r>
          </w:p>
        </w:tc>
        <w:tc>
          <w:tcPr>
            <w:tcW w:w="160" w:type="dxa"/>
            <w:vAlign w:val="bottom"/>
            <w:tcBorders>
              <w:bottom w:val="single" w:sz="8" w:color="E7E7E8"/>
            </w:tcBorders>
          </w:tcPr>
          <w:p>
            <w:pPr>
              <w:spacing w:after="0"/>
              <w:rPr>
                <w:sz w:val="22"/>
                <w:szCs w:val="22"/>
                <w:color w:val="auto"/>
              </w:rPr>
            </w:pPr>
          </w:p>
        </w:tc>
        <w:tc>
          <w:tcPr>
            <w:tcW w:w="1680" w:type="dxa"/>
            <w:vAlign w:val="bottom"/>
            <w:tcBorders>
              <w:bottom w:val="single" w:sz="8" w:color="808080"/>
            </w:tcBorders>
          </w:tcPr>
          <w:p>
            <w:pPr>
              <w:jc w:val="right"/>
              <w:spacing w:after="0" w:line="255" w:lineRule="exact"/>
              <w:rPr>
                <w:sz w:val="20"/>
                <w:szCs w:val="20"/>
                <w:color w:val="auto"/>
              </w:rPr>
            </w:pPr>
            <w:r>
              <w:rPr>
                <w:rFonts w:ascii="Arial" w:cs="Arial" w:eastAsia="Arial" w:hAnsi="Arial"/>
                <w:sz w:val="15"/>
                <w:szCs w:val="15"/>
                <w:color w:val="auto"/>
              </w:rPr>
              <w:t>3,668,444</w:t>
            </w:r>
            <w:r>
              <w:rPr>
                <w:rFonts w:ascii="Arial" w:cs="Arial" w:eastAsia="Arial" w:hAnsi="Arial"/>
                <w:sz w:val="24"/>
                <w:szCs w:val="24"/>
                <w:color w:val="auto"/>
                <w:vertAlign w:val="superscript"/>
              </w:rPr>
              <w:t>3</w:t>
            </w:r>
          </w:p>
        </w:tc>
        <w:tc>
          <w:tcPr>
            <w:tcW w:w="160" w:type="dxa"/>
            <w:vAlign w:val="bottom"/>
            <w:tcBorders>
              <w:bottom w:val="single" w:sz="8" w:color="E7E7E8"/>
            </w:tcBorders>
          </w:tcPr>
          <w:p>
            <w:pPr>
              <w:spacing w:after="0"/>
              <w:rPr>
                <w:sz w:val="22"/>
                <w:szCs w:val="22"/>
                <w:color w:val="auto"/>
              </w:rPr>
            </w:pPr>
          </w:p>
        </w:tc>
        <w:tc>
          <w:tcPr>
            <w:tcW w:w="540" w:type="dxa"/>
            <w:vAlign w:val="bottom"/>
            <w:tcBorders>
              <w:bottom w:val="single" w:sz="8" w:color="808080"/>
            </w:tcBorders>
          </w:tcPr>
          <w:p>
            <w:pPr>
              <w:spacing w:after="0"/>
              <w:rPr>
                <w:sz w:val="22"/>
                <w:szCs w:val="22"/>
                <w:color w:val="auto"/>
              </w:rPr>
            </w:pPr>
          </w:p>
        </w:tc>
        <w:tc>
          <w:tcPr>
            <w:tcW w:w="80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w w:val="95"/>
              </w:rPr>
              <w:t>12,186,699</w:t>
            </w:r>
          </w:p>
        </w:tc>
        <w:tc>
          <w:tcPr>
            <w:tcW w:w="160" w:type="dxa"/>
            <w:vAlign w:val="bottom"/>
            <w:tcBorders>
              <w:bottom w:val="single" w:sz="8" w:color="E7E7E8"/>
            </w:tcBorders>
          </w:tcPr>
          <w:p>
            <w:pPr>
              <w:spacing w:after="0"/>
              <w:rPr>
                <w:sz w:val="22"/>
                <w:szCs w:val="22"/>
                <w:color w:val="auto"/>
              </w:rPr>
            </w:pPr>
          </w:p>
        </w:tc>
        <w:tc>
          <w:tcPr>
            <w:tcW w:w="110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15,855,143</w:t>
            </w:r>
          </w:p>
        </w:tc>
        <w:tc>
          <w:tcPr>
            <w:tcW w:w="0" w:type="dxa"/>
            <w:vAlign w:val="bottom"/>
          </w:tcPr>
          <w:p>
            <w:pPr>
              <w:spacing w:after="0"/>
              <w:rPr>
                <w:sz w:val="1"/>
                <w:szCs w:val="1"/>
                <w:color w:val="auto"/>
              </w:rPr>
            </w:pPr>
          </w:p>
        </w:tc>
      </w:tr>
      <w:tr>
        <w:trPr>
          <w:trHeight w:val="255"/>
        </w:trPr>
        <w:tc>
          <w:tcPr>
            <w:tcW w:w="6800" w:type="dxa"/>
            <w:vAlign w:val="bottom"/>
            <w:tcBorders>
              <w:right w:val="single" w:sz="8" w:color="E7E7E8"/>
            </w:tcBorders>
            <w:gridSpan w:val="2"/>
            <w:shd w:val="clear" w:color="auto" w:fill="E7E7E8"/>
          </w:tcPr>
          <w:p>
            <w:pPr>
              <w:ind w:left="60"/>
              <w:spacing w:after="0"/>
              <w:rPr>
                <w:sz w:val="20"/>
                <w:szCs w:val="20"/>
                <w:color w:val="auto"/>
              </w:rPr>
            </w:pPr>
            <w:r>
              <w:rPr>
                <w:rFonts w:ascii="Arial" w:cs="Arial" w:eastAsia="Arial" w:hAnsi="Arial"/>
                <w:sz w:val="15"/>
                <w:szCs w:val="15"/>
                <w:color w:val="auto"/>
              </w:rPr>
              <w:t>All Other Fees</w:t>
            </w:r>
          </w:p>
        </w:tc>
        <w:tc>
          <w:tcPr>
            <w:tcW w:w="1680" w:type="dxa"/>
            <w:vAlign w:val="bottom"/>
            <w:shd w:val="clear" w:color="auto" w:fill="E7E7E8"/>
          </w:tcPr>
          <w:p>
            <w:pPr>
              <w:jc w:val="right"/>
              <w:spacing w:after="0" w:line="255" w:lineRule="exact"/>
              <w:rPr>
                <w:sz w:val="20"/>
                <w:szCs w:val="20"/>
                <w:color w:val="auto"/>
              </w:rPr>
            </w:pPr>
            <w:r>
              <w:rPr>
                <w:rFonts w:ascii="Arial" w:cs="Arial" w:eastAsia="Arial" w:hAnsi="Arial"/>
                <w:sz w:val="15"/>
                <w:szCs w:val="15"/>
                <w:color w:val="auto"/>
              </w:rPr>
              <w:t>90,800</w:t>
            </w:r>
            <w:r>
              <w:rPr>
                <w:rFonts w:ascii="Arial" w:cs="Arial" w:eastAsia="Arial" w:hAnsi="Arial"/>
                <w:sz w:val="24"/>
                <w:szCs w:val="24"/>
                <w:color w:val="auto"/>
                <w:vertAlign w:val="superscript"/>
              </w:rPr>
              <w:t>4</w:t>
            </w:r>
          </w:p>
        </w:tc>
        <w:tc>
          <w:tcPr>
            <w:tcW w:w="160" w:type="dxa"/>
            <w:vAlign w:val="bottom"/>
            <w:tcBorders>
              <w:right w:val="single" w:sz="8" w:color="E7E7E8"/>
            </w:tcBorders>
            <w:shd w:val="clear" w:color="auto" w:fill="E7E7E8"/>
          </w:tcPr>
          <w:p>
            <w:pPr>
              <w:spacing w:after="0"/>
              <w:rPr>
                <w:sz w:val="22"/>
                <w:szCs w:val="22"/>
                <w:color w:val="auto"/>
              </w:rPr>
            </w:pPr>
          </w:p>
        </w:tc>
        <w:tc>
          <w:tcPr>
            <w:tcW w:w="540" w:type="dxa"/>
            <w:vAlign w:val="bottom"/>
            <w:shd w:val="clear" w:color="auto" w:fill="E7E7E8"/>
          </w:tcPr>
          <w:p>
            <w:pPr>
              <w:spacing w:after="0"/>
              <w:rPr>
                <w:sz w:val="22"/>
                <w:szCs w:val="22"/>
                <w:color w:val="auto"/>
              </w:rPr>
            </w:pPr>
          </w:p>
        </w:tc>
        <w:tc>
          <w:tcPr>
            <w:tcW w:w="960" w:type="dxa"/>
            <w:vAlign w:val="bottom"/>
            <w:tcBorders>
              <w:right w:val="single" w:sz="8" w:color="E7E7E8"/>
            </w:tcBorders>
            <w:gridSpan w:val="2"/>
            <w:shd w:val="clear" w:color="auto" w:fill="E7E7E8"/>
          </w:tcPr>
          <w:p>
            <w:pPr>
              <w:jc w:val="right"/>
              <w:ind w:right="220"/>
              <w:spacing w:after="0"/>
              <w:rPr>
                <w:sz w:val="20"/>
                <w:szCs w:val="20"/>
                <w:color w:val="auto"/>
              </w:rPr>
            </w:pPr>
            <w:r>
              <w:rPr>
                <w:rFonts w:ascii="Arial" w:cs="Arial" w:eastAsia="Arial" w:hAnsi="Arial"/>
                <w:sz w:val="15"/>
                <w:szCs w:val="15"/>
                <w:color w:val="auto"/>
              </w:rPr>
              <w:t>—</w:t>
            </w:r>
          </w:p>
        </w:tc>
        <w:tc>
          <w:tcPr>
            <w:tcW w:w="1100" w:type="dxa"/>
            <w:vAlign w:val="bottom"/>
            <w:shd w:val="clear" w:color="auto" w:fill="E7E7E8"/>
          </w:tcPr>
          <w:p>
            <w:pPr>
              <w:jc w:val="right"/>
              <w:spacing w:after="0"/>
              <w:rPr>
                <w:sz w:val="20"/>
                <w:szCs w:val="20"/>
                <w:color w:val="auto"/>
              </w:rPr>
            </w:pPr>
            <w:r>
              <w:rPr>
                <w:rFonts w:ascii="Arial" w:cs="Arial" w:eastAsia="Arial" w:hAnsi="Arial"/>
                <w:sz w:val="15"/>
                <w:szCs w:val="15"/>
                <w:color w:val="auto"/>
              </w:rPr>
              <w:t>90,800</w:t>
            </w:r>
          </w:p>
        </w:tc>
        <w:tc>
          <w:tcPr>
            <w:tcW w:w="0" w:type="dxa"/>
            <w:vAlign w:val="bottom"/>
          </w:tcPr>
          <w:p>
            <w:pPr>
              <w:spacing w:after="0"/>
              <w:rPr>
                <w:sz w:val="1"/>
                <w:szCs w:val="1"/>
                <w:color w:val="auto"/>
              </w:rPr>
            </w:pPr>
          </w:p>
        </w:tc>
      </w:tr>
      <w:tr>
        <w:trPr>
          <w:trHeight w:val="210"/>
        </w:trPr>
        <w:tc>
          <w:tcPr>
            <w:tcW w:w="6640" w:type="dxa"/>
            <w:vAlign w:val="bottom"/>
            <w:tcBorders>
              <w:top w:val="single" w:sz="8" w:color="808080"/>
              <w:bottom w:val="single" w:sz="8" w:color="808080"/>
            </w:tcBorders>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Borders>
              <w:top w:val="single" w:sz="8" w:color="808080"/>
              <w:bottom w:val="single" w:sz="8" w:color="808080"/>
            </w:tcBorders>
          </w:tcPr>
          <w:p>
            <w:pPr>
              <w:jc w:val="right"/>
              <w:ind w:right="70"/>
              <w:spacing w:after="0"/>
              <w:rPr>
                <w:sz w:val="20"/>
                <w:szCs w:val="20"/>
                <w:color w:val="auto"/>
              </w:rPr>
            </w:pPr>
            <w:r>
              <w:rPr>
                <w:rFonts w:ascii="Arial" w:cs="Arial" w:eastAsia="Arial" w:hAnsi="Arial"/>
                <w:sz w:val="15"/>
                <w:szCs w:val="15"/>
                <w:color w:val="auto"/>
              </w:rPr>
              <w:t>$11,114,287</w:t>
            </w:r>
          </w:p>
        </w:tc>
        <w:tc>
          <w:tcPr>
            <w:tcW w:w="160" w:type="dxa"/>
            <w:vAlign w:val="bottom"/>
          </w:tcPr>
          <w:p>
            <w:pPr>
              <w:spacing w:after="0"/>
              <w:rPr>
                <w:sz w:val="18"/>
                <w:szCs w:val="18"/>
                <w:color w:val="auto"/>
              </w:rPr>
            </w:pPr>
          </w:p>
        </w:tc>
        <w:tc>
          <w:tcPr>
            <w:tcW w:w="1340" w:type="dxa"/>
            <w:vAlign w:val="bottom"/>
            <w:tcBorders>
              <w:top w:val="single" w:sz="8" w:color="808080"/>
              <w:bottom w:val="single" w:sz="8" w:color="808080"/>
            </w:tcBorders>
            <w:gridSpan w:val="2"/>
          </w:tcPr>
          <w:p>
            <w:pPr>
              <w:jc w:val="right"/>
              <w:spacing w:after="0"/>
              <w:rPr>
                <w:sz w:val="20"/>
                <w:szCs w:val="20"/>
                <w:color w:val="auto"/>
              </w:rPr>
            </w:pPr>
            <w:r>
              <w:rPr>
                <w:rFonts w:ascii="Arial" w:cs="Arial" w:eastAsia="Arial" w:hAnsi="Arial"/>
                <w:sz w:val="15"/>
                <w:szCs w:val="15"/>
                <w:color w:val="auto"/>
              </w:rPr>
              <w:t>$16,960,890</w:t>
            </w:r>
          </w:p>
        </w:tc>
        <w:tc>
          <w:tcPr>
            <w:tcW w:w="160" w:type="dxa"/>
            <w:vAlign w:val="bottom"/>
          </w:tcPr>
          <w:p>
            <w:pPr>
              <w:spacing w:after="0"/>
              <w:rPr>
                <w:sz w:val="18"/>
                <w:szCs w:val="18"/>
                <w:color w:val="auto"/>
              </w:rPr>
            </w:pPr>
          </w:p>
        </w:tc>
        <w:tc>
          <w:tcPr>
            <w:tcW w:w="11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5"/>
                <w:szCs w:val="15"/>
                <w:color w:val="auto"/>
              </w:rPr>
              <w:t>$28,075,177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-1903730</wp:posOffset>
            </wp:positionV>
            <wp:extent cx="95250" cy="17462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95250" cy="174625"/>
                    </a:xfrm>
                    <a:prstGeom prst="rect">
                      <a:avLst/>
                    </a:prstGeom>
                    <a:noFill/>
                  </pic:spPr>
                </pic:pic>
              </a:graphicData>
            </a:graphic>
          </wp:anchor>
        </w:drawing>
        <w:drawing>
          <wp:anchor simplePos="0" relativeHeight="251657728" behindDoc="1" locked="0" layoutInCell="0" allowOverlap="1">
            <wp:simplePos x="0" y="0"/>
            <wp:positionH relativeFrom="column">
              <wp:posOffset>5380990</wp:posOffset>
            </wp:positionH>
            <wp:positionV relativeFrom="paragraph">
              <wp:posOffset>-1903730</wp:posOffset>
            </wp:positionV>
            <wp:extent cx="95250" cy="17462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95250" cy="17462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-1903730</wp:posOffset>
            </wp:positionV>
            <wp:extent cx="95250" cy="17462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95250" cy="17462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-1555115</wp:posOffset>
            </wp:positionV>
            <wp:extent cx="95250" cy="17462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95250" cy="174625"/>
                    </a:xfrm>
                    <a:prstGeom prst="rect">
                      <a:avLst/>
                    </a:prstGeom>
                    <a:noFill/>
                  </pic:spPr>
                </pic:pic>
              </a:graphicData>
            </a:graphic>
          </wp:anchor>
        </w:drawing>
        <w:drawing>
          <wp:anchor simplePos="0" relativeHeight="251657728" behindDoc="1" locked="0" layoutInCell="0" allowOverlap="1">
            <wp:simplePos x="0" y="0"/>
            <wp:positionH relativeFrom="column">
              <wp:posOffset>5380990</wp:posOffset>
            </wp:positionH>
            <wp:positionV relativeFrom="paragraph">
              <wp:posOffset>-1555115</wp:posOffset>
            </wp:positionV>
            <wp:extent cx="95250" cy="17462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95250" cy="17462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-1555115</wp:posOffset>
            </wp:positionV>
            <wp:extent cx="95250" cy="17462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95250" cy="17462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-681990</wp:posOffset>
            </wp:positionV>
            <wp:extent cx="95250" cy="17462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95250" cy="174625"/>
                    </a:xfrm>
                    <a:prstGeom prst="rect">
                      <a:avLst/>
                    </a:prstGeom>
                    <a:noFill/>
                  </pic:spPr>
                </pic:pic>
              </a:graphicData>
            </a:graphic>
          </wp:anchor>
        </w:drawing>
        <w:drawing>
          <wp:anchor simplePos="0" relativeHeight="251657728" behindDoc="1" locked="0" layoutInCell="0" allowOverlap="1">
            <wp:simplePos x="0" y="0"/>
            <wp:positionH relativeFrom="column">
              <wp:posOffset>5380990</wp:posOffset>
            </wp:positionH>
            <wp:positionV relativeFrom="paragraph">
              <wp:posOffset>-681990</wp:posOffset>
            </wp:positionV>
            <wp:extent cx="95250" cy="17462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95250" cy="17462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-681990</wp:posOffset>
            </wp:positionV>
            <wp:extent cx="95250" cy="17462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95250" cy="17462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-332740</wp:posOffset>
            </wp:positionV>
            <wp:extent cx="95250" cy="17462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95250" cy="174625"/>
                    </a:xfrm>
                    <a:prstGeom prst="rect">
                      <a:avLst/>
                    </a:prstGeom>
                    <a:noFill/>
                  </pic:spPr>
                </pic:pic>
              </a:graphicData>
            </a:graphic>
          </wp:anchor>
        </w:drawing>
        <w:drawing>
          <wp:anchor simplePos="0" relativeHeight="251657728" behindDoc="1" locked="0" layoutInCell="0" allowOverlap="1">
            <wp:simplePos x="0" y="0"/>
            <wp:positionH relativeFrom="column">
              <wp:posOffset>5380990</wp:posOffset>
            </wp:positionH>
            <wp:positionV relativeFrom="paragraph">
              <wp:posOffset>-332740</wp:posOffset>
            </wp:positionV>
            <wp:extent cx="95250" cy="17462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95250" cy="17462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-332740</wp:posOffset>
            </wp:positionV>
            <wp:extent cx="95250" cy="17462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95250" cy="174625"/>
                    </a:xfrm>
                    <a:prstGeom prst="rect">
                      <a:avLst/>
                    </a:prstGeom>
                    <a:noFill/>
                  </pic:spPr>
                </pic:pic>
              </a:graphicData>
            </a:graphic>
          </wp:anchor>
        </w:drawing>
      </w:r>
    </w:p>
    <w:p>
      <w:pPr>
        <w:spacing w:after="0" w:line="122" w:lineRule="exact"/>
        <w:rPr>
          <w:sz w:val="20"/>
          <w:szCs w:val="20"/>
          <w:color w:val="auto"/>
        </w:rPr>
      </w:pPr>
    </w:p>
    <w:p>
      <w:pPr>
        <w:ind w:left="300" w:right="540" w:hanging="300"/>
        <w:spacing w:after="0" w:line="193" w:lineRule="auto"/>
        <w:tabs>
          <w:tab w:leader="none" w:pos="300" w:val="left"/>
        </w:tabs>
        <w:numPr>
          <w:ilvl w:val="0"/>
          <w:numId w:val="124"/>
        </w:numPr>
        <w:rPr>
          <w:rFonts w:ascii="Arial" w:cs="Arial" w:eastAsia="Arial" w:hAnsi="Arial"/>
          <w:sz w:val="22"/>
          <w:szCs w:val="22"/>
          <w:color w:val="auto"/>
          <w:vertAlign w:val="superscript"/>
        </w:rPr>
      </w:pPr>
      <w:r>
        <w:rPr>
          <w:rFonts w:ascii="Arial" w:cs="Arial" w:eastAsia="Arial" w:hAnsi="Arial"/>
          <w:sz w:val="13"/>
          <w:szCs w:val="13"/>
          <w:color w:val="auto"/>
        </w:rPr>
        <w:t>Aggregate fees charged for annual audits, quarterly reviews, and the reports of the independent registered public accounting firm on internal control over financial reporting as of December 31, 2023, and 2022.</w:t>
      </w:r>
    </w:p>
    <w:p>
      <w:pPr>
        <w:spacing w:after="0" w:line="39" w:lineRule="exact"/>
        <w:rPr>
          <w:sz w:val="20"/>
          <w:szCs w:val="20"/>
          <w:color w:val="auto"/>
        </w:rPr>
      </w:pPr>
    </w:p>
    <w:p>
      <w:pPr>
        <w:ind w:left="300" w:right="360" w:hanging="300"/>
        <w:spacing w:after="0" w:line="206" w:lineRule="auto"/>
        <w:tabs>
          <w:tab w:leader="none" w:pos="300" w:val="left"/>
        </w:tabs>
        <w:numPr>
          <w:ilvl w:val="0"/>
          <w:numId w:val="125"/>
        </w:numPr>
        <w:rPr>
          <w:rFonts w:ascii="Arial" w:cs="Arial" w:eastAsia="Arial" w:hAnsi="Arial"/>
          <w:sz w:val="22"/>
          <w:szCs w:val="22"/>
          <w:color w:val="auto"/>
          <w:vertAlign w:val="superscript"/>
        </w:rPr>
      </w:pPr>
      <w:r>
        <w:rPr>
          <w:rFonts w:ascii="Arial" w:cs="Arial" w:eastAsia="Arial" w:hAnsi="Arial"/>
          <w:sz w:val="13"/>
          <w:szCs w:val="13"/>
          <w:color w:val="auto"/>
        </w:rPr>
        <w:t>Aggregate fees charged for assurance and related services that are reasonably related to the performance of the audit and are not reported as Audit Fees. In 2023 and 2022, these services included audits of several affiliated entities, including the corporate retirement plans, the T. Rowe Price Foundation, Inc., regulatory attestation engagements, and fees for consultations concerning financial accounting and reporting matters.</w:t>
      </w:r>
    </w:p>
    <w:p>
      <w:pPr>
        <w:spacing w:after="0" w:line="39" w:lineRule="exact"/>
        <w:rPr>
          <w:sz w:val="20"/>
          <w:szCs w:val="20"/>
          <w:color w:val="auto"/>
        </w:rPr>
      </w:pPr>
    </w:p>
    <w:p>
      <w:pPr>
        <w:ind w:left="300" w:right="280" w:hanging="300"/>
        <w:spacing w:after="0" w:line="206" w:lineRule="auto"/>
        <w:tabs>
          <w:tab w:leader="none" w:pos="300" w:val="left"/>
        </w:tabs>
        <w:numPr>
          <w:ilvl w:val="0"/>
          <w:numId w:val="126"/>
        </w:numPr>
        <w:rPr>
          <w:rFonts w:ascii="Arial" w:cs="Arial" w:eastAsia="Arial" w:hAnsi="Arial"/>
          <w:sz w:val="22"/>
          <w:szCs w:val="22"/>
          <w:color w:val="auto"/>
          <w:vertAlign w:val="superscript"/>
        </w:rPr>
      </w:pPr>
      <w:r>
        <w:rPr>
          <w:rFonts w:ascii="Arial" w:cs="Arial" w:eastAsia="Arial" w:hAnsi="Arial"/>
          <w:sz w:val="13"/>
          <w:szCs w:val="13"/>
          <w:color w:val="auto"/>
        </w:rPr>
        <w:t>Aggregate fees charged for tax compliance, planning, and consulting. For 2023, the $3,388,092 includes (1) $2,084,810 of tax compliance and preparation, and (2) $1,303,282 of tax planning and consulting. For 2022, the $3,668,444 includes (1) $1,649,797 of tax compliance and preparation, (2) $903,123 of tax planning and consulting, and (3) $1,115,524 of acquisition-related due diligence and consulting.</w:t>
      </w:r>
    </w:p>
    <w:p>
      <w:pPr>
        <w:spacing w:after="0" w:line="39" w:lineRule="exact"/>
        <w:rPr>
          <w:sz w:val="20"/>
          <w:szCs w:val="20"/>
          <w:color w:val="auto"/>
        </w:rPr>
      </w:pPr>
    </w:p>
    <w:p>
      <w:pPr>
        <w:ind w:left="300" w:right="280" w:hanging="300"/>
        <w:spacing w:after="0" w:line="193" w:lineRule="auto"/>
        <w:tabs>
          <w:tab w:leader="none" w:pos="300" w:val="left"/>
        </w:tabs>
        <w:numPr>
          <w:ilvl w:val="0"/>
          <w:numId w:val="127"/>
        </w:numPr>
        <w:rPr>
          <w:rFonts w:ascii="Arial" w:cs="Arial" w:eastAsia="Arial" w:hAnsi="Arial"/>
          <w:sz w:val="22"/>
          <w:szCs w:val="22"/>
          <w:color w:val="auto"/>
          <w:vertAlign w:val="superscript"/>
        </w:rPr>
      </w:pPr>
      <w:r>
        <w:rPr>
          <w:rFonts w:ascii="Arial" w:cs="Arial" w:eastAsia="Arial" w:hAnsi="Arial"/>
          <w:sz w:val="13"/>
          <w:szCs w:val="13"/>
          <w:color w:val="auto"/>
        </w:rPr>
        <w:t>Both 2023 and 2022 include fees for KPMG's performance of attestation engagements related to our compliance with the Global Investment Performance Standards (GIPS) and fees related to executive education.</w:t>
      </w:r>
    </w:p>
    <w:p>
      <w:pPr>
        <w:spacing w:after="0" w:line="39" w:lineRule="exact"/>
        <w:rPr>
          <w:sz w:val="20"/>
          <w:szCs w:val="20"/>
          <w:color w:val="auto"/>
        </w:rPr>
      </w:pPr>
    </w:p>
    <w:p>
      <w:pPr>
        <w:jc w:val="both"/>
        <w:ind w:left="300" w:right="100" w:hanging="300"/>
        <w:spacing w:after="0" w:line="206" w:lineRule="auto"/>
        <w:tabs>
          <w:tab w:leader="none" w:pos="300" w:val="left"/>
        </w:tabs>
        <w:numPr>
          <w:ilvl w:val="0"/>
          <w:numId w:val="128"/>
        </w:numPr>
        <w:rPr>
          <w:rFonts w:ascii="Arial" w:cs="Arial" w:eastAsia="Arial" w:hAnsi="Arial"/>
          <w:sz w:val="22"/>
          <w:szCs w:val="22"/>
          <w:color w:val="auto"/>
          <w:vertAlign w:val="superscript"/>
        </w:rPr>
      </w:pPr>
      <w:r>
        <w:rPr>
          <w:rFonts w:ascii="Arial" w:cs="Arial" w:eastAsia="Arial" w:hAnsi="Arial"/>
          <w:sz w:val="13"/>
          <w:szCs w:val="13"/>
          <w:color w:val="auto"/>
        </w:rPr>
        <w:t>Aggregated fees charged to certain OHA Funds for audit, audit-related, and tax services (primarily tax compliance and related services). Audit-related and tax fees also include financial due diligence services provided in connection with potential portfolio company acquisitions considered by OHA entities in their capacity as the fund's general partner. Audit fees for 2023 includes $350,000 related to 2022 additional fund audit work.</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60" w:type="dxa"/>
            <w:vAlign w:val="bottom"/>
          </w:tcPr>
          <w:p>
            <w:pPr>
              <w:ind w:left="9620"/>
              <w:spacing w:after="0"/>
              <w:rPr>
                <w:sz w:val="20"/>
                <w:szCs w:val="20"/>
                <w:color w:val="auto"/>
              </w:rPr>
            </w:pPr>
            <w:r>
              <w:rPr>
                <w:rFonts w:ascii="Times New Roman" w:cs="Times New Roman" w:eastAsia="Times New Roman" w:hAnsi="Times New Roman"/>
                <w:sz w:val="13"/>
                <w:szCs w:val="13"/>
                <w:b w:val="1"/>
                <w:bCs w:val="1"/>
                <w:color w:val="auto"/>
              </w:rPr>
              <w:t xml:space="preserve">2024 </w:t>
            </w:r>
            <w:r>
              <w:rPr>
                <w:rFonts w:ascii="Times New Roman" w:cs="Times New Roman" w:eastAsia="Times New Roman" w:hAnsi="Times New Roman"/>
                <w:sz w:val="13"/>
                <w:szCs w:val="13"/>
                <w:color w:val="auto"/>
              </w:rPr>
              <w:t>Proxy Statement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244F"/>
              </w:rPr>
              <w:t>75</w:t>
            </w:r>
          </w:p>
        </w:tc>
      </w:tr>
      <w:tr>
        <w:trPr>
          <w:trHeight w:val="385"/>
        </w:trPr>
        <w:tc>
          <w:tcPr>
            <w:tcW w:w="10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10" w:right="339" w:bottom="1440" w:gutter="0" w:footer="0" w:header="0"/>
        </w:sectPr>
      </w:pPr>
    </w:p>
    <w:bookmarkStart w:id="80" w:name="page81"/>
    <w:bookmarkEnd w:id="80"/>
    <w:p>
      <w:pPr>
        <w:spacing w:after="0"/>
        <w:rPr>
          <w:sz w:val="20"/>
          <w:szCs w:val="20"/>
          <w:color w:val="auto"/>
        </w:rPr>
      </w:pPr>
      <w:r>
        <w:rPr>
          <w:rFonts w:ascii="Arial" w:cs="Arial" w:eastAsia="Arial" w:hAnsi="Arial"/>
          <w:sz w:val="17"/>
          <w:szCs w:val="17"/>
          <w:u w:val="single" w:color="auto"/>
          <w:color w:val="0000EE"/>
        </w:rPr>
        <w:t>Table of Contents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254F"/>
        </w:rPr>
        <w:t>Audit Committee Preapproval Policies</w:t>
      </w:r>
    </w:p>
    <w:p>
      <w:pPr>
        <w:spacing w:after="0" w:line="212" w:lineRule="exact"/>
        <w:rPr>
          <w:sz w:val="20"/>
          <w:szCs w:val="20"/>
          <w:color w:val="auto"/>
        </w:rPr>
      </w:pPr>
    </w:p>
    <w:p>
      <w:pPr>
        <w:ind w:right="20"/>
        <w:spacing w:after="0" w:line="278" w:lineRule="auto"/>
        <w:rPr>
          <w:sz w:val="20"/>
          <w:szCs w:val="20"/>
          <w:color w:val="auto"/>
        </w:rPr>
      </w:pPr>
      <w:r>
        <w:rPr>
          <w:rFonts w:ascii="Arial" w:cs="Arial" w:eastAsia="Arial" w:hAnsi="Arial"/>
          <w:sz w:val="15"/>
          <w:szCs w:val="15"/>
          <w:color w:val="auto"/>
        </w:rPr>
        <w:t>The Audit Committee has adopted policies and procedures that set forth the manner in which the committee will review and approve all audit and non-audit services to be provided by the independent registered public accounting firm before that firm is retained for such services. The preapproval policies and procedures are as follows:</w:t>
      </w:r>
    </w:p>
    <w:p>
      <w:pPr>
        <w:spacing w:after="0" w:line="125" w:lineRule="exact"/>
        <w:rPr>
          <w:sz w:val="20"/>
          <w:szCs w:val="20"/>
          <w:color w:val="auto"/>
        </w:rPr>
      </w:pPr>
    </w:p>
    <w:p>
      <w:pPr>
        <w:ind w:left="300" w:right="20" w:hanging="300"/>
        <w:spacing w:after="0" w:line="252" w:lineRule="auto"/>
        <w:tabs>
          <w:tab w:leader="none" w:pos="300" w:val="left"/>
        </w:tabs>
        <w:numPr>
          <w:ilvl w:val="0"/>
          <w:numId w:val="129"/>
        </w:numPr>
        <w:rPr>
          <w:rFonts w:ascii="Arial" w:cs="Arial" w:eastAsia="Arial" w:hAnsi="Arial"/>
          <w:sz w:val="15"/>
          <w:szCs w:val="15"/>
          <w:color w:val="28C0DA"/>
        </w:rPr>
      </w:pPr>
      <w:r>
        <w:rPr>
          <w:rFonts w:ascii="Arial" w:cs="Arial" w:eastAsia="Arial" w:hAnsi="Arial"/>
          <w:sz w:val="15"/>
          <w:szCs w:val="15"/>
          <w:color w:val="auto"/>
        </w:rPr>
        <w:t>Any audit or non-audit service to be provided to Price Group by the independent registered public accounting firm must be submitted to the Audit Committee for review and approval. The proposed services are submitted on the Audit Committee's "Independent Registered Public Accounting Firm Audit and Non-audit Services Request Form" with a description of the services to be performed, fees to be charged, and affirmation that the services are not prohibited under Section 201 of the Sarbanes-Oxley Act of 2002. The form must be approved by Price Group's CEO and President, CFO, or the principal accounting officer prior to the submission to the Audit Committee.</w:t>
      </w:r>
    </w:p>
    <w:p>
      <w:pPr>
        <w:spacing w:after="0" w:line="44" w:lineRule="exact"/>
        <w:rPr>
          <w:rFonts w:ascii="Arial" w:cs="Arial" w:eastAsia="Arial" w:hAnsi="Arial"/>
          <w:sz w:val="15"/>
          <w:szCs w:val="15"/>
          <w:color w:val="28C0DA"/>
        </w:rPr>
      </w:pPr>
    </w:p>
    <w:p>
      <w:pPr>
        <w:ind w:left="300" w:hanging="300"/>
        <w:spacing w:after="0" w:line="278" w:lineRule="auto"/>
        <w:tabs>
          <w:tab w:leader="none" w:pos="300" w:val="left"/>
        </w:tabs>
        <w:numPr>
          <w:ilvl w:val="0"/>
          <w:numId w:val="129"/>
        </w:numPr>
        <w:rPr>
          <w:rFonts w:ascii="Arial" w:cs="Arial" w:eastAsia="Arial" w:hAnsi="Arial"/>
          <w:sz w:val="15"/>
          <w:szCs w:val="15"/>
          <w:color w:val="28C0DA"/>
        </w:rPr>
      </w:pPr>
      <w:r>
        <w:rPr>
          <w:rFonts w:ascii="Arial" w:cs="Arial" w:eastAsia="Arial" w:hAnsi="Arial"/>
          <w:sz w:val="15"/>
          <w:szCs w:val="15"/>
          <w:color w:val="auto"/>
        </w:rPr>
        <w:t>The Audit Committee, in its sole discretion then approves or disapproves the proposed services and documents such approval, if given, by signing the approval form. Preapproval actions taken during Audit Committee meetings are recorded in the minutes of the meetings.</w:t>
      </w:r>
    </w:p>
    <w:p>
      <w:pPr>
        <w:spacing w:after="0" w:line="25" w:lineRule="exact"/>
        <w:rPr>
          <w:rFonts w:ascii="Arial" w:cs="Arial" w:eastAsia="Arial" w:hAnsi="Arial"/>
          <w:sz w:val="15"/>
          <w:szCs w:val="15"/>
          <w:color w:val="28C0DA"/>
        </w:rPr>
      </w:pPr>
    </w:p>
    <w:p>
      <w:pPr>
        <w:ind w:left="300" w:right="120" w:hanging="300"/>
        <w:spacing w:after="0" w:line="261" w:lineRule="auto"/>
        <w:tabs>
          <w:tab w:leader="none" w:pos="300" w:val="left"/>
        </w:tabs>
        <w:numPr>
          <w:ilvl w:val="0"/>
          <w:numId w:val="129"/>
        </w:numPr>
        <w:rPr>
          <w:rFonts w:ascii="Arial" w:cs="Arial" w:eastAsia="Arial" w:hAnsi="Arial"/>
          <w:sz w:val="15"/>
          <w:szCs w:val="15"/>
          <w:color w:val="28C0DA"/>
        </w:rPr>
      </w:pPr>
      <w:r>
        <w:rPr>
          <w:rFonts w:ascii="Arial" w:cs="Arial" w:eastAsia="Arial" w:hAnsi="Arial"/>
          <w:sz w:val="15"/>
          <w:szCs w:val="15"/>
          <w:color w:val="auto"/>
        </w:rPr>
        <w:t>Any audit or non-audit service to be provided to Price Group that is proposed between meetings of the Audit Committee will be submitted to the Audit Committee chair on a properly completed "Independent Registered Public Accounting Firm Audit and Non-audit Services Request Form" for the chair's review and preapproval and will be included as an agenda item at the next scheduled Audit Committee meeting.</w:t>
      </w:r>
    </w:p>
    <w:p>
      <w:pPr>
        <w:spacing w:after="0" w:line="14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3"/>
          <w:szCs w:val="13"/>
          <w:b w:val="1"/>
          <w:bCs w:val="1"/>
          <w:color w:val="00244F"/>
        </w:rPr>
        <w:t>76</w:t>
      </w:r>
      <w:r>
        <w:rPr>
          <w:sz w:val="20"/>
          <w:szCs w:val="20"/>
          <w:color w:val="auto"/>
        </w:rPr>
        <w:tab/>
      </w:r>
      <w:r>
        <w:rPr>
          <w:rFonts w:ascii="Times New Roman" w:cs="Times New Roman" w:eastAsia="Times New Roman" w:hAnsi="Times New Roman"/>
          <w:sz w:val="13"/>
          <w:szCs w:val="13"/>
          <w:b w:val="1"/>
          <w:bCs w:val="1"/>
          <w:color w:val="00244F"/>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42480" cy="762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81" w:name="page82"/>
    <w:bookmarkEnd w:id="81"/>
    <w:p>
      <w:pPr>
        <w:spacing w:after="0"/>
        <w:rPr>
          <w:sz w:val="20"/>
          <w:szCs w:val="20"/>
          <w:color w:val="auto"/>
        </w:rPr>
      </w:pPr>
      <w:r>
        <w:rPr>
          <w:rFonts w:ascii="Arial" w:cs="Arial" w:eastAsia="Arial" w:hAnsi="Arial"/>
          <w:sz w:val="17"/>
          <w:szCs w:val="17"/>
          <w:u w:val="single" w:color="auto"/>
          <w:color w:val="0000EE"/>
        </w:rPr>
        <w:t>Table of Contents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254F"/>
        </w:rPr>
        <w:t>Report of the Audit Committee</w:t>
      </w:r>
    </w:p>
    <w:p>
      <w:pPr>
        <w:spacing w:after="0" w:line="212" w:lineRule="exact"/>
        <w:rPr>
          <w:sz w:val="20"/>
          <w:szCs w:val="20"/>
          <w:color w:val="auto"/>
        </w:rPr>
      </w:pPr>
    </w:p>
    <w:p>
      <w:pPr>
        <w:ind w:right="20"/>
        <w:spacing w:after="0" w:line="249" w:lineRule="auto"/>
        <w:rPr>
          <w:sz w:val="20"/>
          <w:szCs w:val="20"/>
          <w:color w:val="auto"/>
        </w:rPr>
      </w:pPr>
      <w:r>
        <w:rPr>
          <w:rFonts w:ascii="Arial" w:cs="Arial" w:eastAsia="Arial" w:hAnsi="Arial"/>
          <w:sz w:val="15"/>
          <w:szCs w:val="15"/>
          <w:color w:val="auto"/>
        </w:rPr>
        <w:t>The Audit Committee oversees Price Group's financial reporting process on behalf of the Board. Our committee held seven meetings during 2023. Management has the primary responsibility for the financial statements and the reporting process, including internal controls over financial reporting. The independent registered public accounting firm is responsible for expressing an opinion as to whether Price Group's financial statements present fairly, in all material respects, the financial position and results of the Company in conformity with U.S. generally accepted accounting principles. We appointed KPMG as Price Group's independent registered public accounting firm for 2023 after reviewing the firm's performance and independence from management and that appointment was ratified by our stockholders at the 2023 Annual Meeting. We reappointed KPMG as Price Group's independent registered public accounting firm for fiscal year 2024 at our February 2024 meeting, after conducting the same set of reviews.</w:t>
      </w:r>
    </w:p>
    <w:p>
      <w:pPr>
        <w:spacing w:after="0" w:line="147" w:lineRule="exact"/>
        <w:rPr>
          <w:sz w:val="20"/>
          <w:szCs w:val="20"/>
          <w:color w:val="auto"/>
        </w:rPr>
      </w:pPr>
    </w:p>
    <w:p>
      <w:pPr>
        <w:ind w:right="40"/>
        <w:spacing w:after="0" w:line="249" w:lineRule="auto"/>
        <w:rPr>
          <w:sz w:val="20"/>
          <w:szCs w:val="20"/>
          <w:color w:val="auto"/>
        </w:rPr>
      </w:pPr>
      <w:r>
        <w:rPr>
          <w:rFonts w:ascii="Arial" w:cs="Arial" w:eastAsia="Arial" w:hAnsi="Arial"/>
          <w:sz w:val="15"/>
          <w:szCs w:val="15"/>
          <w:color w:val="auto"/>
        </w:rPr>
        <w:t>In fulfilling our oversight responsibilities, we reviewed and discussed with management the audited financial statements prior to their issuance and publication in the 2023 Annual Report on Form 10-K and in the 2023 Annual Report to Stockholders. We reviewed with KPMG its judgments as to the quality, not just the acceptability, of Price Group's accounting principles and discussed with its representatives other matters required to be discussed under generally accepted auditing standards, including matters required to be discussed by Public Company Accounting Oversight Board (PCAOB) Auditing Standard No. 1301-Communications with Audit Committees. We also discussed with KPMG its independence from management and Price Group and received its written disclosures pursuant to applicable requirements of the PCAOB regarding the independent accountant's communication with the Audit Committee concerning independence. We further considered whether the non-audit services described elsewhere in this proxy statement provided by KPMG are compatible with maintaining its independence.</w:t>
      </w:r>
    </w:p>
    <w:p>
      <w:pPr>
        <w:spacing w:after="0" w:line="147" w:lineRule="exact"/>
        <w:rPr>
          <w:sz w:val="20"/>
          <w:szCs w:val="20"/>
          <w:color w:val="auto"/>
        </w:rPr>
      </w:pPr>
    </w:p>
    <w:p>
      <w:pPr>
        <w:ind w:right="580"/>
        <w:spacing w:after="0" w:line="278" w:lineRule="auto"/>
        <w:rPr>
          <w:sz w:val="20"/>
          <w:szCs w:val="20"/>
          <w:color w:val="auto"/>
        </w:rPr>
      </w:pPr>
      <w:r>
        <w:rPr>
          <w:rFonts w:ascii="Arial" w:cs="Arial" w:eastAsia="Arial" w:hAnsi="Arial"/>
          <w:sz w:val="15"/>
          <w:szCs w:val="15"/>
          <w:color w:val="auto"/>
        </w:rPr>
        <w:t>We also discussed with management their evaluation of the effectiveness of Price Group's internal controls over financial reporting as of December 31, 2023. We discussed with KPMG its evaluation of the effectiveness of Price Group's internal controls over financial reporting.</w:t>
      </w:r>
    </w:p>
    <w:p>
      <w:pPr>
        <w:spacing w:after="0" w:line="125" w:lineRule="exact"/>
        <w:rPr>
          <w:sz w:val="20"/>
          <w:szCs w:val="20"/>
          <w:color w:val="auto"/>
        </w:rPr>
      </w:pPr>
    </w:p>
    <w:p>
      <w:pPr>
        <w:ind w:right="40"/>
        <w:spacing w:after="0" w:line="278" w:lineRule="auto"/>
        <w:rPr>
          <w:sz w:val="20"/>
          <w:szCs w:val="20"/>
          <w:color w:val="auto"/>
        </w:rPr>
      </w:pPr>
      <w:r>
        <w:rPr>
          <w:rFonts w:ascii="Arial" w:cs="Arial" w:eastAsia="Arial" w:hAnsi="Arial"/>
          <w:sz w:val="15"/>
          <w:szCs w:val="15"/>
          <w:color w:val="auto"/>
        </w:rPr>
        <w:t>We further discussed with Price Group's internal auditors and KPMG the overall scope and plans for their respective audits. We met with the internal auditors and KPMG, with and without management present, to discuss the results of their examinations and their evaluations of Price Group's internal controls.</w:t>
      </w:r>
    </w:p>
    <w:p>
      <w:pPr>
        <w:spacing w:after="0" w:line="125" w:lineRule="exact"/>
        <w:rPr>
          <w:sz w:val="20"/>
          <w:szCs w:val="20"/>
          <w:color w:val="auto"/>
        </w:rPr>
      </w:pPr>
    </w:p>
    <w:p>
      <w:pPr>
        <w:ind w:right="500"/>
        <w:spacing w:after="0" w:line="278" w:lineRule="auto"/>
        <w:rPr>
          <w:sz w:val="20"/>
          <w:szCs w:val="20"/>
          <w:color w:val="auto"/>
        </w:rPr>
      </w:pPr>
      <w:r>
        <w:rPr>
          <w:rFonts w:ascii="Arial" w:cs="Arial" w:eastAsia="Arial" w:hAnsi="Arial"/>
          <w:sz w:val="15"/>
          <w:szCs w:val="15"/>
          <w:color w:val="auto"/>
        </w:rPr>
        <w:t>Finally, as part of our responsibilities for oversight of Price Group's risk management process, we reviewed and discussed with the chief risk officer the Company's framework with respect to the risk assessment, including discussions of individual risk areas, as well as an annual summary of the overall process.</w:t>
      </w:r>
    </w:p>
    <w:p>
      <w:pPr>
        <w:spacing w:after="0" w:line="125" w:lineRule="exact"/>
        <w:rPr>
          <w:sz w:val="20"/>
          <w:szCs w:val="20"/>
          <w:color w:val="auto"/>
        </w:rPr>
      </w:pPr>
    </w:p>
    <w:p>
      <w:pPr>
        <w:ind w:right="20"/>
        <w:spacing w:after="0" w:line="278" w:lineRule="auto"/>
        <w:rPr>
          <w:sz w:val="20"/>
          <w:szCs w:val="20"/>
          <w:color w:val="auto"/>
        </w:rPr>
      </w:pPr>
      <w:r>
        <w:rPr>
          <w:rFonts w:ascii="Arial" w:cs="Arial" w:eastAsia="Arial" w:hAnsi="Arial"/>
          <w:sz w:val="15"/>
          <w:szCs w:val="15"/>
          <w:color w:val="auto"/>
        </w:rPr>
        <w:t>In reliance upon the reviews and discussions referred to above, we recommended to the Board, and the Board approved, the inclusion of the audited financial statements in the Annual Report on Form 10-K for the year ended December 31, 2023, for filing with the SEC.</w:t>
      </w:r>
    </w:p>
    <w:p>
      <w:pPr>
        <w:spacing w:after="0" w:line="325" w:lineRule="exact"/>
        <w:rPr>
          <w:sz w:val="20"/>
          <w:szCs w:val="20"/>
          <w:color w:val="auto"/>
        </w:rPr>
      </w:pPr>
    </w:p>
    <w:p>
      <w:pPr>
        <w:ind w:left="9340"/>
        <w:spacing w:after="0"/>
        <w:rPr>
          <w:sz w:val="20"/>
          <w:szCs w:val="20"/>
          <w:color w:val="auto"/>
        </w:rPr>
      </w:pPr>
      <w:r>
        <w:rPr>
          <w:rFonts w:ascii="Arial" w:cs="Arial" w:eastAsia="Arial" w:hAnsi="Arial"/>
          <w:sz w:val="15"/>
          <w:szCs w:val="15"/>
          <w:color w:val="auto"/>
        </w:rPr>
        <w:t>Mark S. Bartlett, Chair</w:t>
      </w:r>
    </w:p>
    <w:p>
      <w:pPr>
        <w:spacing w:after="0" w:line="16" w:lineRule="exact"/>
        <w:rPr>
          <w:sz w:val="20"/>
          <w:szCs w:val="20"/>
          <w:color w:val="auto"/>
        </w:rPr>
      </w:pPr>
    </w:p>
    <w:p>
      <w:pPr>
        <w:ind w:left="9340"/>
        <w:spacing w:after="0"/>
        <w:rPr>
          <w:sz w:val="20"/>
          <w:szCs w:val="20"/>
          <w:color w:val="auto"/>
        </w:rPr>
      </w:pPr>
      <w:r>
        <w:rPr>
          <w:rFonts w:ascii="Arial" w:cs="Arial" w:eastAsia="Arial" w:hAnsi="Arial"/>
          <w:sz w:val="15"/>
          <w:szCs w:val="15"/>
          <w:color w:val="auto"/>
        </w:rPr>
        <w:t>William P. Donnelly</w:t>
      </w:r>
    </w:p>
    <w:p>
      <w:pPr>
        <w:spacing w:after="0" w:line="2" w:lineRule="exact"/>
        <w:rPr>
          <w:sz w:val="20"/>
          <w:szCs w:val="20"/>
          <w:color w:val="auto"/>
        </w:rPr>
      </w:pPr>
    </w:p>
    <w:p>
      <w:pPr>
        <w:ind w:left="9340"/>
        <w:spacing w:after="0"/>
        <w:rPr>
          <w:sz w:val="20"/>
          <w:szCs w:val="20"/>
          <w:color w:val="auto"/>
        </w:rPr>
      </w:pPr>
      <w:r>
        <w:rPr>
          <w:rFonts w:ascii="Arial" w:cs="Arial" w:eastAsia="Arial" w:hAnsi="Arial"/>
          <w:sz w:val="15"/>
          <w:szCs w:val="15"/>
          <w:color w:val="auto"/>
        </w:rPr>
        <w:t>Dina Dublon</w:t>
      </w:r>
    </w:p>
    <w:p>
      <w:pPr>
        <w:spacing w:after="0" w:line="2" w:lineRule="exact"/>
        <w:rPr>
          <w:sz w:val="20"/>
          <w:szCs w:val="20"/>
          <w:color w:val="auto"/>
        </w:rPr>
      </w:pPr>
    </w:p>
    <w:p>
      <w:pPr>
        <w:ind w:left="9340"/>
        <w:spacing w:after="0"/>
        <w:rPr>
          <w:sz w:val="20"/>
          <w:szCs w:val="20"/>
          <w:color w:val="auto"/>
        </w:rPr>
      </w:pPr>
      <w:r>
        <w:rPr>
          <w:rFonts w:ascii="Arial" w:cs="Arial" w:eastAsia="Arial" w:hAnsi="Arial"/>
          <w:sz w:val="15"/>
          <w:szCs w:val="15"/>
          <w:color w:val="auto"/>
        </w:rPr>
        <w:t>Robert F. MacLellan</w:t>
      </w:r>
    </w:p>
    <w:p>
      <w:pPr>
        <w:spacing w:after="0" w:line="2" w:lineRule="exact"/>
        <w:rPr>
          <w:sz w:val="20"/>
          <w:szCs w:val="20"/>
          <w:color w:val="auto"/>
        </w:rPr>
      </w:pPr>
    </w:p>
    <w:p>
      <w:pPr>
        <w:ind w:left="9340"/>
        <w:spacing w:after="0"/>
        <w:rPr>
          <w:sz w:val="20"/>
          <w:szCs w:val="20"/>
          <w:color w:val="auto"/>
        </w:rPr>
      </w:pPr>
      <w:r>
        <w:rPr>
          <w:rFonts w:ascii="Arial" w:cs="Arial" w:eastAsia="Arial" w:hAnsi="Arial"/>
          <w:sz w:val="15"/>
          <w:szCs w:val="15"/>
          <w:color w:val="auto"/>
        </w:rPr>
        <w:t>Cynthia F. Smith</w:t>
      </w:r>
    </w:p>
    <w:p>
      <w:pPr>
        <w:spacing w:after="0" w:line="2" w:lineRule="exact"/>
        <w:rPr>
          <w:sz w:val="20"/>
          <w:szCs w:val="20"/>
          <w:color w:val="auto"/>
        </w:rPr>
      </w:pPr>
    </w:p>
    <w:p>
      <w:pPr>
        <w:ind w:left="9340"/>
        <w:spacing w:after="0"/>
        <w:rPr>
          <w:sz w:val="20"/>
          <w:szCs w:val="20"/>
          <w:color w:val="auto"/>
        </w:rPr>
      </w:pPr>
      <w:r>
        <w:rPr>
          <w:rFonts w:ascii="Arial" w:cs="Arial" w:eastAsia="Arial" w:hAnsi="Arial"/>
          <w:sz w:val="15"/>
          <w:szCs w:val="15"/>
          <w:color w:val="auto"/>
        </w:rPr>
        <w:t>Sandra S. Wijnberg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60" w:type="dxa"/>
            <w:vAlign w:val="bottom"/>
          </w:tcPr>
          <w:p>
            <w:pPr>
              <w:ind w:left="9620"/>
              <w:spacing w:after="0"/>
              <w:rPr>
                <w:sz w:val="20"/>
                <w:szCs w:val="20"/>
                <w:color w:val="auto"/>
              </w:rPr>
            </w:pPr>
            <w:r>
              <w:rPr>
                <w:rFonts w:ascii="Times New Roman" w:cs="Times New Roman" w:eastAsia="Times New Roman" w:hAnsi="Times New Roman"/>
                <w:sz w:val="13"/>
                <w:szCs w:val="13"/>
                <w:b w:val="1"/>
                <w:bCs w:val="1"/>
                <w:color w:val="auto"/>
              </w:rPr>
              <w:t xml:space="preserve">2024 </w:t>
            </w:r>
            <w:r>
              <w:rPr>
                <w:rFonts w:ascii="Times New Roman" w:cs="Times New Roman" w:eastAsia="Times New Roman" w:hAnsi="Times New Roman"/>
                <w:sz w:val="13"/>
                <w:szCs w:val="13"/>
                <w:color w:val="auto"/>
              </w:rPr>
              <w:t>Proxy Statement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244F"/>
              </w:rPr>
              <w:t>77</w:t>
            </w:r>
          </w:p>
        </w:tc>
      </w:tr>
      <w:tr>
        <w:trPr>
          <w:trHeight w:val="385"/>
        </w:trPr>
        <w:tc>
          <w:tcPr>
            <w:tcW w:w="10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3" w:right="339" w:bottom="1440" w:gutter="0" w:footer="0" w:header="0"/>
        </w:sectPr>
      </w:pPr>
    </w:p>
    <w:bookmarkStart w:id="82" w:name="page83"/>
    <w:bookmarkEnd w:id="82"/>
    <w:p>
      <w:pPr>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251460</wp:posOffset>
            </wp:positionV>
            <wp:extent cx="714375" cy="22225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4375" cy="22225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color w:val="FFFFFF"/>
        </w:rPr>
        <w:t>Proposal 3</w:t>
      </w:r>
    </w:p>
    <w:p>
      <w:pPr>
        <w:spacing w:after="0" w:line="243"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30"/>
          <w:szCs w:val="30"/>
          <w:b w:val="1"/>
          <w:bCs w:val="1"/>
          <w:color w:val="00254F"/>
        </w:rPr>
        <w:t>Ratification of the Appointment of KPMG LLP as Our Independent Registered Public Accounting Firm for 2024</w:t>
      </w:r>
    </w:p>
    <w:p>
      <w:pPr>
        <w:spacing w:after="0" w:line="116" w:lineRule="exact"/>
        <w:rPr>
          <w:sz w:val="20"/>
          <w:szCs w:val="20"/>
          <w:color w:val="auto"/>
        </w:rPr>
      </w:pPr>
    </w:p>
    <w:p>
      <w:pPr>
        <w:ind w:right="120"/>
        <w:spacing w:after="0" w:line="255" w:lineRule="auto"/>
        <w:rPr>
          <w:sz w:val="20"/>
          <w:szCs w:val="20"/>
          <w:color w:val="auto"/>
        </w:rPr>
      </w:pPr>
      <w:r>
        <w:rPr>
          <w:rFonts w:ascii="Arial" w:cs="Arial" w:eastAsia="Arial" w:hAnsi="Arial"/>
          <w:sz w:val="15"/>
          <w:szCs w:val="15"/>
          <w:color w:val="auto"/>
        </w:rPr>
        <w:t>The Audit Committee is directly responsible for the appointment, compensation, retention, and oversight of the independent registered public accounting firm retained to audit Price Group's consolidated financial statements. To execute this responsibility, the Audit Committee engages in an evaluation of the independent auditor's qualifications, performance, and independence and periodically considers whether the independent registered public accounting firm should be rotated and the advisability and potential impact of selecting a different independent registered public accounting firm.</w:t>
      </w:r>
    </w:p>
    <w:p>
      <w:pPr>
        <w:spacing w:after="0" w:line="142" w:lineRule="exact"/>
        <w:rPr>
          <w:sz w:val="20"/>
          <w:szCs w:val="20"/>
          <w:color w:val="auto"/>
        </w:rPr>
      </w:pPr>
    </w:p>
    <w:p>
      <w:pPr>
        <w:ind w:right="140"/>
        <w:spacing w:after="0" w:line="252" w:lineRule="auto"/>
        <w:rPr>
          <w:sz w:val="20"/>
          <w:szCs w:val="20"/>
          <w:color w:val="auto"/>
        </w:rPr>
      </w:pPr>
      <w:r>
        <w:rPr>
          <w:rFonts w:ascii="Arial" w:cs="Arial" w:eastAsia="Arial" w:hAnsi="Arial"/>
          <w:sz w:val="15"/>
          <w:szCs w:val="15"/>
          <w:color w:val="auto"/>
        </w:rPr>
        <w:t>The Audit Committee has reappointed KPMG LLP to serve as our independent registered public accounting firm for 2024. KPMG was first appointed to serve as our independent registered public accounting firm on September 6, 2001. In accordance with SEC rules and KPMG's policies, lead and reviewing audit partners are subject to rotation requirements that limit the number of consecutive years they may provide service in that capacity to five years. The process for selection of the lead audit partner pursuant to this rotation policy has included a discussion between the chair of the Audit Committee and the candidate for the role, as well as discussion of the selection by the full Audit Committee with management.</w:t>
      </w:r>
    </w:p>
    <w:p>
      <w:pPr>
        <w:spacing w:after="0" w:line="144" w:lineRule="exact"/>
        <w:rPr>
          <w:sz w:val="20"/>
          <w:szCs w:val="20"/>
          <w:color w:val="auto"/>
        </w:rPr>
      </w:pPr>
    </w:p>
    <w:p>
      <w:pPr>
        <w:ind w:right="260"/>
        <w:spacing w:after="0" w:line="278" w:lineRule="auto"/>
        <w:rPr>
          <w:sz w:val="20"/>
          <w:szCs w:val="20"/>
          <w:color w:val="auto"/>
        </w:rPr>
      </w:pPr>
      <w:r>
        <w:rPr>
          <w:rFonts w:ascii="Arial" w:cs="Arial" w:eastAsia="Arial" w:hAnsi="Arial"/>
          <w:sz w:val="15"/>
          <w:szCs w:val="15"/>
          <w:color w:val="auto"/>
        </w:rPr>
        <w:t>The Audit Committee and the Board believe that the continued retention of KPMG as our independent registered public accounting firm is in the best interests of Price Group and our stockholders, and we are asking our stockholders to ratify the selection of KPMG as our independent registered public accounting firm for 2024.</w:t>
      </w:r>
    </w:p>
    <w:p>
      <w:pPr>
        <w:spacing w:after="0" w:line="125" w:lineRule="exact"/>
        <w:rPr>
          <w:sz w:val="20"/>
          <w:szCs w:val="20"/>
          <w:color w:val="auto"/>
        </w:rPr>
      </w:pPr>
    </w:p>
    <w:p>
      <w:pPr>
        <w:ind w:right="320"/>
        <w:spacing w:after="0" w:line="278" w:lineRule="auto"/>
        <w:rPr>
          <w:sz w:val="20"/>
          <w:szCs w:val="20"/>
          <w:color w:val="auto"/>
        </w:rPr>
      </w:pPr>
      <w:r>
        <w:rPr>
          <w:rFonts w:ascii="Arial" w:cs="Arial" w:eastAsia="Arial" w:hAnsi="Arial"/>
          <w:sz w:val="15"/>
          <w:szCs w:val="15"/>
          <w:color w:val="auto"/>
        </w:rPr>
        <w:t>Representatives of KPMG are expected to be present at the Annual Meeting and will have the opportunity to make a statement and respond to appropriate questions from stockholders.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80" w:type="dxa"/>
            <w:vAlign w:val="bottom"/>
            <w:shd w:val="clear" w:color="auto" w:fill="27C0DA"/>
          </w:tcPr>
          <w:p>
            <w:pPr>
              <w:spacing w:after="0"/>
              <w:rPr>
                <w:sz w:val="6"/>
                <w:szCs w:val="6"/>
                <w:color w:val="auto"/>
              </w:rPr>
            </w:pPr>
          </w:p>
        </w:tc>
        <w:tc>
          <w:tcPr>
            <w:tcW w:w="9680" w:type="dxa"/>
            <w:vAlign w:val="bottom"/>
            <w:shd w:val="clear" w:color="auto" w:fill="27C0DA"/>
          </w:tcPr>
          <w:p>
            <w:pPr>
              <w:spacing w:after="0"/>
              <w:rPr>
                <w:sz w:val="6"/>
                <w:szCs w:val="6"/>
                <w:color w:val="auto"/>
              </w:rPr>
            </w:pPr>
          </w:p>
        </w:tc>
        <w:tc>
          <w:tcPr>
            <w:tcW w:w="1480" w:type="dxa"/>
            <w:vAlign w:val="bottom"/>
            <w:tcBorders>
              <w:right w:val="single" w:sz="8" w:color="27BFDA"/>
            </w:tcBorders>
            <w:shd w:val="clear" w:color="auto" w:fill="27BFDA"/>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80" w:type="dxa"/>
            <w:vAlign w:val="bottom"/>
            <w:shd w:val="clear" w:color="auto" w:fill="27C0DA"/>
          </w:tcPr>
          <w:p>
            <w:pPr>
              <w:spacing w:after="0"/>
              <w:rPr>
                <w:sz w:val="21"/>
                <w:szCs w:val="21"/>
                <w:color w:val="auto"/>
              </w:rPr>
            </w:pPr>
          </w:p>
        </w:tc>
        <w:tc>
          <w:tcPr>
            <w:tcW w:w="9680" w:type="dxa"/>
            <w:vAlign w:val="bottom"/>
            <w:vMerge w:val="restart"/>
          </w:tcPr>
          <w:p>
            <w:pPr>
              <w:ind w:left="1960"/>
              <w:spacing w:after="0"/>
              <w:rPr>
                <w:sz w:val="20"/>
                <w:szCs w:val="20"/>
                <w:color w:val="auto"/>
              </w:rPr>
            </w:pPr>
            <w:r>
              <w:rPr>
                <w:rFonts w:ascii="Arial" w:cs="Arial" w:eastAsia="Arial" w:hAnsi="Arial"/>
                <w:sz w:val="15"/>
                <w:szCs w:val="15"/>
                <w:b w:val="1"/>
                <w:bCs w:val="1"/>
                <w:color w:val="auto"/>
              </w:rPr>
              <w:t>Recommendation of the Board</w:t>
            </w:r>
          </w:p>
        </w:tc>
        <w:tc>
          <w:tcPr>
            <w:tcW w:w="1480" w:type="dxa"/>
            <w:vAlign w:val="bottom"/>
            <w:tcBorders>
              <w:right w:val="single" w:sz="8" w:color="27BFDA"/>
            </w:tcBorders>
            <w:shd w:val="clear" w:color="auto" w:fill="27C0DA"/>
          </w:tcPr>
          <w:p>
            <w:pPr>
              <w:ind w:left="200"/>
              <w:spacing w:after="0"/>
              <w:rPr>
                <w:sz w:val="20"/>
                <w:szCs w:val="20"/>
                <w:color w:val="auto"/>
              </w:rPr>
            </w:pPr>
            <w:r>
              <w:rPr>
                <w:rFonts w:ascii="Arial" w:cs="Arial" w:eastAsia="Arial" w:hAnsi="Arial"/>
                <w:sz w:val="15"/>
                <w:szCs w:val="15"/>
                <w:b w:val="1"/>
                <w:bCs w:val="1"/>
                <w:color w:val="FFFFFF"/>
              </w:rPr>
              <w:t>Vote Required</w:t>
            </w:r>
          </w:p>
        </w:tc>
        <w:tc>
          <w:tcPr>
            <w:tcW w:w="0" w:type="dxa"/>
            <w:vAlign w:val="bottom"/>
          </w:tcPr>
          <w:p>
            <w:pPr>
              <w:spacing w:after="0"/>
              <w:rPr>
                <w:sz w:val="1"/>
                <w:szCs w:val="1"/>
                <w:color w:val="auto"/>
              </w:rPr>
            </w:pPr>
          </w:p>
        </w:tc>
      </w:tr>
      <w:tr>
        <w:trPr>
          <w:trHeight w:val="81"/>
        </w:trPr>
        <w:tc>
          <w:tcPr>
            <w:tcW w:w="80" w:type="dxa"/>
            <w:vAlign w:val="bottom"/>
            <w:shd w:val="clear" w:color="auto" w:fill="27C0DA"/>
          </w:tcPr>
          <w:p>
            <w:pPr>
              <w:spacing w:after="0"/>
              <w:rPr>
                <w:sz w:val="7"/>
                <w:szCs w:val="7"/>
                <w:color w:val="auto"/>
              </w:rPr>
            </w:pPr>
          </w:p>
        </w:tc>
        <w:tc>
          <w:tcPr>
            <w:tcW w:w="9680" w:type="dxa"/>
            <w:vAlign w:val="bottom"/>
            <w:vMerge w:val="continue"/>
          </w:tcPr>
          <w:p>
            <w:pPr>
              <w:spacing w:after="0"/>
              <w:rPr>
                <w:sz w:val="7"/>
                <w:szCs w:val="7"/>
                <w:color w:val="auto"/>
              </w:rPr>
            </w:pPr>
          </w:p>
        </w:tc>
        <w:tc>
          <w:tcPr>
            <w:tcW w:w="1480" w:type="dxa"/>
            <w:vAlign w:val="bottom"/>
            <w:tcBorders>
              <w:right w:val="single" w:sz="8" w:color="27BFDA"/>
            </w:tcBorders>
            <w:shd w:val="clear" w:color="auto" w:fill="27C0DA"/>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80" w:type="dxa"/>
            <w:vAlign w:val="bottom"/>
            <w:shd w:val="clear" w:color="auto" w:fill="27C0DA"/>
          </w:tcPr>
          <w:p>
            <w:pPr>
              <w:spacing w:after="0"/>
              <w:rPr>
                <w:sz w:val="14"/>
                <w:szCs w:val="14"/>
                <w:color w:val="auto"/>
              </w:rPr>
            </w:pPr>
          </w:p>
        </w:tc>
        <w:tc>
          <w:tcPr>
            <w:tcW w:w="9680" w:type="dxa"/>
            <w:vAlign w:val="bottom"/>
          </w:tcPr>
          <w:p>
            <w:pPr>
              <w:ind w:left="1960"/>
              <w:spacing w:after="0" w:line="163" w:lineRule="exact"/>
              <w:rPr>
                <w:sz w:val="20"/>
                <w:szCs w:val="20"/>
                <w:color w:val="auto"/>
              </w:rPr>
            </w:pPr>
            <w:r>
              <w:rPr>
                <w:rFonts w:ascii="Arial" w:cs="Arial" w:eastAsia="Arial" w:hAnsi="Arial"/>
                <w:sz w:val="15"/>
                <w:szCs w:val="15"/>
                <w:b w:val="1"/>
                <w:bCs w:val="1"/>
                <w:color w:val="044469"/>
              </w:rPr>
              <w:t>We recommend that you vote FOR Proposal 3, the ratification of the appointment of KPMG LLP as our</w:t>
            </w:r>
          </w:p>
        </w:tc>
        <w:tc>
          <w:tcPr>
            <w:tcW w:w="1480" w:type="dxa"/>
            <w:vAlign w:val="bottom"/>
            <w:tcBorders>
              <w:right w:val="single" w:sz="8" w:color="27C0DA"/>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80" w:type="dxa"/>
            <w:vAlign w:val="bottom"/>
            <w:shd w:val="clear" w:color="auto" w:fill="27C0DA"/>
          </w:tcPr>
          <w:p>
            <w:pPr>
              <w:spacing w:after="0"/>
              <w:rPr>
                <w:sz w:val="17"/>
                <w:szCs w:val="17"/>
                <w:color w:val="auto"/>
              </w:rPr>
            </w:pPr>
          </w:p>
        </w:tc>
        <w:tc>
          <w:tcPr>
            <w:tcW w:w="9680" w:type="dxa"/>
            <w:vAlign w:val="bottom"/>
          </w:tcPr>
          <w:p>
            <w:pPr>
              <w:ind w:left="1960"/>
              <w:spacing w:after="0"/>
              <w:rPr>
                <w:sz w:val="20"/>
                <w:szCs w:val="20"/>
                <w:color w:val="auto"/>
              </w:rPr>
            </w:pPr>
            <w:r>
              <w:rPr>
                <w:rFonts w:ascii="Arial" w:cs="Arial" w:eastAsia="Arial" w:hAnsi="Arial"/>
                <w:sz w:val="15"/>
                <w:szCs w:val="15"/>
                <w:b w:val="1"/>
                <w:bCs w:val="1"/>
                <w:color w:val="044469"/>
              </w:rPr>
              <w:t>independent registered public accounting firm for 2024.</w:t>
            </w:r>
          </w:p>
        </w:tc>
        <w:tc>
          <w:tcPr>
            <w:tcW w:w="1480" w:type="dxa"/>
            <w:vAlign w:val="bottom"/>
            <w:tcBorders>
              <w:right w:val="single" w:sz="8" w:color="27C0DA"/>
            </w:tcBorders>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80" w:type="dxa"/>
            <w:vAlign w:val="bottom"/>
            <w:shd w:val="clear" w:color="auto" w:fill="27C0DA"/>
          </w:tcPr>
          <w:p>
            <w:pPr>
              <w:spacing w:after="0"/>
              <w:rPr>
                <w:sz w:val="2"/>
                <w:szCs w:val="2"/>
                <w:color w:val="auto"/>
              </w:rPr>
            </w:pPr>
          </w:p>
        </w:tc>
        <w:tc>
          <w:tcPr>
            <w:tcW w:w="9680" w:type="dxa"/>
            <w:vAlign w:val="bottom"/>
          </w:tcPr>
          <w:p>
            <w:pPr>
              <w:spacing w:after="0"/>
              <w:rPr>
                <w:sz w:val="2"/>
                <w:szCs w:val="2"/>
                <w:color w:val="auto"/>
              </w:rPr>
            </w:pPr>
          </w:p>
        </w:tc>
        <w:tc>
          <w:tcPr>
            <w:tcW w:w="1480" w:type="dxa"/>
            <w:vAlign w:val="bottom"/>
            <w:tcBorders>
              <w:right w:val="single" w:sz="8" w:color="27C0DA"/>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5"/>
        </w:trPr>
        <w:tc>
          <w:tcPr>
            <w:tcW w:w="80" w:type="dxa"/>
            <w:vAlign w:val="bottom"/>
            <w:shd w:val="clear" w:color="auto" w:fill="27C0DA"/>
          </w:tcPr>
          <w:p>
            <w:pPr>
              <w:spacing w:after="0"/>
              <w:rPr>
                <w:sz w:val="6"/>
                <w:szCs w:val="6"/>
                <w:color w:val="auto"/>
              </w:rPr>
            </w:pPr>
          </w:p>
        </w:tc>
        <w:tc>
          <w:tcPr>
            <w:tcW w:w="9680" w:type="dxa"/>
            <w:vAlign w:val="bottom"/>
            <w:shd w:val="clear" w:color="auto" w:fill="27C0DA"/>
          </w:tcPr>
          <w:p>
            <w:pPr>
              <w:spacing w:after="0"/>
              <w:rPr>
                <w:sz w:val="6"/>
                <w:szCs w:val="6"/>
                <w:color w:val="auto"/>
              </w:rPr>
            </w:pPr>
          </w:p>
        </w:tc>
        <w:tc>
          <w:tcPr>
            <w:tcW w:w="1480" w:type="dxa"/>
            <w:vAlign w:val="bottom"/>
            <w:tcBorders>
              <w:right w:val="single" w:sz="8" w:color="27C0DA"/>
            </w:tcBorders>
            <w:shd w:val="clear" w:color="auto" w:fill="27C0DA"/>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-427990</wp:posOffset>
            </wp:positionV>
            <wp:extent cx="896620" cy="33337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96620" cy="333375"/>
                    </a:xfrm>
                    <a:prstGeom prst="rect">
                      <a:avLst/>
                    </a:prstGeom>
                    <a:noFill/>
                  </pic:spPr>
                </pic:pic>
              </a:graphicData>
            </a:graphic>
          </wp:anchor>
        </w:drawing>
      </w:r>
    </w:p>
    <w:p>
      <w:pPr>
        <w:spacing w:after="0" w:line="155" w:lineRule="exact"/>
        <w:rPr>
          <w:sz w:val="20"/>
          <w:szCs w:val="20"/>
          <w:color w:val="auto"/>
        </w:rPr>
      </w:pPr>
    </w:p>
    <w:p>
      <w:pPr>
        <w:ind w:right="340"/>
        <w:spacing w:after="0" w:line="278" w:lineRule="auto"/>
        <w:rPr>
          <w:sz w:val="20"/>
          <w:szCs w:val="20"/>
          <w:color w:val="auto"/>
        </w:rPr>
      </w:pPr>
      <w:r>
        <w:rPr>
          <w:rFonts w:ascii="Arial" w:cs="Arial" w:eastAsia="Arial" w:hAnsi="Arial"/>
          <w:sz w:val="15"/>
          <w:szCs w:val="15"/>
          <w:color w:val="auto"/>
        </w:rPr>
        <w:t>In the event Proposal 3 does not obtain the requisite number of affirmative votes, the Audit Committee will reconsider the appointment of KPMG. Abstentions are not considered votes cast and will have no effect on the outcome of the vote.</w:t>
      </w:r>
    </w:p>
    <w:p>
      <w:pPr>
        <w:spacing w:after="0" w:line="12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3"/>
          <w:szCs w:val="13"/>
          <w:b w:val="1"/>
          <w:bCs w:val="1"/>
          <w:color w:val="00244F"/>
        </w:rPr>
        <w:t>78</w:t>
      </w:r>
      <w:r>
        <w:rPr>
          <w:sz w:val="20"/>
          <w:szCs w:val="20"/>
          <w:color w:val="auto"/>
        </w:rPr>
        <w:tab/>
      </w:r>
      <w:r>
        <w:rPr>
          <w:rFonts w:ascii="Times New Roman" w:cs="Times New Roman" w:eastAsia="Times New Roman" w:hAnsi="Times New Roman"/>
          <w:sz w:val="13"/>
          <w:szCs w:val="13"/>
          <w:b w:val="1"/>
          <w:bCs w:val="1"/>
          <w:color w:val="00244F"/>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42480" cy="762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83" w:name="page84"/>
    <w:bookmarkEnd w:id="83"/>
    <w:p>
      <w:pPr>
        <w:spacing w:after="0"/>
        <w:rPr>
          <w:sz w:val="20"/>
          <w:szCs w:val="20"/>
          <w:color w:val="auto"/>
        </w:rPr>
      </w:pPr>
      <w:r>
        <w:rPr>
          <w:rFonts w:ascii="Arial" w:cs="Arial" w:eastAsia="Arial" w:hAnsi="Arial"/>
          <w:sz w:val="17"/>
          <w:szCs w:val="17"/>
          <w:u w:val="single" w:color="auto"/>
          <w:color w:val="0000EE"/>
        </w:rPr>
        <w:t>Table of Contents</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55"/>
          <w:szCs w:val="55"/>
          <w:color w:val="00254F"/>
        </w:rPr>
        <w:t>Stock Ownership and Related Transactions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254F"/>
        </w:rPr>
        <w:t>Equity Compensation Plan Information</w:t>
      </w:r>
    </w:p>
    <w:p>
      <w:pPr>
        <w:spacing w:after="0" w:line="208"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The following table sets forth information regarding outstanding stock options and RSUs and shares reserved for future issuance under our equity compensation plans as of December 31, 2023. None of the plans have outstanding warrants or rights other than stock options and RSUs. All plans have been approved by our stockholders.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70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3080" w:type="dxa"/>
            <w:vAlign w:val="bottom"/>
            <w:tcBorders>
              <w:right w:val="single" w:sz="8" w:color="auto"/>
            </w:tcBorders>
            <w:gridSpan w:val="2"/>
          </w:tcPr>
          <w:p>
            <w:pPr>
              <w:ind w:left="540"/>
              <w:spacing w:after="0"/>
              <w:rPr>
                <w:sz w:val="20"/>
                <w:szCs w:val="20"/>
                <w:color w:val="auto"/>
              </w:rPr>
            </w:pPr>
            <w:r>
              <w:rPr>
                <w:rFonts w:ascii="Arial" w:cs="Arial" w:eastAsia="Arial" w:hAnsi="Arial"/>
                <w:sz w:val="12"/>
                <w:szCs w:val="12"/>
                <w:b w:val="1"/>
                <w:bCs w:val="1"/>
                <w:color w:val="auto"/>
              </w:rPr>
              <w:t>NUMBER OF SECURITIES TO BE ISSUED</w:t>
            </w:r>
          </w:p>
        </w:tc>
        <w:tc>
          <w:tcPr>
            <w:tcW w:w="2060" w:type="dxa"/>
            <w:vAlign w:val="bottom"/>
            <w:tcBorders>
              <w:right w:val="single" w:sz="8" w:color="auto"/>
            </w:tcBorders>
            <w:gridSpan w:val="2"/>
            <w:vMerge w:val="restart"/>
          </w:tcPr>
          <w:p>
            <w:pPr>
              <w:jc w:val="right"/>
              <w:ind w:right="220"/>
              <w:spacing w:after="0"/>
              <w:rPr>
                <w:sz w:val="20"/>
                <w:szCs w:val="20"/>
                <w:color w:val="auto"/>
              </w:rPr>
            </w:pPr>
            <w:r>
              <w:rPr>
                <w:rFonts w:ascii="Arial" w:cs="Arial" w:eastAsia="Arial" w:hAnsi="Arial"/>
                <w:sz w:val="12"/>
                <w:szCs w:val="12"/>
                <w:b w:val="1"/>
                <w:bCs w:val="1"/>
                <w:color w:val="auto"/>
              </w:rPr>
              <w:t>WEIGHTED-AVERAGE</w:t>
            </w:r>
          </w:p>
        </w:tc>
        <w:tc>
          <w:tcPr>
            <w:tcW w:w="326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NUMBER OF SECURITIES REMAINING</w:t>
            </w:r>
          </w:p>
        </w:tc>
        <w:tc>
          <w:tcPr>
            <w:tcW w:w="0" w:type="dxa"/>
            <w:vAlign w:val="bottom"/>
          </w:tcPr>
          <w:p>
            <w:pPr>
              <w:spacing w:after="0"/>
              <w:rPr>
                <w:sz w:val="1"/>
                <w:szCs w:val="1"/>
                <w:color w:val="auto"/>
              </w:rPr>
            </w:pPr>
          </w:p>
        </w:tc>
      </w:tr>
      <w:tr>
        <w:trPr>
          <w:trHeight w:val="125"/>
        </w:trPr>
        <w:tc>
          <w:tcPr>
            <w:tcW w:w="270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3080" w:type="dxa"/>
            <w:vAlign w:val="bottom"/>
            <w:tcBorders>
              <w:right w:val="single" w:sz="8" w:color="auto"/>
            </w:tcBorders>
            <w:gridSpan w:val="2"/>
          </w:tcPr>
          <w:p>
            <w:pPr>
              <w:jc w:val="right"/>
              <w:ind w:right="220"/>
              <w:spacing w:after="0" w:line="125" w:lineRule="exact"/>
              <w:rPr>
                <w:sz w:val="20"/>
                <w:szCs w:val="20"/>
                <w:color w:val="auto"/>
              </w:rPr>
            </w:pPr>
            <w:r>
              <w:rPr>
                <w:rFonts w:ascii="Arial" w:cs="Arial" w:eastAsia="Arial" w:hAnsi="Arial"/>
                <w:sz w:val="12"/>
                <w:szCs w:val="12"/>
                <w:b w:val="1"/>
                <w:bCs w:val="1"/>
                <w:color w:val="auto"/>
              </w:rPr>
              <w:t>UPON EXERCISE OF OUTSTANDING OPTIONS</w:t>
            </w:r>
          </w:p>
        </w:tc>
        <w:tc>
          <w:tcPr>
            <w:tcW w:w="2060" w:type="dxa"/>
            <w:vAlign w:val="bottom"/>
            <w:tcBorders>
              <w:right w:val="single" w:sz="8" w:color="auto"/>
            </w:tcBorders>
            <w:gridSpan w:val="2"/>
            <w:vMerge w:val="continue"/>
          </w:tcPr>
          <w:p>
            <w:pPr>
              <w:spacing w:after="0"/>
              <w:rPr>
                <w:sz w:val="10"/>
                <w:szCs w:val="10"/>
                <w:color w:val="auto"/>
              </w:rPr>
            </w:pPr>
          </w:p>
        </w:tc>
        <w:tc>
          <w:tcPr>
            <w:tcW w:w="3260" w:type="dxa"/>
            <w:vAlign w:val="bottom"/>
            <w:gridSpan w:val="2"/>
          </w:tcPr>
          <w:p>
            <w:pPr>
              <w:jc w:val="right"/>
              <w:ind w:right="60"/>
              <w:spacing w:after="0" w:line="125" w:lineRule="exact"/>
              <w:rPr>
                <w:sz w:val="20"/>
                <w:szCs w:val="20"/>
                <w:color w:val="auto"/>
              </w:rPr>
            </w:pPr>
            <w:r>
              <w:rPr>
                <w:rFonts w:ascii="Arial" w:cs="Arial" w:eastAsia="Arial" w:hAnsi="Arial"/>
                <w:sz w:val="12"/>
                <w:szCs w:val="12"/>
                <w:b w:val="1"/>
                <w:bCs w:val="1"/>
                <w:color w:val="auto"/>
              </w:rPr>
              <w:t>AVAILABLE FOR FUTURE ISSUANCE UNDER</w:t>
            </w:r>
          </w:p>
        </w:tc>
        <w:tc>
          <w:tcPr>
            <w:tcW w:w="0" w:type="dxa"/>
            <w:vAlign w:val="bottom"/>
          </w:tcPr>
          <w:p>
            <w:pPr>
              <w:spacing w:after="0"/>
              <w:rPr>
                <w:sz w:val="1"/>
                <w:szCs w:val="1"/>
                <w:color w:val="auto"/>
              </w:rPr>
            </w:pPr>
          </w:p>
        </w:tc>
      </w:tr>
      <w:tr>
        <w:trPr>
          <w:trHeight w:val="125"/>
        </w:trPr>
        <w:tc>
          <w:tcPr>
            <w:tcW w:w="2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2"/>
                <w:szCs w:val="12"/>
                <w:b w:val="1"/>
                <w:bCs w:val="1"/>
                <w:color w:val="auto"/>
              </w:rPr>
              <w:t>PLAN CATEGORY</w:t>
            </w:r>
          </w:p>
        </w:tc>
        <w:tc>
          <w:tcPr>
            <w:tcW w:w="3080" w:type="dxa"/>
            <w:vAlign w:val="bottom"/>
            <w:tcBorders>
              <w:right w:val="single" w:sz="8" w:color="auto"/>
            </w:tcBorders>
            <w:gridSpan w:val="2"/>
          </w:tcPr>
          <w:p>
            <w:pPr>
              <w:jc w:val="right"/>
              <w:ind w:right="220"/>
              <w:spacing w:after="0" w:line="125" w:lineRule="exact"/>
              <w:rPr>
                <w:sz w:val="20"/>
                <w:szCs w:val="20"/>
                <w:color w:val="auto"/>
              </w:rPr>
            </w:pPr>
            <w:r>
              <w:rPr>
                <w:rFonts w:ascii="Arial" w:cs="Arial" w:eastAsia="Arial" w:hAnsi="Arial"/>
                <w:sz w:val="12"/>
                <w:szCs w:val="12"/>
                <w:b w:val="1"/>
                <w:bCs w:val="1"/>
                <w:color w:val="auto"/>
              </w:rPr>
              <w:t>AND SETTLEMENT OF RESTRICTED</w:t>
            </w:r>
          </w:p>
        </w:tc>
        <w:tc>
          <w:tcPr>
            <w:tcW w:w="2060" w:type="dxa"/>
            <w:vAlign w:val="bottom"/>
            <w:tcBorders>
              <w:right w:val="single" w:sz="8" w:color="auto"/>
            </w:tcBorders>
            <w:gridSpan w:val="2"/>
          </w:tcPr>
          <w:p>
            <w:pPr>
              <w:jc w:val="right"/>
              <w:ind w:right="220"/>
              <w:spacing w:after="0" w:line="125" w:lineRule="exact"/>
              <w:rPr>
                <w:sz w:val="20"/>
                <w:szCs w:val="20"/>
                <w:color w:val="auto"/>
              </w:rPr>
            </w:pPr>
            <w:r>
              <w:rPr>
                <w:rFonts w:ascii="Arial" w:cs="Arial" w:eastAsia="Arial" w:hAnsi="Arial"/>
                <w:sz w:val="12"/>
                <w:szCs w:val="12"/>
                <w:b w:val="1"/>
                <w:bCs w:val="1"/>
                <w:color w:val="auto"/>
              </w:rPr>
              <w:t>EXERCISE PRICE OF</w:t>
            </w:r>
          </w:p>
        </w:tc>
        <w:tc>
          <w:tcPr>
            <w:tcW w:w="3260" w:type="dxa"/>
            <w:vAlign w:val="bottom"/>
            <w:gridSpan w:val="2"/>
          </w:tcPr>
          <w:p>
            <w:pPr>
              <w:jc w:val="right"/>
              <w:ind w:right="60"/>
              <w:spacing w:after="0" w:line="125" w:lineRule="exact"/>
              <w:rPr>
                <w:sz w:val="20"/>
                <w:szCs w:val="20"/>
                <w:color w:val="auto"/>
              </w:rPr>
            </w:pPr>
            <w:r>
              <w:rPr>
                <w:rFonts w:ascii="Arial" w:cs="Arial" w:eastAsia="Arial" w:hAnsi="Arial"/>
                <w:sz w:val="12"/>
                <w:szCs w:val="12"/>
                <w:b w:val="1"/>
                <w:bCs w:val="1"/>
                <w:color w:val="auto"/>
              </w:rPr>
              <w:t>EQUITY COMPENSATION PLANS (EXCLUDING</w:t>
            </w:r>
          </w:p>
        </w:tc>
        <w:tc>
          <w:tcPr>
            <w:tcW w:w="0" w:type="dxa"/>
            <w:vAlign w:val="bottom"/>
          </w:tcPr>
          <w:p>
            <w:pPr>
              <w:spacing w:after="0"/>
              <w:rPr>
                <w:sz w:val="1"/>
                <w:szCs w:val="1"/>
                <w:color w:val="auto"/>
              </w:rPr>
            </w:pPr>
          </w:p>
        </w:tc>
      </w:tr>
      <w:tr>
        <w:trPr>
          <w:trHeight w:val="143"/>
        </w:trPr>
        <w:tc>
          <w:tcPr>
            <w:tcW w:w="2860" w:type="dxa"/>
            <w:vAlign w:val="bottom"/>
            <w:tcBorders>
              <w:right w:val="single" w:sz="8" w:color="auto"/>
            </w:tcBorders>
            <w:gridSpan w:val="2"/>
            <w:vMerge w:val="continue"/>
          </w:tcPr>
          <w:p>
            <w:pPr>
              <w:spacing w:after="0"/>
              <w:rPr>
                <w:sz w:val="12"/>
                <w:szCs w:val="12"/>
                <w:color w:val="auto"/>
              </w:rPr>
            </w:pPr>
          </w:p>
        </w:tc>
        <w:tc>
          <w:tcPr>
            <w:tcW w:w="30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b w:val="1"/>
                <w:bCs w:val="1"/>
                <w:color w:val="auto"/>
              </w:rPr>
              <w:t>STOCK UNITS (A)</w:t>
            </w:r>
          </w:p>
        </w:tc>
        <w:tc>
          <w:tcPr>
            <w:tcW w:w="20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b w:val="1"/>
                <w:bCs w:val="1"/>
                <w:color w:val="auto"/>
              </w:rPr>
              <w:t>OUTSTANDING OPTIONS</w:t>
            </w:r>
          </w:p>
        </w:tc>
        <w:tc>
          <w:tcPr>
            <w:tcW w:w="326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SECURITIES REFLECTED IN COLUMN (A))</w:t>
            </w:r>
          </w:p>
        </w:tc>
        <w:tc>
          <w:tcPr>
            <w:tcW w:w="0" w:type="dxa"/>
            <w:vAlign w:val="bottom"/>
          </w:tcPr>
          <w:p>
            <w:pPr>
              <w:spacing w:after="0"/>
              <w:rPr>
                <w:sz w:val="1"/>
                <w:szCs w:val="1"/>
                <w:color w:val="auto"/>
              </w:rPr>
            </w:pPr>
          </w:p>
        </w:tc>
      </w:tr>
      <w:tr>
        <w:trPr>
          <w:trHeight w:val="167"/>
        </w:trPr>
        <w:tc>
          <w:tcPr>
            <w:tcW w:w="2700" w:type="dxa"/>
            <w:vAlign w:val="bottom"/>
            <w:tcBorders>
              <w:top w:val="single" w:sz="8" w:color="auto"/>
            </w:tcBorders>
          </w:tcPr>
          <w:p>
            <w:pPr>
              <w:ind w:left="60"/>
              <w:spacing w:after="0" w:line="168" w:lineRule="exact"/>
              <w:rPr>
                <w:sz w:val="20"/>
                <w:szCs w:val="20"/>
                <w:color w:val="auto"/>
              </w:rPr>
            </w:pPr>
            <w:r>
              <w:rPr>
                <w:rFonts w:ascii="Arial" w:cs="Arial" w:eastAsia="Arial" w:hAnsi="Arial"/>
                <w:sz w:val="15"/>
                <w:szCs w:val="15"/>
                <w:color w:val="auto"/>
              </w:rPr>
              <w:t>Equity compensation plans approved</w:t>
            </w:r>
          </w:p>
        </w:tc>
        <w:tc>
          <w:tcPr>
            <w:tcW w:w="160" w:type="dxa"/>
            <w:vAlign w:val="bottom"/>
          </w:tcPr>
          <w:p>
            <w:pPr>
              <w:spacing w:after="0"/>
              <w:rPr>
                <w:sz w:val="14"/>
                <w:szCs w:val="14"/>
                <w:color w:val="auto"/>
              </w:rPr>
            </w:pPr>
          </w:p>
        </w:tc>
        <w:tc>
          <w:tcPr>
            <w:tcW w:w="292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2"/>
                <w:szCs w:val="12"/>
                <w:color w:val="auto"/>
              </w:rPr>
              <w:t>8,047,948</w:t>
            </w:r>
            <w:r>
              <w:rPr>
                <w:rFonts w:ascii="Arial" w:cs="Arial" w:eastAsia="Arial" w:hAnsi="Arial"/>
                <w:sz w:val="19"/>
                <w:szCs w:val="19"/>
                <w:color w:val="auto"/>
                <w:vertAlign w:val="superscript"/>
              </w:rPr>
              <w:t>1</w:t>
            </w:r>
          </w:p>
        </w:tc>
        <w:tc>
          <w:tcPr>
            <w:tcW w:w="160" w:type="dxa"/>
            <w:vAlign w:val="bottom"/>
          </w:tcPr>
          <w:p>
            <w:pPr>
              <w:spacing w:after="0"/>
              <w:rPr>
                <w:sz w:val="14"/>
                <w:szCs w:val="14"/>
                <w:color w:val="auto"/>
              </w:rPr>
            </w:pPr>
          </w:p>
        </w:tc>
        <w:tc>
          <w:tcPr>
            <w:tcW w:w="1900" w:type="dxa"/>
            <w:vAlign w:val="bottom"/>
            <w:tcBorders>
              <w:top w:val="single" w:sz="8" w:color="auto"/>
            </w:tcBorders>
          </w:tcPr>
          <w:p>
            <w:pPr>
              <w:ind w:left="1360"/>
              <w:spacing w:after="0" w:line="167" w:lineRule="exact"/>
              <w:rPr>
                <w:sz w:val="20"/>
                <w:szCs w:val="20"/>
                <w:color w:val="auto"/>
              </w:rPr>
            </w:pPr>
            <w:r>
              <w:rPr>
                <w:rFonts w:ascii="Arial" w:cs="Arial" w:eastAsia="Arial" w:hAnsi="Arial"/>
                <w:sz w:val="12"/>
                <w:szCs w:val="12"/>
                <w:color w:val="auto"/>
              </w:rPr>
              <w:t>$75.39</w:t>
            </w:r>
            <w:r>
              <w:rPr>
                <w:rFonts w:ascii="Arial" w:cs="Arial" w:eastAsia="Arial" w:hAnsi="Arial"/>
                <w:sz w:val="19"/>
                <w:szCs w:val="19"/>
                <w:color w:val="auto"/>
                <w:vertAlign w:val="superscript"/>
              </w:rPr>
              <w:t>1</w:t>
            </w:r>
          </w:p>
        </w:tc>
        <w:tc>
          <w:tcPr>
            <w:tcW w:w="160" w:type="dxa"/>
            <w:vAlign w:val="bottom"/>
          </w:tcPr>
          <w:p>
            <w:pPr>
              <w:spacing w:after="0"/>
              <w:rPr>
                <w:sz w:val="14"/>
                <w:szCs w:val="14"/>
                <w:color w:val="auto"/>
              </w:rPr>
            </w:pPr>
          </w:p>
        </w:tc>
        <w:tc>
          <w:tcPr>
            <w:tcW w:w="324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2"/>
                <w:szCs w:val="12"/>
                <w:color w:val="auto"/>
              </w:rPr>
              <w:t>12,471,704</w:t>
            </w:r>
            <w:r>
              <w:rPr>
                <w:rFonts w:ascii="Arial" w:cs="Arial" w:eastAsia="Arial" w:hAnsi="Arial"/>
                <w:sz w:val="19"/>
                <w:szCs w:val="19"/>
                <w:color w:val="auto"/>
                <w:vertAlign w:val="superscript"/>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60" w:type="dxa"/>
            <w:vAlign w:val="bottom"/>
            <w:gridSpan w:val="2"/>
          </w:tcPr>
          <w:p>
            <w:pPr>
              <w:ind w:left="60"/>
              <w:spacing w:after="0"/>
              <w:rPr>
                <w:sz w:val="20"/>
                <w:szCs w:val="20"/>
                <w:color w:val="auto"/>
              </w:rPr>
            </w:pPr>
            <w:r>
              <w:rPr>
                <w:rFonts w:ascii="Arial" w:cs="Arial" w:eastAsia="Arial" w:hAnsi="Arial"/>
                <w:sz w:val="15"/>
                <w:szCs w:val="15"/>
                <w:color w:val="auto"/>
              </w:rPr>
              <w:t>by stockholders</w:t>
            </w:r>
          </w:p>
        </w:tc>
        <w:tc>
          <w:tcPr>
            <w:tcW w:w="2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700" w:type="dxa"/>
            <w:vAlign w:val="bottom"/>
            <w:tcBorders>
              <w:top w:val="single" w:sz="8" w:color="808080"/>
            </w:tcBorders>
            <w:shd w:val="clear" w:color="auto" w:fill="E7E7E8"/>
          </w:tcPr>
          <w:p>
            <w:pPr>
              <w:ind w:left="60"/>
              <w:spacing w:after="0" w:line="155" w:lineRule="exact"/>
              <w:rPr>
                <w:sz w:val="20"/>
                <w:szCs w:val="20"/>
                <w:color w:val="auto"/>
              </w:rPr>
            </w:pPr>
            <w:r>
              <w:rPr>
                <w:rFonts w:ascii="Arial" w:cs="Arial" w:eastAsia="Arial" w:hAnsi="Arial"/>
                <w:sz w:val="15"/>
                <w:szCs w:val="15"/>
                <w:color w:val="auto"/>
              </w:rPr>
              <w:t>Equity compensation plans not</w:t>
            </w:r>
          </w:p>
        </w:tc>
        <w:tc>
          <w:tcPr>
            <w:tcW w:w="160" w:type="dxa"/>
            <w:vAlign w:val="bottom"/>
            <w:tcBorders>
              <w:top w:val="single" w:sz="8" w:color="E7E7E8"/>
              <w:right w:val="single" w:sz="8" w:color="E7E7E8"/>
            </w:tcBorders>
            <w:shd w:val="clear" w:color="auto" w:fill="E7E7E8"/>
          </w:tcPr>
          <w:p>
            <w:pPr>
              <w:spacing w:after="0"/>
              <w:rPr>
                <w:sz w:val="13"/>
                <w:szCs w:val="13"/>
                <w:color w:val="auto"/>
              </w:rPr>
            </w:pPr>
          </w:p>
        </w:tc>
        <w:tc>
          <w:tcPr>
            <w:tcW w:w="2920" w:type="dxa"/>
            <w:vAlign w:val="bottom"/>
            <w:tcBorders>
              <w:top w:val="single" w:sz="8" w:color="808080"/>
            </w:tcBorders>
            <w:shd w:val="clear" w:color="auto" w:fill="E7E7E8"/>
          </w:tcPr>
          <w:p>
            <w:pPr>
              <w:spacing w:after="0"/>
              <w:rPr>
                <w:sz w:val="13"/>
                <w:szCs w:val="13"/>
                <w:color w:val="auto"/>
              </w:rPr>
            </w:pPr>
          </w:p>
        </w:tc>
        <w:tc>
          <w:tcPr>
            <w:tcW w:w="160" w:type="dxa"/>
            <w:vAlign w:val="bottom"/>
            <w:tcBorders>
              <w:top w:val="single" w:sz="8" w:color="E7E7E8"/>
              <w:right w:val="single" w:sz="8" w:color="E7E7E8"/>
            </w:tcBorders>
            <w:shd w:val="clear" w:color="auto" w:fill="E7E7E8"/>
          </w:tcPr>
          <w:p>
            <w:pPr>
              <w:spacing w:after="0"/>
              <w:rPr>
                <w:sz w:val="13"/>
                <w:szCs w:val="13"/>
                <w:color w:val="auto"/>
              </w:rPr>
            </w:pPr>
          </w:p>
        </w:tc>
        <w:tc>
          <w:tcPr>
            <w:tcW w:w="1900" w:type="dxa"/>
            <w:vAlign w:val="bottom"/>
            <w:tcBorders>
              <w:top w:val="single" w:sz="8" w:color="808080"/>
            </w:tcBorders>
            <w:shd w:val="clear" w:color="auto" w:fill="E7E7E8"/>
          </w:tcPr>
          <w:p>
            <w:pPr>
              <w:spacing w:after="0"/>
              <w:rPr>
                <w:sz w:val="13"/>
                <w:szCs w:val="13"/>
                <w:color w:val="auto"/>
              </w:rPr>
            </w:pPr>
          </w:p>
        </w:tc>
        <w:tc>
          <w:tcPr>
            <w:tcW w:w="160" w:type="dxa"/>
            <w:vAlign w:val="bottom"/>
            <w:tcBorders>
              <w:top w:val="single" w:sz="8" w:color="E7E7E8"/>
              <w:right w:val="single" w:sz="8" w:color="E7E7E8"/>
            </w:tcBorders>
            <w:shd w:val="clear" w:color="auto" w:fill="E7E7E8"/>
          </w:tcPr>
          <w:p>
            <w:pPr>
              <w:spacing w:after="0"/>
              <w:rPr>
                <w:sz w:val="13"/>
                <w:szCs w:val="13"/>
                <w:color w:val="auto"/>
              </w:rPr>
            </w:pPr>
          </w:p>
        </w:tc>
        <w:tc>
          <w:tcPr>
            <w:tcW w:w="3240" w:type="dxa"/>
            <w:vAlign w:val="bottom"/>
            <w:tcBorders>
              <w:top w:val="single" w:sz="8" w:color="808080"/>
            </w:tcBorders>
            <w:shd w:val="clear" w:color="auto" w:fill="E7E7E8"/>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860" w:type="dxa"/>
            <w:vAlign w:val="bottom"/>
            <w:tcBorders>
              <w:right w:val="single" w:sz="8" w:color="E7E7E8"/>
            </w:tcBorders>
            <w:gridSpan w:val="2"/>
            <w:shd w:val="clear" w:color="auto" w:fill="E7E7E8"/>
          </w:tcPr>
          <w:p>
            <w:pPr>
              <w:ind w:left="60"/>
              <w:spacing w:after="0"/>
              <w:rPr>
                <w:sz w:val="20"/>
                <w:szCs w:val="20"/>
                <w:color w:val="auto"/>
              </w:rPr>
            </w:pPr>
            <w:r>
              <w:rPr>
                <w:rFonts w:ascii="Arial" w:cs="Arial" w:eastAsia="Arial" w:hAnsi="Arial"/>
                <w:sz w:val="15"/>
                <w:szCs w:val="15"/>
                <w:color w:val="auto"/>
              </w:rPr>
              <w:t>approved by stockholders</w:t>
            </w:r>
          </w:p>
        </w:tc>
        <w:tc>
          <w:tcPr>
            <w:tcW w:w="3080" w:type="dxa"/>
            <w:vAlign w:val="bottom"/>
            <w:tcBorders>
              <w:right w:val="single" w:sz="8" w:color="E7E7E8"/>
            </w:tcBorders>
            <w:gridSpan w:val="2"/>
            <w:shd w:val="clear" w:color="auto" w:fill="E7E7E8"/>
          </w:tcPr>
          <w:p>
            <w:pPr>
              <w:jc w:val="right"/>
              <w:ind w:right="300"/>
              <w:spacing w:after="0"/>
              <w:rPr>
                <w:sz w:val="20"/>
                <w:szCs w:val="20"/>
                <w:color w:val="auto"/>
              </w:rPr>
            </w:pPr>
            <w:r>
              <w:rPr>
                <w:rFonts w:ascii="Arial" w:cs="Arial" w:eastAsia="Arial" w:hAnsi="Arial"/>
                <w:sz w:val="15"/>
                <w:szCs w:val="15"/>
                <w:color w:val="auto"/>
              </w:rPr>
              <w:t>—</w:t>
            </w:r>
          </w:p>
        </w:tc>
        <w:tc>
          <w:tcPr>
            <w:tcW w:w="1900" w:type="dxa"/>
            <w:vAlign w:val="bottom"/>
            <w:shd w:val="clear" w:color="auto" w:fill="E7E7E8"/>
          </w:tcPr>
          <w:p>
            <w:pPr>
              <w:spacing w:after="0"/>
              <w:rPr>
                <w:sz w:val="16"/>
                <w:szCs w:val="16"/>
                <w:color w:val="auto"/>
              </w:rPr>
            </w:pPr>
          </w:p>
        </w:tc>
        <w:tc>
          <w:tcPr>
            <w:tcW w:w="160" w:type="dxa"/>
            <w:vAlign w:val="bottom"/>
            <w:tcBorders>
              <w:right w:val="single" w:sz="8" w:color="E7E7E8"/>
            </w:tcBorders>
            <w:shd w:val="clear" w:color="auto" w:fill="E7E7E8"/>
          </w:tcPr>
          <w:p>
            <w:pPr>
              <w:spacing w:after="0"/>
              <w:rPr>
                <w:sz w:val="16"/>
                <w:szCs w:val="16"/>
                <w:color w:val="auto"/>
              </w:rPr>
            </w:pPr>
          </w:p>
        </w:tc>
        <w:tc>
          <w:tcPr>
            <w:tcW w:w="3240" w:type="dxa"/>
            <w:vAlign w:val="bottom"/>
            <w:shd w:val="clear" w:color="auto" w:fill="E7E7E8"/>
          </w:tcPr>
          <w:p>
            <w:pPr>
              <w:jc w:val="right"/>
              <w:ind w:right="1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700" w:type="dxa"/>
            <w:vAlign w:val="bottom"/>
            <w:tcBorders>
              <w:top w:val="single" w:sz="8" w:color="808080"/>
              <w:bottom w:val="single" w:sz="8" w:color="808080"/>
            </w:tcBorders>
          </w:tcPr>
          <w:p>
            <w:pPr>
              <w:ind w:left="60"/>
              <w:spacing w:after="0" w:line="168" w:lineRule="exact"/>
              <w:rPr>
                <w:sz w:val="20"/>
                <w:szCs w:val="20"/>
                <w:color w:val="auto"/>
              </w:rPr>
            </w:pPr>
            <w:r>
              <w:rPr>
                <w:rFonts w:ascii="Arial" w:cs="Arial" w:eastAsia="Arial" w:hAnsi="Arial"/>
                <w:sz w:val="15"/>
                <w:szCs w:val="15"/>
                <w:color w:val="auto"/>
              </w:rPr>
              <w:t>Total</w:t>
            </w:r>
          </w:p>
        </w:tc>
        <w:tc>
          <w:tcPr>
            <w:tcW w:w="160" w:type="dxa"/>
            <w:vAlign w:val="bottom"/>
          </w:tcPr>
          <w:p>
            <w:pPr>
              <w:spacing w:after="0"/>
              <w:rPr>
                <w:sz w:val="14"/>
                <w:szCs w:val="14"/>
                <w:color w:val="auto"/>
              </w:rPr>
            </w:pPr>
          </w:p>
        </w:tc>
        <w:tc>
          <w:tcPr>
            <w:tcW w:w="2920" w:type="dxa"/>
            <w:vAlign w:val="bottom"/>
            <w:tcBorders>
              <w:top w:val="single" w:sz="8" w:color="808080"/>
              <w:bottom w:val="single" w:sz="8" w:color="808080"/>
            </w:tcBorders>
          </w:tcPr>
          <w:p>
            <w:pPr>
              <w:jc w:val="right"/>
              <w:ind w:right="76"/>
              <w:spacing w:after="0" w:line="168" w:lineRule="exact"/>
              <w:rPr>
                <w:sz w:val="20"/>
                <w:szCs w:val="20"/>
                <w:color w:val="auto"/>
              </w:rPr>
            </w:pPr>
            <w:r>
              <w:rPr>
                <w:rFonts w:ascii="Arial" w:cs="Arial" w:eastAsia="Arial" w:hAnsi="Arial"/>
                <w:sz w:val="15"/>
                <w:szCs w:val="15"/>
                <w:color w:val="auto"/>
              </w:rPr>
              <w:t>8,047,948</w:t>
            </w:r>
          </w:p>
        </w:tc>
        <w:tc>
          <w:tcPr>
            <w:tcW w:w="160" w:type="dxa"/>
            <w:vAlign w:val="bottom"/>
          </w:tcPr>
          <w:p>
            <w:pPr>
              <w:spacing w:after="0"/>
              <w:rPr>
                <w:sz w:val="14"/>
                <w:szCs w:val="14"/>
                <w:color w:val="auto"/>
              </w:rPr>
            </w:pPr>
          </w:p>
        </w:tc>
        <w:tc>
          <w:tcPr>
            <w:tcW w:w="1900" w:type="dxa"/>
            <w:vAlign w:val="bottom"/>
            <w:tcBorders>
              <w:top w:val="single" w:sz="8" w:color="808080"/>
              <w:bottom w:val="single" w:sz="8" w:color="808080"/>
            </w:tcBorders>
          </w:tcPr>
          <w:p>
            <w:pPr>
              <w:ind w:left="1380"/>
              <w:spacing w:after="0" w:line="168" w:lineRule="exact"/>
              <w:rPr>
                <w:sz w:val="20"/>
                <w:szCs w:val="20"/>
                <w:color w:val="auto"/>
              </w:rPr>
            </w:pPr>
            <w:r>
              <w:rPr>
                <w:rFonts w:ascii="Arial" w:cs="Arial" w:eastAsia="Arial" w:hAnsi="Arial"/>
                <w:sz w:val="15"/>
                <w:szCs w:val="15"/>
                <w:color w:val="auto"/>
              </w:rPr>
              <w:t>$75.39</w:t>
            </w:r>
          </w:p>
        </w:tc>
        <w:tc>
          <w:tcPr>
            <w:tcW w:w="160" w:type="dxa"/>
            <w:vAlign w:val="bottom"/>
          </w:tcPr>
          <w:p>
            <w:pPr>
              <w:spacing w:after="0"/>
              <w:rPr>
                <w:sz w:val="14"/>
                <w:szCs w:val="14"/>
                <w:color w:val="auto"/>
              </w:rPr>
            </w:pPr>
          </w:p>
        </w:tc>
        <w:tc>
          <w:tcPr>
            <w:tcW w:w="3240" w:type="dxa"/>
            <w:vAlign w:val="bottom"/>
            <w:tcBorders>
              <w:top w:val="single" w:sz="8" w:color="808080"/>
              <w:bottom w:val="single" w:sz="8" w:color="808080"/>
            </w:tcBorders>
          </w:tcPr>
          <w:p>
            <w:pPr>
              <w:jc w:val="right"/>
              <w:ind w:right="16"/>
              <w:spacing w:after="0" w:line="168" w:lineRule="exact"/>
              <w:rPr>
                <w:sz w:val="20"/>
                <w:szCs w:val="20"/>
                <w:color w:val="auto"/>
              </w:rPr>
            </w:pPr>
            <w:r>
              <w:rPr>
                <w:rFonts w:ascii="Arial" w:cs="Arial" w:eastAsia="Arial" w:hAnsi="Arial"/>
                <w:sz w:val="15"/>
                <w:szCs w:val="15"/>
                <w:color w:val="auto"/>
              </w:rPr>
              <w:t>12,471,704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1714500</wp:posOffset>
            </wp:positionH>
            <wp:positionV relativeFrom="paragraph">
              <wp:posOffset>-356235</wp:posOffset>
            </wp:positionV>
            <wp:extent cx="95250" cy="22987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95250" cy="229870"/>
                    </a:xfrm>
                    <a:prstGeom prst="rect">
                      <a:avLst/>
                    </a:prstGeom>
                    <a:noFill/>
                  </pic:spPr>
                </pic:pic>
              </a:graphicData>
            </a:graphic>
          </wp:anchor>
        </w:drawing>
        <w:drawing>
          <wp:anchor simplePos="0" relativeHeight="251657728" behindDoc="1" locked="0" layoutInCell="0" allowOverlap="1">
            <wp:simplePos x="0" y="0"/>
            <wp:positionH relativeFrom="column">
              <wp:posOffset>3666490</wp:posOffset>
            </wp:positionH>
            <wp:positionV relativeFrom="paragraph">
              <wp:posOffset>-356235</wp:posOffset>
            </wp:positionV>
            <wp:extent cx="95250" cy="22987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95250" cy="229870"/>
                    </a:xfrm>
                    <a:prstGeom prst="rect">
                      <a:avLst/>
                    </a:prstGeom>
                    <a:noFill/>
                  </pic:spPr>
                </pic:pic>
              </a:graphicData>
            </a:graphic>
          </wp:anchor>
        </w:drawing>
        <w:drawing>
          <wp:anchor simplePos="0" relativeHeight="251657728" behindDoc="1" locked="0" layoutInCell="0" allowOverlap="1">
            <wp:simplePos x="0" y="0"/>
            <wp:positionH relativeFrom="column">
              <wp:posOffset>4975860</wp:posOffset>
            </wp:positionH>
            <wp:positionV relativeFrom="paragraph">
              <wp:posOffset>-356235</wp:posOffset>
            </wp:positionV>
            <wp:extent cx="95250" cy="22987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95250" cy="229870"/>
                    </a:xfrm>
                    <a:prstGeom prst="rect">
                      <a:avLst/>
                    </a:prstGeom>
                    <a:noFill/>
                  </pic:spPr>
                </pic:pic>
              </a:graphicData>
            </a:graphic>
          </wp:anchor>
        </w:drawing>
      </w:r>
    </w:p>
    <w:p>
      <w:pPr>
        <w:spacing w:after="0" w:line="81" w:lineRule="exact"/>
        <w:rPr>
          <w:sz w:val="20"/>
          <w:szCs w:val="20"/>
          <w:color w:val="auto"/>
        </w:rPr>
      </w:pPr>
    </w:p>
    <w:p>
      <w:pPr>
        <w:ind w:left="300" w:hanging="300"/>
        <w:spacing w:after="0"/>
        <w:tabs>
          <w:tab w:leader="none" w:pos="300" w:val="left"/>
        </w:tabs>
        <w:numPr>
          <w:ilvl w:val="0"/>
          <w:numId w:val="130"/>
        </w:numPr>
        <w:rPr>
          <w:rFonts w:ascii="Arial" w:cs="Arial" w:eastAsia="Arial" w:hAnsi="Arial"/>
          <w:sz w:val="22"/>
          <w:szCs w:val="22"/>
          <w:color w:val="auto"/>
          <w:vertAlign w:val="superscript"/>
        </w:rPr>
      </w:pPr>
      <w:r>
        <w:rPr>
          <w:rFonts w:ascii="Arial" w:cs="Arial" w:eastAsia="Arial" w:hAnsi="Arial"/>
          <w:sz w:val="13"/>
          <w:szCs w:val="13"/>
          <w:color w:val="auto"/>
        </w:rPr>
        <w:t>Includes 6,571,844 shares that may be issued upon settlement of outstanding RSUs. The weighted-average exercise price pertains only to the 1,476,104 outstanding stock options.</w:t>
      </w:r>
    </w:p>
    <w:p>
      <w:pPr>
        <w:spacing w:after="0" w:line="45" w:lineRule="exact"/>
        <w:rPr>
          <w:sz w:val="20"/>
          <w:szCs w:val="20"/>
          <w:color w:val="auto"/>
        </w:rPr>
      </w:pPr>
    </w:p>
    <w:p>
      <w:pPr>
        <w:ind w:left="300" w:hanging="300"/>
        <w:spacing w:after="0" w:line="211" w:lineRule="auto"/>
        <w:tabs>
          <w:tab w:leader="none" w:pos="300" w:val="left"/>
        </w:tabs>
        <w:numPr>
          <w:ilvl w:val="0"/>
          <w:numId w:val="131"/>
        </w:numPr>
        <w:rPr>
          <w:rFonts w:ascii="Arial" w:cs="Arial" w:eastAsia="Arial" w:hAnsi="Arial"/>
          <w:sz w:val="22"/>
          <w:szCs w:val="22"/>
          <w:color w:val="auto"/>
          <w:vertAlign w:val="superscript"/>
        </w:rPr>
      </w:pPr>
      <w:r>
        <w:rPr>
          <w:rFonts w:ascii="Arial" w:cs="Arial" w:eastAsia="Arial" w:hAnsi="Arial"/>
          <w:sz w:val="13"/>
          <w:szCs w:val="13"/>
          <w:color w:val="auto"/>
        </w:rPr>
        <w:t>Includes 232,917 shares that may be issued under our 2017 Director Plan and 8,771,290 shares that may be issued under our 2020 Plan and 3,467,496 shares that may be issued under our ESPP. No shares have been issued under the ESPP since its inception; all plan shares have been purchased in the open market. The number of shares available for future issuance under the 2020 Plan will increase under the terms of the plan as a result of all common stock repurchases that we make from proceeds generated by stock option exercises. The 2020 Plan allows for the grant of stock options, stock appreciation rights, and full-value awards.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254F"/>
        </w:rPr>
        <w:t>Security Ownership of Certain Beneficial Owners and Management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00254F"/>
        </w:rPr>
        <w:t>Stock Ownership of 5% Beneficial Owners</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To our knowledge, these are the following beneficial owners of more than 5% of our outstanding common stock as of March 1, 2024.</w:t>
      </w:r>
    </w:p>
    <w:p>
      <w:pPr>
        <w:sectPr>
          <w:pgSz w:w="11900" w:h="16838" w:orient="portrait"/>
          <w:cols w:equalWidth="0" w:num="1">
            <w:col w:w="11240"/>
          </w:cols>
          <w:pgMar w:left="320" w:top="223" w:right="339" w:bottom="1440" w:gutter="0" w:footer="0" w:header="0"/>
        </w:sectPr>
      </w:pPr>
    </w:p>
    <w:p>
      <w:pPr>
        <w:spacing w:after="0" w:line="310"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5023485" cy="762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023485" cy="7620"/>
                    </a:xfrm>
                    <a:prstGeom prst="rect">
                      <a:avLst/>
                    </a:prstGeom>
                    <a:noFill/>
                  </pic:spPr>
                </pic:pic>
              </a:graphicData>
            </a:graphic>
          </wp:anchor>
        </w:drawing>
      </w:r>
    </w:p>
    <w:p>
      <w:pPr>
        <w:ind w:left="60"/>
        <w:spacing w:after="0"/>
        <w:rPr>
          <w:sz w:val="20"/>
          <w:szCs w:val="20"/>
          <w:color w:val="auto"/>
        </w:rPr>
      </w:pPr>
      <w:r>
        <w:rPr>
          <w:rFonts w:ascii="Arial" w:cs="Arial" w:eastAsia="Arial" w:hAnsi="Arial"/>
          <w:sz w:val="15"/>
          <w:szCs w:val="15"/>
          <w:color w:val="auto"/>
        </w:rPr>
        <w:t>BlackRock, Inc.</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5"/>
          <w:szCs w:val="15"/>
          <w:color w:val="auto"/>
        </w:rPr>
        <w:t>50 Hudson Yards</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5"/>
          <w:szCs w:val="15"/>
          <w:color w:val="auto"/>
        </w:rPr>
        <w:t>New York, NY 10001</w:t>
      </w:r>
    </w:p>
    <w:p>
      <w:pPr>
        <w:spacing w:after="0" w:line="11" w:lineRule="exact"/>
        <w:rPr>
          <w:sz w:val="20"/>
          <w:szCs w:val="20"/>
          <w:color w:val="auto"/>
        </w:rPr>
      </w:pPr>
    </w:p>
    <w:p>
      <w:pPr>
        <w:ind w:left="60"/>
        <w:spacing w:after="0"/>
        <w:rPr>
          <w:sz w:val="20"/>
          <w:szCs w:val="20"/>
          <w:color w:val="auto"/>
        </w:rPr>
      </w:pPr>
      <w:r>
        <w:rPr>
          <w:rFonts w:ascii="Arial" w:cs="Arial" w:eastAsia="Arial" w:hAnsi="Arial"/>
          <w:sz w:val="15"/>
          <w:szCs w:val="15"/>
          <w:color w:val="auto"/>
        </w:rPr>
        <w:t>State Street Corporation</w:t>
      </w:r>
    </w:p>
    <w:p>
      <w:pPr>
        <w:spacing w:after="0" w:line="6" w:lineRule="exact"/>
        <w:rPr>
          <w:sz w:val="20"/>
          <w:szCs w:val="20"/>
          <w:color w:val="auto"/>
        </w:rPr>
      </w:pPr>
    </w:p>
    <w:p>
      <w:pPr>
        <w:ind w:left="60"/>
        <w:spacing w:after="0"/>
        <w:rPr>
          <w:sz w:val="20"/>
          <w:szCs w:val="20"/>
          <w:color w:val="auto"/>
        </w:rPr>
      </w:pPr>
      <w:r>
        <w:rPr>
          <w:rFonts w:ascii="Arial" w:cs="Arial" w:eastAsia="Arial" w:hAnsi="Arial"/>
          <w:sz w:val="14"/>
          <w:szCs w:val="14"/>
          <w:color w:val="auto"/>
        </w:rPr>
        <w:t>State Street Financial Center</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Congress Street, Suite 1</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5"/>
          <w:szCs w:val="15"/>
          <w:color w:val="auto"/>
        </w:rPr>
        <w:t>Boston, MA 02114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5023485" cy="762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023485" cy="7620"/>
                    </a:xfrm>
                    <a:prstGeom prst="rect">
                      <a:avLst/>
                    </a:prstGeom>
                    <a:noFill/>
                  </pic:spPr>
                </pic:pic>
              </a:graphicData>
            </a:graphic>
          </wp:anchor>
        </w:drawing>
      </w:r>
    </w:p>
    <w:p>
      <w:pPr>
        <w:ind w:left="60"/>
        <w:spacing w:after="0"/>
        <w:rPr>
          <w:sz w:val="20"/>
          <w:szCs w:val="20"/>
          <w:color w:val="auto"/>
        </w:rPr>
      </w:pPr>
      <w:r>
        <w:rPr>
          <w:rFonts w:ascii="Arial" w:cs="Arial" w:eastAsia="Arial" w:hAnsi="Arial"/>
          <w:sz w:val="15"/>
          <w:szCs w:val="15"/>
          <w:color w:val="auto"/>
        </w:rPr>
        <w:t>The Vanguard Group</w:t>
      </w:r>
    </w:p>
    <w:p>
      <w:pPr>
        <w:spacing w:after="0" w:line="6" w:lineRule="exact"/>
        <w:rPr>
          <w:sz w:val="20"/>
          <w:szCs w:val="20"/>
          <w:color w:val="auto"/>
        </w:rPr>
      </w:pPr>
    </w:p>
    <w:p>
      <w:pPr>
        <w:ind w:left="60"/>
        <w:spacing w:after="0"/>
        <w:rPr>
          <w:sz w:val="20"/>
          <w:szCs w:val="20"/>
          <w:color w:val="auto"/>
        </w:rPr>
      </w:pPr>
      <w:r>
        <w:rPr>
          <w:rFonts w:ascii="Arial" w:cs="Arial" w:eastAsia="Arial" w:hAnsi="Arial"/>
          <w:sz w:val="15"/>
          <w:szCs w:val="15"/>
          <w:color w:val="auto"/>
        </w:rPr>
        <w:t>100 Vanguard Boulevard</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5"/>
          <w:szCs w:val="15"/>
          <w:color w:val="auto"/>
        </w:rPr>
        <w:t>Malvern, PA 19355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5023485" cy="762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02348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AMOUNT AND NATURE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-60960</wp:posOffset>
            </wp:positionV>
            <wp:extent cx="1356995" cy="16637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356995" cy="166370"/>
                    </a:xfrm>
                    <a:prstGeom prst="rect">
                      <a:avLst/>
                    </a:prstGeom>
                    <a:noFill/>
                  </pic:spPr>
                </pic:pic>
              </a:graphicData>
            </a:graphic>
          </wp:anchor>
        </w:drawing>
      </w:r>
    </w:p>
    <w:p>
      <w:pPr>
        <w:spacing w:after="0" w:line="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BENEFICIAL OWNERSHIP</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19,505,090 shares</w:t>
      </w:r>
      <w:r>
        <w:rPr>
          <w:rFonts w:ascii="Arial" w:cs="Arial" w:eastAsia="Arial" w:hAnsi="Arial"/>
          <w:sz w:val="24"/>
          <w:szCs w:val="24"/>
          <w:color w:val="auto"/>
          <w:vertAlign w:val="superscript"/>
        </w:rPr>
        <w:t>1</w:t>
      </w:r>
    </w:p>
    <w:p>
      <w:pPr>
        <w:spacing w:after="0" w:line="24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15,188,277 shares</w:t>
      </w:r>
      <w:r>
        <w:rPr>
          <w:rFonts w:ascii="Arial" w:cs="Arial" w:eastAsia="Arial" w:hAnsi="Arial"/>
          <w:sz w:val="24"/>
          <w:szCs w:val="24"/>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-5485765</wp:posOffset>
            </wp:positionH>
            <wp:positionV relativeFrom="paragraph">
              <wp:posOffset>-174625</wp:posOffset>
            </wp:positionV>
            <wp:extent cx="7142480" cy="45212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42480" cy="45212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26,117,725 shares</w:t>
      </w:r>
      <w:r>
        <w:rPr>
          <w:rFonts w:ascii="Arial" w:cs="Arial" w:eastAsia="Arial" w:hAnsi="Arial"/>
          <w:sz w:val="24"/>
          <w:szCs w:val="24"/>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166370</wp:posOffset>
            </wp:positionV>
            <wp:extent cx="1356995" cy="762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356995" cy="7620"/>
                    </a:xfrm>
                    <a:prstGeom prst="rect">
                      <a:avLst/>
                    </a:prstGeom>
                    <a:noFill/>
                  </pic:spPr>
                </pic:pic>
              </a:graphicData>
            </a:graphic>
          </wp:anchor>
        </w:drawing>
        <w:drawing>
          <wp:anchor simplePos="0" relativeHeight="251657728" behindDoc="1" locked="0" layoutInCell="0" allowOverlap="1">
            <wp:simplePos x="0" y="0"/>
            <wp:positionH relativeFrom="column">
              <wp:posOffset>-367030</wp:posOffset>
            </wp:positionH>
            <wp:positionV relativeFrom="paragraph">
              <wp:posOffset>-174625</wp:posOffset>
            </wp:positionV>
            <wp:extent cx="1356995" cy="762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35699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40" w:firstLine="32"/>
        <w:spacing w:after="0" w:line="294" w:lineRule="auto"/>
        <w:rPr>
          <w:sz w:val="20"/>
          <w:szCs w:val="20"/>
          <w:color w:val="auto"/>
        </w:rPr>
      </w:pPr>
      <w:r>
        <w:rPr>
          <w:rFonts w:ascii="Arial" w:cs="Arial" w:eastAsia="Arial" w:hAnsi="Arial"/>
          <w:sz w:val="10"/>
          <w:szCs w:val="10"/>
          <w:b w:val="1"/>
          <w:bCs w:val="1"/>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-167005</wp:posOffset>
            </wp:positionV>
            <wp:extent cx="571500" cy="16637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71500" cy="16637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4"/>
          <w:szCs w:val="14"/>
          <w:color w:val="auto"/>
        </w:rPr>
        <w:t>8.72%</w:t>
      </w:r>
    </w:p>
    <w:p>
      <w:pPr>
        <w:spacing w:after="0" w:line="36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6.79%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349885</wp:posOffset>
            </wp:positionV>
            <wp:extent cx="571500" cy="762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571500" cy="762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11.68%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231775</wp:posOffset>
            </wp:positionV>
            <wp:extent cx="571500" cy="762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71500" cy="7620"/>
                    </a:xfrm>
                    <a:prstGeom prst="rect">
                      <a:avLst/>
                    </a:prstGeom>
                    <a:noFill/>
                  </pic:spPr>
                </pic:pic>
              </a:graphicData>
            </a:graphic>
          </wp:anchor>
        </w:drawing>
      </w:r>
    </w:p>
    <w:p>
      <w:pPr>
        <w:spacing w:after="0" w:line="556" w:lineRule="exact"/>
        <w:rPr>
          <w:sz w:val="20"/>
          <w:szCs w:val="20"/>
          <w:color w:val="auto"/>
        </w:rPr>
      </w:pPr>
    </w:p>
    <w:p>
      <w:pPr>
        <w:sectPr>
          <w:pgSz w:w="11900" w:h="16838" w:orient="portrait"/>
          <w:cols w:equalWidth="0" w:num="3">
            <w:col w:w="7920" w:space="720"/>
            <w:col w:w="1500" w:space="460"/>
            <w:col w:w="640"/>
          </w:cols>
          <w:pgMar w:left="320" w:top="223" w:right="339" w:bottom="1440" w:gutter="0" w:footer="0" w:header="0"/>
          <w:type w:val="continuous"/>
        </w:sectPr>
      </w:pPr>
    </w:p>
    <w:p>
      <w:pPr>
        <w:ind w:left="300" w:right="220" w:hanging="300"/>
        <w:spacing w:after="0" w:line="193" w:lineRule="auto"/>
        <w:tabs>
          <w:tab w:leader="none" w:pos="300" w:val="left"/>
        </w:tabs>
        <w:numPr>
          <w:ilvl w:val="0"/>
          <w:numId w:val="132"/>
        </w:numPr>
        <w:rPr>
          <w:rFonts w:ascii="Arial" w:cs="Arial" w:eastAsia="Arial" w:hAnsi="Arial"/>
          <w:sz w:val="22"/>
          <w:szCs w:val="22"/>
          <w:color w:val="auto"/>
          <w:vertAlign w:val="superscript"/>
        </w:rPr>
      </w:pPr>
      <w:r>
        <w:rPr>
          <w:rFonts w:ascii="Arial" w:cs="Arial" w:eastAsia="Arial" w:hAnsi="Arial"/>
          <w:sz w:val="13"/>
          <w:szCs w:val="13"/>
          <w:color w:val="auto"/>
        </w:rPr>
        <w:t>Based solely on information contained in a Schedule 13G/A filed with the SEC on January 25, 2024, by BlackRock, Inc. Of the 19,505,090 shares beneficially owned, BlackRock, Inc., has sole power to vote or direct the vote of 17,839,642 shares and sole power to dispose or to direct the disposition of 19,505,090 shares.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60" w:type="dxa"/>
            <w:vAlign w:val="bottom"/>
          </w:tcPr>
          <w:p>
            <w:pPr>
              <w:ind w:left="9620"/>
              <w:spacing w:after="0"/>
              <w:rPr>
                <w:sz w:val="20"/>
                <w:szCs w:val="20"/>
                <w:color w:val="auto"/>
              </w:rPr>
            </w:pPr>
            <w:r>
              <w:rPr>
                <w:rFonts w:ascii="Times New Roman" w:cs="Times New Roman" w:eastAsia="Times New Roman" w:hAnsi="Times New Roman"/>
                <w:sz w:val="13"/>
                <w:szCs w:val="13"/>
                <w:b w:val="1"/>
                <w:bCs w:val="1"/>
                <w:color w:val="auto"/>
              </w:rPr>
              <w:t xml:space="preserve">2024 </w:t>
            </w:r>
            <w:r>
              <w:rPr>
                <w:rFonts w:ascii="Times New Roman" w:cs="Times New Roman" w:eastAsia="Times New Roman" w:hAnsi="Times New Roman"/>
                <w:sz w:val="13"/>
                <w:szCs w:val="13"/>
                <w:color w:val="auto"/>
              </w:rPr>
              <w:t>Proxy Statement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244F"/>
              </w:rPr>
              <w:t>79</w:t>
            </w:r>
          </w:p>
        </w:tc>
      </w:tr>
      <w:tr>
        <w:trPr>
          <w:trHeight w:val="385"/>
        </w:trPr>
        <w:tc>
          <w:tcPr>
            <w:tcW w:w="10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3" w:right="33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7"/>
          <w:szCs w:val="17"/>
          <w:u w:val="single" w:color="auto"/>
          <w:color w:val="0000EE"/>
        </w:rPr>
        <w:t>Table of Contents</w:t>
      </w:r>
    </w:p>
    <w:p>
      <w:pPr>
        <w:spacing w:after="0" w:line="389" w:lineRule="exact"/>
        <w:rPr>
          <w:sz w:val="20"/>
          <w:szCs w:val="20"/>
          <w:color w:val="auto"/>
        </w:rPr>
      </w:pPr>
    </w:p>
    <w:p>
      <w:pPr>
        <w:jc w:val="both"/>
        <w:ind w:left="300" w:hanging="300"/>
        <w:spacing w:after="0" w:line="206" w:lineRule="auto"/>
        <w:tabs>
          <w:tab w:leader="none" w:pos="300" w:val="left"/>
        </w:tabs>
        <w:numPr>
          <w:ilvl w:val="0"/>
          <w:numId w:val="133"/>
        </w:numPr>
        <w:rPr>
          <w:rFonts w:ascii="Arial" w:cs="Arial" w:eastAsia="Arial" w:hAnsi="Arial"/>
          <w:sz w:val="22"/>
          <w:szCs w:val="22"/>
          <w:color w:val="auto"/>
          <w:vertAlign w:val="superscript"/>
        </w:rPr>
      </w:pPr>
      <w:r>
        <w:rPr>
          <w:rFonts w:ascii="Arial" w:cs="Arial" w:eastAsia="Arial" w:hAnsi="Arial"/>
          <w:sz w:val="13"/>
          <w:szCs w:val="13"/>
          <w:color w:val="auto"/>
        </w:rPr>
        <w:t>Based solely on information contained in a Schedule 13G/A filed with the SEC on January 29, 2024, by State Street Corporation. Of the 15,188,277 shares beneficially owned, State Street Corporation has sole power to vote or direct the vote of no shares, sole power to dispose or to direct the disposition of no shares, shared power to vote or direct the vote of 10,941,696 shares, and shared power to dispose or direct the disposition of 15,172,754 shares.</w:t>
      </w:r>
    </w:p>
    <w:p>
      <w:pPr>
        <w:spacing w:after="0" w:line="51" w:lineRule="exact"/>
        <w:rPr>
          <w:sz w:val="20"/>
          <w:szCs w:val="20"/>
          <w:color w:val="auto"/>
        </w:rPr>
      </w:pPr>
    </w:p>
    <w:p>
      <w:pPr>
        <w:jc w:val="both"/>
        <w:ind w:left="300" w:hanging="300"/>
        <w:spacing w:after="0" w:line="206" w:lineRule="auto"/>
        <w:tabs>
          <w:tab w:leader="none" w:pos="300" w:val="left"/>
        </w:tabs>
        <w:numPr>
          <w:ilvl w:val="0"/>
          <w:numId w:val="134"/>
        </w:numPr>
        <w:rPr>
          <w:rFonts w:ascii="Arial" w:cs="Arial" w:eastAsia="Arial" w:hAnsi="Arial"/>
          <w:sz w:val="22"/>
          <w:szCs w:val="22"/>
          <w:color w:val="auto"/>
          <w:vertAlign w:val="superscript"/>
        </w:rPr>
      </w:pPr>
      <w:r>
        <w:rPr>
          <w:rFonts w:ascii="Arial" w:cs="Arial" w:eastAsia="Arial" w:hAnsi="Arial"/>
          <w:sz w:val="13"/>
          <w:szCs w:val="13"/>
          <w:color w:val="auto"/>
        </w:rPr>
        <w:t>Based solely on information contained in a Schedule 13G/A filed with the SEC on February 13, 2024, by The Vanguard Group. Of the 26,117,725 shares beneficially owned, The Vanguard Group has sole power to vote or direct the vote of no shares, sole power to dispose or to direct the disposition of 25,140,085 shares, shared power to vote or direct the vote of 280,111 shares, and shared power to dispose or to direct the disposition of 977,640 shares.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00254F"/>
        </w:rPr>
        <w:t>Stock Ownership of Directors and Management</w:t>
      </w:r>
    </w:p>
    <w:p>
      <w:pPr>
        <w:spacing w:after="0" w:line="211" w:lineRule="exact"/>
        <w:rPr>
          <w:sz w:val="20"/>
          <w:szCs w:val="20"/>
          <w:color w:val="auto"/>
        </w:rPr>
      </w:pPr>
    </w:p>
    <w:p>
      <w:pPr>
        <w:ind w:right="120"/>
        <w:spacing w:after="0" w:line="252" w:lineRule="auto"/>
        <w:rPr>
          <w:sz w:val="20"/>
          <w:szCs w:val="20"/>
          <w:color w:val="auto"/>
        </w:rPr>
      </w:pPr>
      <w:r>
        <w:rPr>
          <w:rFonts w:ascii="Arial" w:cs="Arial" w:eastAsia="Arial" w:hAnsi="Arial"/>
          <w:sz w:val="15"/>
          <w:szCs w:val="15"/>
          <w:color w:val="auto"/>
        </w:rPr>
        <w:t>The following table sets forth information regarding the beneficial ownership of the Company's common stock as of the record date, March 1, 2024, by (i) each director and each nominee for director, (ii) each person named in the Summary Compensation Table, and (iii) all directors and executive officers as a group. Share amounts and percentages shown for each individual or group in the table assume the exercise of all stock options exercisable by such individual or group within 60 days of the record date and the settlement of RSUs that are vested or will vest within 60 days of the record date. Except as otherwise noted, all shares are owned individually with sole voting and dispositive power.</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44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5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b w:val="1"/>
                <w:bCs w:val="1"/>
                <w:color w:val="auto"/>
              </w:rPr>
              <w:t>AMOUNT OF</w:t>
            </w:r>
          </w:p>
        </w:tc>
        <w:tc>
          <w:tcPr>
            <w:tcW w:w="10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PERCENT</w:t>
            </w:r>
          </w:p>
        </w:tc>
        <w:tc>
          <w:tcPr>
            <w:tcW w:w="0" w:type="dxa"/>
            <w:vAlign w:val="bottom"/>
          </w:tcPr>
          <w:p>
            <w:pPr>
              <w:spacing w:after="0"/>
              <w:rPr>
                <w:sz w:val="1"/>
                <w:szCs w:val="1"/>
                <w:color w:val="auto"/>
              </w:rPr>
            </w:pPr>
          </w:p>
        </w:tc>
      </w:tr>
      <w:tr>
        <w:trPr>
          <w:trHeight w:val="118"/>
        </w:trPr>
        <w:tc>
          <w:tcPr>
            <w:tcW w:w="8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NAME OF BENEFICIAL OWNER</w:t>
            </w:r>
          </w:p>
        </w:tc>
        <w:tc>
          <w:tcPr>
            <w:tcW w:w="160" w:type="dxa"/>
            <w:vAlign w:val="bottom"/>
            <w:tcBorders>
              <w:right w:val="single" w:sz="8" w:color="auto"/>
            </w:tcBorders>
            <w:vMerge w:val="restart"/>
          </w:tcPr>
          <w:p>
            <w:pPr>
              <w:spacing w:after="0"/>
              <w:rPr>
                <w:sz w:val="10"/>
                <w:szCs w:val="10"/>
                <w:color w:val="auto"/>
              </w:rPr>
            </w:pPr>
          </w:p>
        </w:tc>
        <w:tc>
          <w:tcPr>
            <w:tcW w:w="1560" w:type="dxa"/>
            <w:vAlign w:val="bottom"/>
            <w:tcBorders>
              <w:right w:val="single" w:sz="8" w:color="auto"/>
            </w:tcBorders>
            <w:gridSpan w:val="2"/>
          </w:tcPr>
          <w:p>
            <w:pPr>
              <w:jc w:val="right"/>
              <w:ind w:right="220"/>
              <w:spacing w:after="0" w:line="118" w:lineRule="exact"/>
              <w:rPr>
                <w:sz w:val="20"/>
                <w:szCs w:val="20"/>
                <w:color w:val="auto"/>
              </w:rPr>
            </w:pPr>
            <w:r>
              <w:rPr>
                <w:rFonts w:ascii="Arial" w:cs="Arial" w:eastAsia="Arial" w:hAnsi="Arial"/>
                <w:sz w:val="12"/>
                <w:szCs w:val="12"/>
                <w:b w:val="1"/>
                <w:bCs w:val="1"/>
                <w:color w:val="auto"/>
              </w:rPr>
              <w:t>BENEFICIAL</w:t>
            </w: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8440" w:type="dxa"/>
            <w:vAlign w:val="bottom"/>
            <w:tcBorders>
              <w:bottom w:val="single" w:sz="8" w:color="auto"/>
            </w:tcBorders>
            <w:vMerge w:val="continue"/>
          </w:tcPr>
          <w:p>
            <w:pPr>
              <w:spacing w:after="0"/>
              <w:rPr>
                <w:sz w:val="13"/>
                <w:szCs w:val="13"/>
                <w:color w:val="auto"/>
              </w:rPr>
            </w:pPr>
          </w:p>
        </w:tc>
        <w:tc>
          <w:tcPr>
            <w:tcW w:w="160" w:type="dxa"/>
            <w:vAlign w:val="bottom"/>
            <w:tcBorders>
              <w:right w:val="single" w:sz="8" w:color="auto"/>
            </w:tcBorders>
            <w:vMerge w:val="continue"/>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OWNERSHIP</w:t>
            </w:r>
          </w:p>
        </w:tc>
        <w:tc>
          <w:tcPr>
            <w:tcW w:w="180" w:type="dxa"/>
            <w:vAlign w:val="bottom"/>
            <w:tcBorders>
              <w:right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1"/>
                <w:szCs w:val="11"/>
                <w:b w:val="1"/>
                <w:bCs w:val="1"/>
                <w:color w:val="auto"/>
              </w:rPr>
              <w:t>OF CLASS</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205"/>
        </w:trPr>
        <w:tc>
          <w:tcPr>
            <w:tcW w:w="8440" w:type="dxa"/>
            <w:vAlign w:val="bottom"/>
            <w:tcBorders>
              <w:bottom w:val="single" w:sz="8" w:color="808080"/>
            </w:tcBorders>
          </w:tcPr>
          <w:p>
            <w:pPr>
              <w:ind w:left="60"/>
              <w:spacing w:after="0"/>
              <w:rPr>
                <w:sz w:val="20"/>
                <w:szCs w:val="20"/>
                <w:color w:val="auto"/>
              </w:rPr>
            </w:pPr>
            <w:r>
              <w:rPr>
                <w:rFonts w:ascii="Arial" w:cs="Arial" w:eastAsia="Arial" w:hAnsi="Arial"/>
                <w:sz w:val="15"/>
                <w:szCs w:val="15"/>
                <w:b w:val="1"/>
                <w:bCs w:val="1"/>
                <w:color w:val="00254F"/>
              </w:rPr>
              <w:t>Glenn R. August</w:t>
            </w:r>
          </w:p>
        </w:tc>
        <w:tc>
          <w:tcPr>
            <w:tcW w:w="160" w:type="dxa"/>
            <w:vAlign w:val="bottom"/>
            <w:tcBorders>
              <w:bottom w:val="single" w:sz="8" w:color="E7E7E8"/>
            </w:tcBorders>
          </w:tcPr>
          <w:p>
            <w:pPr>
              <w:spacing w:after="0"/>
              <w:rPr>
                <w:sz w:val="17"/>
                <w:szCs w:val="17"/>
                <w:color w:val="auto"/>
              </w:rPr>
            </w:pPr>
          </w:p>
        </w:tc>
        <w:tc>
          <w:tcPr>
            <w:tcW w:w="1380" w:type="dxa"/>
            <w:vAlign w:val="bottom"/>
            <w:tcBorders>
              <w:bottom w:val="single" w:sz="8" w:color="808080"/>
            </w:tcBorders>
          </w:tcPr>
          <w:p>
            <w:pPr>
              <w:jc w:val="right"/>
              <w:ind w:right="90"/>
              <w:spacing w:after="0" w:line="204" w:lineRule="exact"/>
              <w:rPr>
                <w:sz w:val="20"/>
                <w:szCs w:val="20"/>
                <w:color w:val="auto"/>
              </w:rPr>
            </w:pPr>
            <w:r>
              <w:rPr>
                <w:rFonts w:ascii="Arial" w:cs="Arial" w:eastAsia="Arial" w:hAnsi="Arial"/>
                <w:sz w:val="14"/>
                <w:szCs w:val="14"/>
                <w:color w:val="auto"/>
              </w:rPr>
              <w:t>2,371,616</w:t>
            </w:r>
            <w:r>
              <w:rPr>
                <w:rFonts w:ascii="Arial" w:cs="Arial" w:eastAsia="Arial" w:hAnsi="Arial"/>
                <w:sz w:val="23"/>
                <w:szCs w:val="23"/>
                <w:color w:val="auto"/>
                <w:vertAlign w:val="superscript"/>
              </w:rPr>
              <w:t>2</w:t>
            </w:r>
          </w:p>
        </w:tc>
        <w:tc>
          <w:tcPr>
            <w:tcW w:w="180" w:type="dxa"/>
            <w:vAlign w:val="bottom"/>
            <w:tcBorders>
              <w:bottom w:val="single" w:sz="8" w:color="E7E7E8"/>
            </w:tcBorders>
          </w:tcPr>
          <w:p>
            <w:pPr>
              <w:spacing w:after="0"/>
              <w:rPr>
                <w:sz w:val="17"/>
                <w:szCs w:val="17"/>
                <w:color w:val="auto"/>
              </w:rPr>
            </w:pPr>
          </w:p>
        </w:tc>
        <w:tc>
          <w:tcPr>
            <w:tcW w:w="108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205"/>
        </w:trPr>
        <w:tc>
          <w:tcPr>
            <w:tcW w:w="8440" w:type="dxa"/>
            <w:vAlign w:val="bottom"/>
            <w:tcBorders>
              <w:bottom w:val="single" w:sz="8" w:color="808080"/>
            </w:tcBorders>
            <w:shd w:val="clear" w:color="auto" w:fill="E7E7E8"/>
          </w:tcPr>
          <w:p>
            <w:pPr>
              <w:ind w:left="60"/>
              <w:spacing w:after="0"/>
              <w:rPr>
                <w:sz w:val="20"/>
                <w:szCs w:val="20"/>
                <w:color w:val="auto"/>
              </w:rPr>
            </w:pPr>
            <w:r>
              <w:rPr>
                <w:rFonts w:ascii="Arial" w:cs="Arial" w:eastAsia="Arial" w:hAnsi="Arial"/>
                <w:sz w:val="15"/>
                <w:szCs w:val="15"/>
                <w:b w:val="1"/>
                <w:bCs w:val="1"/>
                <w:color w:val="00254F"/>
              </w:rPr>
              <w:t>Mark S. Bartlett</w:t>
            </w:r>
          </w:p>
        </w:tc>
        <w:tc>
          <w:tcPr>
            <w:tcW w:w="160" w:type="dxa"/>
            <w:vAlign w:val="bottom"/>
            <w:tcBorders>
              <w:right w:val="single" w:sz="8" w:color="E7E7E8"/>
            </w:tcBorders>
            <w:shd w:val="clear" w:color="auto" w:fill="E7E7E8"/>
          </w:tcPr>
          <w:p>
            <w:pPr>
              <w:spacing w:after="0"/>
              <w:rPr>
                <w:sz w:val="17"/>
                <w:szCs w:val="17"/>
                <w:color w:val="auto"/>
              </w:rPr>
            </w:pPr>
          </w:p>
        </w:tc>
        <w:tc>
          <w:tcPr>
            <w:tcW w:w="1380" w:type="dxa"/>
            <w:vAlign w:val="bottom"/>
            <w:tcBorders>
              <w:bottom w:val="single" w:sz="8" w:color="808080"/>
            </w:tcBorders>
            <w:shd w:val="clear" w:color="auto" w:fill="E7E7E8"/>
          </w:tcPr>
          <w:p>
            <w:pPr>
              <w:jc w:val="right"/>
              <w:ind w:right="90"/>
              <w:spacing w:after="0" w:line="204" w:lineRule="exact"/>
              <w:rPr>
                <w:sz w:val="20"/>
                <w:szCs w:val="20"/>
                <w:color w:val="auto"/>
              </w:rPr>
            </w:pPr>
            <w:r>
              <w:rPr>
                <w:rFonts w:ascii="Arial" w:cs="Arial" w:eastAsia="Arial" w:hAnsi="Arial"/>
                <w:sz w:val="14"/>
                <w:szCs w:val="14"/>
                <w:color w:val="auto"/>
              </w:rPr>
              <w:t>29,413</w:t>
            </w:r>
            <w:r>
              <w:rPr>
                <w:rFonts w:ascii="Arial" w:cs="Arial" w:eastAsia="Arial" w:hAnsi="Arial"/>
                <w:sz w:val="23"/>
                <w:szCs w:val="23"/>
                <w:color w:val="auto"/>
                <w:vertAlign w:val="superscript"/>
              </w:rPr>
              <w:t>3</w:t>
            </w:r>
          </w:p>
        </w:tc>
        <w:tc>
          <w:tcPr>
            <w:tcW w:w="180" w:type="dxa"/>
            <w:vAlign w:val="bottom"/>
            <w:tcBorders>
              <w:right w:val="single" w:sz="8" w:color="E7E7E8"/>
            </w:tcBorders>
            <w:shd w:val="clear" w:color="auto" w:fill="E7E7E8"/>
          </w:tcPr>
          <w:p>
            <w:pPr>
              <w:spacing w:after="0"/>
              <w:rPr>
                <w:sz w:val="17"/>
                <w:szCs w:val="17"/>
                <w:color w:val="auto"/>
              </w:rPr>
            </w:pPr>
          </w:p>
        </w:tc>
        <w:tc>
          <w:tcPr>
            <w:tcW w:w="108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8440" w:type="dxa"/>
            <w:vAlign w:val="bottom"/>
            <w:tcBorders>
              <w:bottom w:val="single" w:sz="8" w:color="808080"/>
            </w:tcBorders>
          </w:tcPr>
          <w:p>
            <w:pPr>
              <w:ind w:left="60"/>
              <w:spacing w:after="0"/>
              <w:rPr>
                <w:sz w:val="20"/>
                <w:szCs w:val="20"/>
                <w:color w:val="auto"/>
              </w:rPr>
            </w:pPr>
            <w:r>
              <w:rPr>
                <w:rFonts w:ascii="Arial" w:cs="Arial" w:eastAsia="Arial" w:hAnsi="Arial"/>
                <w:sz w:val="15"/>
                <w:szCs w:val="15"/>
                <w:b w:val="1"/>
                <w:bCs w:val="1"/>
                <w:color w:val="00254F"/>
              </w:rPr>
              <w:t>Jennifer B. Dardis</w:t>
            </w:r>
          </w:p>
        </w:tc>
        <w:tc>
          <w:tcPr>
            <w:tcW w:w="160" w:type="dxa"/>
            <w:vAlign w:val="bottom"/>
            <w:tcBorders>
              <w:bottom w:val="single" w:sz="8" w:color="E7E7E8"/>
            </w:tcBorders>
          </w:tcPr>
          <w:p>
            <w:pPr>
              <w:spacing w:after="0"/>
              <w:rPr>
                <w:sz w:val="17"/>
                <w:szCs w:val="17"/>
                <w:color w:val="auto"/>
              </w:rPr>
            </w:pPr>
          </w:p>
        </w:tc>
        <w:tc>
          <w:tcPr>
            <w:tcW w:w="1380" w:type="dxa"/>
            <w:vAlign w:val="bottom"/>
            <w:tcBorders>
              <w:bottom w:val="single" w:sz="8" w:color="808080"/>
            </w:tcBorders>
          </w:tcPr>
          <w:p>
            <w:pPr>
              <w:jc w:val="right"/>
              <w:ind w:right="90"/>
              <w:spacing w:after="0" w:line="204" w:lineRule="exact"/>
              <w:rPr>
                <w:sz w:val="20"/>
                <w:szCs w:val="20"/>
                <w:color w:val="auto"/>
              </w:rPr>
            </w:pPr>
            <w:r>
              <w:rPr>
                <w:rFonts w:ascii="Arial" w:cs="Arial" w:eastAsia="Arial" w:hAnsi="Arial"/>
                <w:sz w:val="14"/>
                <w:szCs w:val="14"/>
                <w:color w:val="auto"/>
              </w:rPr>
              <w:t>17,159</w:t>
            </w:r>
            <w:r>
              <w:rPr>
                <w:rFonts w:ascii="Arial" w:cs="Arial" w:eastAsia="Arial" w:hAnsi="Arial"/>
                <w:sz w:val="23"/>
                <w:szCs w:val="23"/>
                <w:color w:val="auto"/>
                <w:vertAlign w:val="superscript"/>
              </w:rPr>
              <w:t>4</w:t>
            </w:r>
          </w:p>
        </w:tc>
        <w:tc>
          <w:tcPr>
            <w:tcW w:w="180" w:type="dxa"/>
            <w:vAlign w:val="bottom"/>
            <w:tcBorders>
              <w:bottom w:val="single" w:sz="8" w:color="E7E7E8"/>
            </w:tcBorders>
          </w:tcPr>
          <w:p>
            <w:pPr>
              <w:spacing w:after="0"/>
              <w:rPr>
                <w:sz w:val="17"/>
                <w:szCs w:val="17"/>
                <w:color w:val="auto"/>
              </w:rPr>
            </w:pPr>
          </w:p>
        </w:tc>
        <w:tc>
          <w:tcPr>
            <w:tcW w:w="108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8440" w:type="dxa"/>
            <w:vAlign w:val="bottom"/>
            <w:tcBorders>
              <w:bottom w:val="single" w:sz="8" w:color="808080"/>
            </w:tcBorders>
            <w:shd w:val="clear" w:color="auto" w:fill="E7E7E8"/>
          </w:tcPr>
          <w:p>
            <w:pPr>
              <w:ind w:left="60"/>
              <w:spacing w:after="0"/>
              <w:rPr>
                <w:sz w:val="20"/>
                <w:szCs w:val="20"/>
                <w:color w:val="auto"/>
              </w:rPr>
            </w:pPr>
            <w:r>
              <w:rPr>
                <w:rFonts w:ascii="Arial" w:cs="Arial" w:eastAsia="Arial" w:hAnsi="Arial"/>
                <w:sz w:val="15"/>
                <w:szCs w:val="15"/>
                <w:b w:val="1"/>
                <w:bCs w:val="1"/>
                <w:color w:val="00254F"/>
              </w:rPr>
              <w:t>William P. Donnelly</w:t>
            </w:r>
          </w:p>
        </w:tc>
        <w:tc>
          <w:tcPr>
            <w:tcW w:w="160" w:type="dxa"/>
            <w:vAlign w:val="bottom"/>
            <w:tcBorders>
              <w:right w:val="single" w:sz="8" w:color="E7E7E8"/>
            </w:tcBorders>
            <w:shd w:val="clear" w:color="auto" w:fill="E7E7E8"/>
          </w:tcPr>
          <w:p>
            <w:pPr>
              <w:spacing w:after="0"/>
              <w:rPr>
                <w:sz w:val="17"/>
                <w:szCs w:val="17"/>
                <w:color w:val="auto"/>
              </w:rPr>
            </w:pPr>
          </w:p>
        </w:tc>
        <w:tc>
          <w:tcPr>
            <w:tcW w:w="1380" w:type="dxa"/>
            <w:vAlign w:val="bottom"/>
            <w:tcBorders>
              <w:bottom w:val="single" w:sz="8" w:color="808080"/>
            </w:tcBorders>
            <w:shd w:val="clear" w:color="auto" w:fill="E7E7E8"/>
          </w:tcPr>
          <w:p>
            <w:pPr>
              <w:jc w:val="right"/>
              <w:ind w:right="90"/>
              <w:spacing w:after="0" w:line="204" w:lineRule="exact"/>
              <w:rPr>
                <w:sz w:val="20"/>
                <w:szCs w:val="20"/>
                <w:color w:val="auto"/>
              </w:rPr>
            </w:pPr>
            <w:r>
              <w:rPr>
                <w:rFonts w:ascii="Arial" w:cs="Arial" w:eastAsia="Arial" w:hAnsi="Arial"/>
                <w:sz w:val="14"/>
                <w:szCs w:val="14"/>
                <w:color w:val="auto"/>
              </w:rPr>
              <w:t>191</w:t>
            </w:r>
            <w:r>
              <w:rPr>
                <w:rFonts w:ascii="Arial" w:cs="Arial" w:eastAsia="Arial" w:hAnsi="Arial"/>
                <w:sz w:val="23"/>
                <w:szCs w:val="23"/>
                <w:color w:val="auto"/>
                <w:vertAlign w:val="superscript"/>
              </w:rPr>
              <w:t>5</w:t>
            </w:r>
          </w:p>
        </w:tc>
        <w:tc>
          <w:tcPr>
            <w:tcW w:w="180" w:type="dxa"/>
            <w:vAlign w:val="bottom"/>
            <w:tcBorders>
              <w:right w:val="single" w:sz="8" w:color="E7E7E8"/>
            </w:tcBorders>
            <w:shd w:val="clear" w:color="auto" w:fill="E7E7E8"/>
          </w:tcPr>
          <w:p>
            <w:pPr>
              <w:spacing w:after="0"/>
              <w:rPr>
                <w:sz w:val="17"/>
                <w:szCs w:val="17"/>
                <w:color w:val="auto"/>
              </w:rPr>
            </w:pPr>
          </w:p>
        </w:tc>
        <w:tc>
          <w:tcPr>
            <w:tcW w:w="108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8440" w:type="dxa"/>
            <w:vAlign w:val="bottom"/>
            <w:tcBorders>
              <w:bottom w:val="single" w:sz="8" w:color="808080"/>
            </w:tcBorders>
          </w:tcPr>
          <w:p>
            <w:pPr>
              <w:ind w:left="60"/>
              <w:spacing w:after="0"/>
              <w:rPr>
                <w:sz w:val="20"/>
                <w:szCs w:val="20"/>
                <w:color w:val="auto"/>
              </w:rPr>
            </w:pPr>
            <w:r>
              <w:rPr>
                <w:rFonts w:ascii="Arial" w:cs="Arial" w:eastAsia="Arial" w:hAnsi="Arial"/>
                <w:sz w:val="15"/>
                <w:szCs w:val="15"/>
                <w:b w:val="1"/>
                <w:bCs w:val="1"/>
                <w:color w:val="00254F"/>
              </w:rPr>
              <w:t>Dina Dublon</w:t>
            </w:r>
          </w:p>
        </w:tc>
        <w:tc>
          <w:tcPr>
            <w:tcW w:w="160" w:type="dxa"/>
            <w:vAlign w:val="bottom"/>
            <w:tcBorders>
              <w:bottom w:val="single" w:sz="8" w:color="E7E7E8"/>
            </w:tcBorders>
          </w:tcPr>
          <w:p>
            <w:pPr>
              <w:spacing w:after="0"/>
              <w:rPr>
                <w:sz w:val="17"/>
                <w:szCs w:val="17"/>
                <w:color w:val="auto"/>
              </w:rPr>
            </w:pPr>
          </w:p>
        </w:tc>
        <w:tc>
          <w:tcPr>
            <w:tcW w:w="1380" w:type="dxa"/>
            <w:vAlign w:val="bottom"/>
            <w:tcBorders>
              <w:bottom w:val="single" w:sz="8" w:color="808080"/>
            </w:tcBorders>
          </w:tcPr>
          <w:p>
            <w:pPr>
              <w:jc w:val="right"/>
              <w:ind w:right="90"/>
              <w:spacing w:after="0" w:line="204" w:lineRule="exact"/>
              <w:rPr>
                <w:sz w:val="20"/>
                <w:szCs w:val="20"/>
                <w:color w:val="auto"/>
              </w:rPr>
            </w:pPr>
            <w:r>
              <w:rPr>
                <w:rFonts w:ascii="Arial" w:cs="Arial" w:eastAsia="Arial" w:hAnsi="Arial"/>
                <w:sz w:val="14"/>
                <w:szCs w:val="14"/>
                <w:color w:val="auto"/>
              </w:rPr>
              <w:t>10,480</w:t>
            </w:r>
            <w:r>
              <w:rPr>
                <w:rFonts w:ascii="Arial" w:cs="Arial" w:eastAsia="Arial" w:hAnsi="Arial"/>
                <w:sz w:val="23"/>
                <w:szCs w:val="23"/>
                <w:color w:val="auto"/>
                <w:vertAlign w:val="superscript"/>
              </w:rPr>
              <w:t>6</w:t>
            </w:r>
          </w:p>
        </w:tc>
        <w:tc>
          <w:tcPr>
            <w:tcW w:w="180" w:type="dxa"/>
            <w:vAlign w:val="bottom"/>
            <w:tcBorders>
              <w:bottom w:val="single" w:sz="8" w:color="E7E7E8"/>
            </w:tcBorders>
          </w:tcPr>
          <w:p>
            <w:pPr>
              <w:spacing w:after="0"/>
              <w:rPr>
                <w:sz w:val="17"/>
                <w:szCs w:val="17"/>
                <w:color w:val="auto"/>
              </w:rPr>
            </w:pPr>
          </w:p>
        </w:tc>
        <w:tc>
          <w:tcPr>
            <w:tcW w:w="108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8440" w:type="dxa"/>
            <w:vAlign w:val="bottom"/>
            <w:tcBorders>
              <w:bottom w:val="single" w:sz="8" w:color="808080"/>
            </w:tcBorders>
            <w:shd w:val="clear" w:color="auto" w:fill="E7E7E8"/>
          </w:tcPr>
          <w:p>
            <w:pPr>
              <w:ind w:left="60"/>
              <w:spacing w:after="0"/>
              <w:rPr>
                <w:sz w:val="20"/>
                <w:szCs w:val="20"/>
                <w:color w:val="auto"/>
              </w:rPr>
            </w:pPr>
            <w:r>
              <w:rPr>
                <w:rFonts w:ascii="Arial" w:cs="Arial" w:eastAsia="Arial" w:hAnsi="Arial"/>
                <w:sz w:val="15"/>
                <w:szCs w:val="15"/>
                <w:b w:val="1"/>
                <w:bCs w:val="1"/>
                <w:color w:val="00254F"/>
              </w:rPr>
              <w:t>Dr. Freeman A. Hrabowski, III</w:t>
            </w:r>
          </w:p>
        </w:tc>
        <w:tc>
          <w:tcPr>
            <w:tcW w:w="160" w:type="dxa"/>
            <w:vAlign w:val="bottom"/>
            <w:tcBorders>
              <w:right w:val="single" w:sz="8" w:color="E7E7E8"/>
            </w:tcBorders>
            <w:shd w:val="clear" w:color="auto" w:fill="E7E7E8"/>
          </w:tcPr>
          <w:p>
            <w:pPr>
              <w:spacing w:after="0"/>
              <w:rPr>
                <w:sz w:val="17"/>
                <w:szCs w:val="17"/>
                <w:color w:val="auto"/>
              </w:rPr>
            </w:pPr>
          </w:p>
        </w:tc>
        <w:tc>
          <w:tcPr>
            <w:tcW w:w="1380" w:type="dxa"/>
            <w:vAlign w:val="bottom"/>
            <w:tcBorders>
              <w:bottom w:val="single" w:sz="8" w:color="808080"/>
            </w:tcBorders>
            <w:shd w:val="clear" w:color="auto" w:fill="E7E7E8"/>
          </w:tcPr>
          <w:p>
            <w:pPr>
              <w:jc w:val="right"/>
              <w:ind w:right="90"/>
              <w:spacing w:after="0" w:line="204" w:lineRule="exact"/>
              <w:rPr>
                <w:sz w:val="20"/>
                <w:szCs w:val="20"/>
                <w:color w:val="auto"/>
              </w:rPr>
            </w:pPr>
            <w:r>
              <w:rPr>
                <w:rFonts w:ascii="Arial" w:cs="Arial" w:eastAsia="Arial" w:hAnsi="Arial"/>
                <w:sz w:val="14"/>
                <w:szCs w:val="14"/>
                <w:color w:val="auto"/>
              </w:rPr>
              <w:t>70,854</w:t>
            </w:r>
            <w:r>
              <w:rPr>
                <w:rFonts w:ascii="Arial" w:cs="Arial" w:eastAsia="Arial" w:hAnsi="Arial"/>
                <w:sz w:val="23"/>
                <w:szCs w:val="23"/>
                <w:color w:val="auto"/>
                <w:vertAlign w:val="superscript"/>
              </w:rPr>
              <w:t>7</w:t>
            </w:r>
          </w:p>
        </w:tc>
        <w:tc>
          <w:tcPr>
            <w:tcW w:w="180" w:type="dxa"/>
            <w:vAlign w:val="bottom"/>
            <w:tcBorders>
              <w:right w:val="single" w:sz="8" w:color="E7E7E8"/>
            </w:tcBorders>
            <w:shd w:val="clear" w:color="auto" w:fill="E7E7E8"/>
          </w:tcPr>
          <w:p>
            <w:pPr>
              <w:spacing w:after="0"/>
              <w:rPr>
                <w:sz w:val="17"/>
                <w:szCs w:val="17"/>
                <w:color w:val="auto"/>
              </w:rPr>
            </w:pPr>
          </w:p>
        </w:tc>
        <w:tc>
          <w:tcPr>
            <w:tcW w:w="108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8440" w:type="dxa"/>
            <w:vAlign w:val="bottom"/>
            <w:tcBorders>
              <w:bottom w:val="single" w:sz="8" w:color="808080"/>
            </w:tcBorders>
          </w:tcPr>
          <w:p>
            <w:pPr>
              <w:ind w:left="60"/>
              <w:spacing w:after="0"/>
              <w:rPr>
                <w:sz w:val="20"/>
                <w:szCs w:val="20"/>
                <w:color w:val="auto"/>
              </w:rPr>
            </w:pPr>
            <w:r>
              <w:rPr>
                <w:rFonts w:ascii="Arial" w:cs="Arial" w:eastAsia="Arial" w:hAnsi="Arial"/>
                <w:sz w:val="15"/>
                <w:szCs w:val="15"/>
                <w:b w:val="1"/>
                <w:bCs w:val="1"/>
                <w:color w:val="00254F"/>
              </w:rPr>
              <w:t>Robert F. MacLellan</w:t>
            </w:r>
          </w:p>
        </w:tc>
        <w:tc>
          <w:tcPr>
            <w:tcW w:w="160" w:type="dxa"/>
            <w:vAlign w:val="bottom"/>
            <w:tcBorders>
              <w:bottom w:val="single" w:sz="8" w:color="E7E7E8"/>
            </w:tcBorders>
          </w:tcPr>
          <w:p>
            <w:pPr>
              <w:spacing w:after="0"/>
              <w:rPr>
                <w:sz w:val="17"/>
                <w:szCs w:val="17"/>
                <w:color w:val="auto"/>
              </w:rPr>
            </w:pPr>
          </w:p>
        </w:tc>
        <w:tc>
          <w:tcPr>
            <w:tcW w:w="1380" w:type="dxa"/>
            <w:vAlign w:val="bottom"/>
            <w:tcBorders>
              <w:bottom w:val="single" w:sz="8" w:color="808080"/>
            </w:tcBorders>
          </w:tcPr>
          <w:p>
            <w:pPr>
              <w:jc w:val="right"/>
              <w:ind w:right="90"/>
              <w:spacing w:after="0" w:line="204" w:lineRule="exact"/>
              <w:rPr>
                <w:sz w:val="20"/>
                <w:szCs w:val="20"/>
                <w:color w:val="auto"/>
              </w:rPr>
            </w:pPr>
            <w:r>
              <w:rPr>
                <w:rFonts w:ascii="Arial" w:cs="Arial" w:eastAsia="Arial" w:hAnsi="Arial"/>
                <w:sz w:val="14"/>
                <w:szCs w:val="14"/>
                <w:color w:val="auto"/>
              </w:rPr>
              <w:t>59,610</w:t>
            </w:r>
            <w:r>
              <w:rPr>
                <w:rFonts w:ascii="Arial" w:cs="Arial" w:eastAsia="Arial" w:hAnsi="Arial"/>
                <w:sz w:val="23"/>
                <w:szCs w:val="23"/>
                <w:color w:val="auto"/>
                <w:vertAlign w:val="superscript"/>
              </w:rPr>
              <w:t>8</w:t>
            </w:r>
          </w:p>
        </w:tc>
        <w:tc>
          <w:tcPr>
            <w:tcW w:w="180" w:type="dxa"/>
            <w:vAlign w:val="bottom"/>
            <w:tcBorders>
              <w:bottom w:val="single" w:sz="8" w:color="E7E7E8"/>
            </w:tcBorders>
          </w:tcPr>
          <w:p>
            <w:pPr>
              <w:spacing w:after="0"/>
              <w:rPr>
                <w:sz w:val="17"/>
                <w:szCs w:val="17"/>
                <w:color w:val="auto"/>
              </w:rPr>
            </w:pPr>
          </w:p>
        </w:tc>
        <w:tc>
          <w:tcPr>
            <w:tcW w:w="108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8440" w:type="dxa"/>
            <w:vAlign w:val="bottom"/>
            <w:tcBorders>
              <w:bottom w:val="single" w:sz="8" w:color="808080"/>
            </w:tcBorders>
            <w:shd w:val="clear" w:color="auto" w:fill="E7E7E8"/>
          </w:tcPr>
          <w:p>
            <w:pPr>
              <w:ind w:left="60"/>
              <w:spacing w:after="0"/>
              <w:rPr>
                <w:sz w:val="20"/>
                <w:szCs w:val="20"/>
                <w:color w:val="auto"/>
              </w:rPr>
            </w:pPr>
            <w:r>
              <w:rPr>
                <w:rFonts w:ascii="Arial" w:cs="Arial" w:eastAsia="Arial" w:hAnsi="Arial"/>
                <w:sz w:val="15"/>
                <w:szCs w:val="15"/>
                <w:b w:val="1"/>
                <w:bCs w:val="1"/>
                <w:color w:val="00254F"/>
              </w:rPr>
              <w:t>Eileen P. Rominger</w:t>
            </w:r>
          </w:p>
        </w:tc>
        <w:tc>
          <w:tcPr>
            <w:tcW w:w="160" w:type="dxa"/>
            <w:vAlign w:val="bottom"/>
            <w:tcBorders>
              <w:right w:val="single" w:sz="8" w:color="E7E7E8"/>
            </w:tcBorders>
            <w:shd w:val="clear" w:color="auto" w:fill="E7E7E8"/>
          </w:tcPr>
          <w:p>
            <w:pPr>
              <w:spacing w:after="0"/>
              <w:rPr>
                <w:sz w:val="17"/>
                <w:szCs w:val="17"/>
                <w:color w:val="auto"/>
              </w:rPr>
            </w:pPr>
          </w:p>
        </w:tc>
        <w:tc>
          <w:tcPr>
            <w:tcW w:w="1380" w:type="dxa"/>
            <w:vAlign w:val="bottom"/>
            <w:tcBorders>
              <w:bottom w:val="single" w:sz="8" w:color="808080"/>
            </w:tcBorders>
            <w:shd w:val="clear" w:color="auto" w:fill="E7E7E8"/>
          </w:tcPr>
          <w:p>
            <w:pPr>
              <w:jc w:val="right"/>
              <w:ind w:right="90"/>
              <w:spacing w:after="0" w:line="204" w:lineRule="exact"/>
              <w:rPr>
                <w:sz w:val="20"/>
                <w:szCs w:val="20"/>
                <w:color w:val="auto"/>
              </w:rPr>
            </w:pPr>
            <w:r>
              <w:rPr>
                <w:rFonts w:ascii="Arial" w:cs="Arial" w:eastAsia="Arial" w:hAnsi="Arial"/>
                <w:sz w:val="14"/>
                <w:szCs w:val="14"/>
                <w:color w:val="auto"/>
              </w:rPr>
              <w:t>5,017</w:t>
            </w:r>
            <w:r>
              <w:rPr>
                <w:rFonts w:ascii="Arial" w:cs="Arial" w:eastAsia="Arial" w:hAnsi="Arial"/>
                <w:sz w:val="23"/>
                <w:szCs w:val="23"/>
                <w:color w:val="auto"/>
                <w:vertAlign w:val="superscript"/>
              </w:rPr>
              <w:t>9</w:t>
            </w:r>
          </w:p>
        </w:tc>
        <w:tc>
          <w:tcPr>
            <w:tcW w:w="180" w:type="dxa"/>
            <w:vAlign w:val="bottom"/>
            <w:tcBorders>
              <w:right w:val="single" w:sz="8" w:color="E7E7E8"/>
            </w:tcBorders>
            <w:shd w:val="clear" w:color="auto" w:fill="E7E7E8"/>
          </w:tcPr>
          <w:p>
            <w:pPr>
              <w:spacing w:after="0"/>
              <w:rPr>
                <w:sz w:val="17"/>
                <w:szCs w:val="17"/>
                <w:color w:val="auto"/>
              </w:rPr>
            </w:pPr>
          </w:p>
        </w:tc>
        <w:tc>
          <w:tcPr>
            <w:tcW w:w="108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8440" w:type="dxa"/>
            <w:vAlign w:val="bottom"/>
            <w:tcBorders>
              <w:bottom w:val="single" w:sz="8" w:color="808080"/>
            </w:tcBorders>
          </w:tcPr>
          <w:p>
            <w:pPr>
              <w:ind w:left="60"/>
              <w:spacing w:after="0"/>
              <w:rPr>
                <w:sz w:val="20"/>
                <w:szCs w:val="20"/>
                <w:color w:val="auto"/>
              </w:rPr>
            </w:pPr>
            <w:r>
              <w:rPr>
                <w:rFonts w:ascii="Arial" w:cs="Arial" w:eastAsia="Arial" w:hAnsi="Arial"/>
                <w:sz w:val="15"/>
                <w:szCs w:val="15"/>
                <w:b w:val="1"/>
                <w:bCs w:val="1"/>
                <w:color w:val="00254F"/>
              </w:rPr>
              <w:t>Robert W. Sharps</w:t>
            </w:r>
          </w:p>
        </w:tc>
        <w:tc>
          <w:tcPr>
            <w:tcW w:w="160" w:type="dxa"/>
            <w:vAlign w:val="bottom"/>
            <w:tcBorders>
              <w:bottom w:val="single" w:sz="8" w:color="E7E7E8"/>
            </w:tcBorders>
          </w:tcPr>
          <w:p>
            <w:pPr>
              <w:spacing w:after="0"/>
              <w:rPr>
                <w:sz w:val="17"/>
                <w:szCs w:val="17"/>
                <w:color w:val="auto"/>
              </w:rPr>
            </w:pPr>
          </w:p>
        </w:tc>
        <w:tc>
          <w:tcPr>
            <w:tcW w:w="1380" w:type="dxa"/>
            <w:vAlign w:val="bottom"/>
            <w:tcBorders>
              <w:bottom w:val="single" w:sz="8" w:color="808080"/>
            </w:tcBorders>
          </w:tcPr>
          <w:p>
            <w:pPr>
              <w:jc w:val="right"/>
              <w:ind w:right="30"/>
              <w:spacing w:after="0" w:line="204" w:lineRule="exact"/>
              <w:rPr>
                <w:sz w:val="20"/>
                <w:szCs w:val="20"/>
                <w:color w:val="auto"/>
              </w:rPr>
            </w:pPr>
            <w:r>
              <w:rPr>
                <w:rFonts w:ascii="Arial" w:cs="Arial" w:eastAsia="Arial" w:hAnsi="Arial"/>
                <w:sz w:val="14"/>
                <w:szCs w:val="14"/>
                <w:color w:val="auto"/>
              </w:rPr>
              <w:t>435,331</w:t>
            </w:r>
            <w:r>
              <w:rPr>
                <w:rFonts w:ascii="Arial" w:cs="Arial" w:eastAsia="Arial" w:hAnsi="Arial"/>
                <w:sz w:val="23"/>
                <w:szCs w:val="23"/>
                <w:color w:val="auto"/>
                <w:vertAlign w:val="superscript"/>
              </w:rPr>
              <w:t>10</w:t>
            </w:r>
          </w:p>
        </w:tc>
        <w:tc>
          <w:tcPr>
            <w:tcW w:w="180" w:type="dxa"/>
            <w:vAlign w:val="bottom"/>
            <w:tcBorders>
              <w:bottom w:val="single" w:sz="8" w:color="E7E7E8"/>
            </w:tcBorders>
          </w:tcPr>
          <w:p>
            <w:pPr>
              <w:spacing w:after="0"/>
              <w:rPr>
                <w:sz w:val="17"/>
                <w:szCs w:val="17"/>
                <w:color w:val="auto"/>
              </w:rPr>
            </w:pPr>
          </w:p>
        </w:tc>
        <w:tc>
          <w:tcPr>
            <w:tcW w:w="108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8440" w:type="dxa"/>
            <w:vAlign w:val="bottom"/>
            <w:tcBorders>
              <w:bottom w:val="single" w:sz="8" w:color="808080"/>
            </w:tcBorders>
            <w:shd w:val="clear" w:color="auto" w:fill="E7E7E8"/>
          </w:tcPr>
          <w:p>
            <w:pPr>
              <w:ind w:left="60"/>
              <w:spacing w:after="0"/>
              <w:rPr>
                <w:sz w:val="20"/>
                <w:szCs w:val="20"/>
                <w:color w:val="auto"/>
              </w:rPr>
            </w:pPr>
            <w:r>
              <w:rPr>
                <w:rFonts w:ascii="Arial" w:cs="Arial" w:eastAsia="Arial" w:hAnsi="Arial"/>
                <w:sz w:val="15"/>
                <w:szCs w:val="15"/>
                <w:b w:val="1"/>
                <w:bCs w:val="1"/>
                <w:color w:val="00254F"/>
              </w:rPr>
              <w:t>Cynthia F. Smith</w:t>
            </w:r>
          </w:p>
        </w:tc>
        <w:tc>
          <w:tcPr>
            <w:tcW w:w="160" w:type="dxa"/>
            <w:vAlign w:val="bottom"/>
            <w:tcBorders>
              <w:right w:val="single" w:sz="8" w:color="E7E7E8"/>
            </w:tcBorders>
            <w:shd w:val="clear" w:color="auto" w:fill="E7E7E8"/>
          </w:tcPr>
          <w:p>
            <w:pPr>
              <w:spacing w:after="0"/>
              <w:rPr>
                <w:sz w:val="17"/>
                <w:szCs w:val="17"/>
                <w:color w:val="auto"/>
              </w:rPr>
            </w:pPr>
          </w:p>
        </w:tc>
        <w:tc>
          <w:tcPr>
            <w:tcW w:w="1380" w:type="dxa"/>
            <w:vAlign w:val="bottom"/>
            <w:tcBorders>
              <w:bottom w:val="single" w:sz="8" w:color="808080"/>
            </w:tcBorders>
            <w:shd w:val="clear" w:color="auto" w:fill="E7E7E8"/>
          </w:tcPr>
          <w:p>
            <w:pPr>
              <w:jc w:val="right"/>
              <w:ind w:right="30"/>
              <w:spacing w:after="0" w:line="204" w:lineRule="exact"/>
              <w:rPr>
                <w:sz w:val="20"/>
                <w:szCs w:val="20"/>
                <w:color w:val="auto"/>
              </w:rPr>
            </w:pPr>
            <w:r>
              <w:rPr>
                <w:rFonts w:ascii="Arial" w:cs="Arial" w:eastAsia="Arial" w:hAnsi="Arial"/>
                <w:sz w:val="14"/>
                <w:szCs w:val="14"/>
                <w:color w:val="auto"/>
              </w:rPr>
              <w:t>2,478</w:t>
            </w:r>
            <w:r>
              <w:rPr>
                <w:rFonts w:ascii="Arial" w:cs="Arial" w:eastAsia="Arial" w:hAnsi="Arial"/>
                <w:sz w:val="23"/>
                <w:szCs w:val="23"/>
                <w:color w:val="auto"/>
                <w:vertAlign w:val="superscript"/>
              </w:rPr>
              <w:t>11</w:t>
            </w:r>
          </w:p>
        </w:tc>
        <w:tc>
          <w:tcPr>
            <w:tcW w:w="180" w:type="dxa"/>
            <w:vAlign w:val="bottom"/>
            <w:tcBorders>
              <w:right w:val="single" w:sz="8" w:color="E7E7E8"/>
            </w:tcBorders>
            <w:shd w:val="clear" w:color="auto" w:fill="E7E7E8"/>
          </w:tcPr>
          <w:p>
            <w:pPr>
              <w:spacing w:after="0"/>
              <w:rPr>
                <w:sz w:val="17"/>
                <w:szCs w:val="17"/>
                <w:color w:val="auto"/>
              </w:rPr>
            </w:pPr>
          </w:p>
        </w:tc>
        <w:tc>
          <w:tcPr>
            <w:tcW w:w="108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8440" w:type="dxa"/>
            <w:vAlign w:val="bottom"/>
            <w:tcBorders>
              <w:bottom w:val="single" w:sz="8" w:color="808080"/>
            </w:tcBorders>
          </w:tcPr>
          <w:p>
            <w:pPr>
              <w:ind w:left="60"/>
              <w:spacing w:after="0"/>
              <w:rPr>
                <w:sz w:val="20"/>
                <w:szCs w:val="20"/>
                <w:color w:val="auto"/>
              </w:rPr>
            </w:pPr>
            <w:r>
              <w:rPr>
                <w:rFonts w:ascii="Arial" w:cs="Arial" w:eastAsia="Arial" w:hAnsi="Arial"/>
                <w:sz w:val="15"/>
                <w:szCs w:val="15"/>
                <w:b w:val="1"/>
                <w:bCs w:val="1"/>
                <w:color w:val="00254F"/>
              </w:rPr>
              <w:t>Robert J. Stevens</w:t>
            </w:r>
          </w:p>
        </w:tc>
        <w:tc>
          <w:tcPr>
            <w:tcW w:w="160" w:type="dxa"/>
            <w:vAlign w:val="bottom"/>
            <w:tcBorders>
              <w:bottom w:val="single" w:sz="8" w:color="E7E7E8"/>
            </w:tcBorders>
          </w:tcPr>
          <w:p>
            <w:pPr>
              <w:spacing w:after="0"/>
              <w:rPr>
                <w:sz w:val="17"/>
                <w:szCs w:val="17"/>
                <w:color w:val="auto"/>
              </w:rPr>
            </w:pPr>
          </w:p>
        </w:tc>
        <w:tc>
          <w:tcPr>
            <w:tcW w:w="1380" w:type="dxa"/>
            <w:vAlign w:val="bottom"/>
            <w:tcBorders>
              <w:bottom w:val="single" w:sz="8" w:color="808080"/>
            </w:tcBorders>
          </w:tcPr>
          <w:p>
            <w:pPr>
              <w:jc w:val="right"/>
              <w:ind w:right="30"/>
              <w:spacing w:after="0" w:line="204" w:lineRule="exact"/>
              <w:rPr>
                <w:sz w:val="20"/>
                <w:szCs w:val="20"/>
                <w:color w:val="auto"/>
              </w:rPr>
            </w:pPr>
            <w:r>
              <w:rPr>
                <w:rFonts w:ascii="Arial" w:cs="Arial" w:eastAsia="Arial" w:hAnsi="Arial"/>
                <w:sz w:val="14"/>
                <w:szCs w:val="14"/>
                <w:color w:val="auto"/>
              </w:rPr>
              <w:t>12,333</w:t>
            </w:r>
            <w:r>
              <w:rPr>
                <w:rFonts w:ascii="Arial" w:cs="Arial" w:eastAsia="Arial" w:hAnsi="Arial"/>
                <w:sz w:val="23"/>
                <w:szCs w:val="23"/>
                <w:color w:val="auto"/>
                <w:vertAlign w:val="superscript"/>
              </w:rPr>
              <w:t>12</w:t>
            </w:r>
          </w:p>
        </w:tc>
        <w:tc>
          <w:tcPr>
            <w:tcW w:w="180" w:type="dxa"/>
            <w:vAlign w:val="bottom"/>
            <w:tcBorders>
              <w:bottom w:val="single" w:sz="8" w:color="E7E7E8"/>
            </w:tcBorders>
          </w:tcPr>
          <w:p>
            <w:pPr>
              <w:spacing w:after="0"/>
              <w:rPr>
                <w:sz w:val="17"/>
                <w:szCs w:val="17"/>
                <w:color w:val="auto"/>
              </w:rPr>
            </w:pPr>
          </w:p>
        </w:tc>
        <w:tc>
          <w:tcPr>
            <w:tcW w:w="108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8440" w:type="dxa"/>
            <w:vAlign w:val="bottom"/>
            <w:tcBorders>
              <w:bottom w:val="single" w:sz="8" w:color="808080"/>
            </w:tcBorders>
            <w:shd w:val="clear" w:color="auto" w:fill="E7E7E8"/>
          </w:tcPr>
          <w:p>
            <w:pPr>
              <w:ind w:left="60"/>
              <w:spacing w:after="0"/>
              <w:rPr>
                <w:sz w:val="20"/>
                <w:szCs w:val="20"/>
                <w:color w:val="auto"/>
              </w:rPr>
            </w:pPr>
            <w:r>
              <w:rPr>
                <w:rFonts w:ascii="Arial" w:cs="Arial" w:eastAsia="Arial" w:hAnsi="Arial"/>
                <w:sz w:val="15"/>
                <w:szCs w:val="15"/>
                <w:b w:val="1"/>
                <w:bCs w:val="1"/>
                <w:color w:val="00254F"/>
              </w:rPr>
              <w:t>William J. Stromberg</w:t>
            </w:r>
          </w:p>
        </w:tc>
        <w:tc>
          <w:tcPr>
            <w:tcW w:w="160" w:type="dxa"/>
            <w:vAlign w:val="bottom"/>
            <w:tcBorders>
              <w:right w:val="single" w:sz="8" w:color="E7E7E8"/>
            </w:tcBorders>
            <w:shd w:val="clear" w:color="auto" w:fill="E7E7E8"/>
          </w:tcPr>
          <w:p>
            <w:pPr>
              <w:spacing w:after="0"/>
              <w:rPr>
                <w:sz w:val="17"/>
                <w:szCs w:val="17"/>
                <w:color w:val="auto"/>
              </w:rPr>
            </w:pPr>
          </w:p>
        </w:tc>
        <w:tc>
          <w:tcPr>
            <w:tcW w:w="1380" w:type="dxa"/>
            <w:vAlign w:val="bottom"/>
            <w:tcBorders>
              <w:bottom w:val="single" w:sz="8" w:color="808080"/>
            </w:tcBorders>
            <w:shd w:val="clear" w:color="auto" w:fill="E7E7E8"/>
          </w:tcPr>
          <w:p>
            <w:pPr>
              <w:jc w:val="right"/>
              <w:ind w:right="30"/>
              <w:spacing w:after="0" w:line="204" w:lineRule="exact"/>
              <w:rPr>
                <w:sz w:val="20"/>
                <w:szCs w:val="20"/>
                <w:color w:val="auto"/>
              </w:rPr>
            </w:pPr>
            <w:r>
              <w:rPr>
                <w:rFonts w:ascii="Arial" w:cs="Arial" w:eastAsia="Arial" w:hAnsi="Arial"/>
                <w:sz w:val="14"/>
                <w:szCs w:val="14"/>
                <w:color w:val="auto"/>
              </w:rPr>
              <w:t>933,394</w:t>
            </w:r>
            <w:r>
              <w:rPr>
                <w:rFonts w:ascii="Arial" w:cs="Arial" w:eastAsia="Arial" w:hAnsi="Arial"/>
                <w:sz w:val="23"/>
                <w:szCs w:val="23"/>
                <w:color w:val="auto"/>
                <w:vertAlign w:val="superscript"/>
              </w:rPr>
              <w:t>13</w:t>
            </w:r>
          </w:p>
        </w:tc>
        <w:tc>
          <w:tcPr>
            <w:tcW w:w="180" w:type="dxa"/>
            <w:vAlign w:val="bottom"/>
            <w:tcBorders>
              <w:right w:val="single" w:sz="8" w:color="E7E7E8"/>
            </w:tcBorders>
            <w:shd w:val="clear" w:color="auto" w:fill="E7E7E8"/>
          </w:tcPr>
          <w:p>
            <w:pPr>
              <w:spacing w:after="0"/>
              <w:rPr>
                <w:sz w:val="17"/>
                <w:szCs w:val="17"/>
                <w:color w:val="auto"/>
              </w:rPr>
            </w:pPr>
          </w:p>
        </w:tc>
        <w:tc>
          <w:tcPr>
            <w:tcW w:w="108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8440" w:type="dxa"/>
            <w:vAlign w:val="bottom"/>
            <w:tcBorders>
              <w:bottom w:val="single" w:sz="8" w:color="808080"/>
            </w:tcBorders>
          </w:tcPr>
          <w:p>
            <w:pPr>
              <w:ind w:left="60"/>
              <w:spacing w:after="0"/>
              <w:rPr>
                <w:sz w:val="20"/>
                <w:szCs w:val="20"/>
                <w:color w:val="auto"/>
              </w:rPr>
            </w:pPr>
            <w:r>
              <w:rPr>
                <w:rFonts w:ascii="Arial" w:cs="Arial" w:eastAsia="Arial" w:hAnsi="Arial"/>
                <w:sz w:val="15"/>
                <w:szCs w:val="15"/>
                <w:b w:val="1"/>
                <w:bCs w:val="1"/>
                <w:color w:val="00254F"/>
              </w:rPr>
              <w:t>Justin Thomson</w:t>
            </w:r>
          </w:p>
        </w:tc>
        <w:tc>
          <w:tcPr>
            <w:tcW w:w="160" w:type="dxa"/>
            <w:vAlign w:val="bottom"/>
            <w:tcBorders>
              <w:bottom w:val="single" w:sz="8" w:color="E7E7E8"/>
            </w:tcBorders>
          </w:tcPr>
          <w:p>
            <w:pPr>
              <w:spacing w:after="0"/>
              <w:rPr>
                <w:sz w:val="17"/>
                <w:szCs w:val="17"/>
                <w:color w:val="auto"/>
              </w:rPr>
            </w:pPr>
          </w:p>
        </w:tc>
        <w:tc>
          <w:tcPr>
            <w:tcW w:w="1380" w:type="dxa"/>
            <w:vAlign w:val="bottom"/>
            <w:tcBorders>
              <w:bottom w:val="single" w:sz="8" w:color="808080"/>
            </w:tcBorders>
          </w:tcPr>
          <w:p>
            <w:pPr>
              <w:jc w:val="right"/>
              <w:ind w:right="30"/>
              <w:spacing w:after="0" w:line="204" w:lineRule="exact"/>
              <w:rPr>
                <w:sz w:val="20"/>
                <w:szCs w:val="20"/>
                <w:color w:val="auto"/>
              </w:rPr>
            </w:pPr>
            <w:r>
              <w:rPr>
                <w:rFonts w:ascii="Arial" w:cs="Arial" w:eastAsia="Arial" w:hAnsi="Arial"/>
                <w:sz w:val="14"/>
                <w:szCs w:val="14"/>
                <w:color w:val="auto"/>
              </w:rPr>
              <w:t>150,738</w:t>
            </w:r>
            <w:r>
              <w:rPr>
                <w:rFonts w:ascii="Arial" w:cs="Arial" w:eastAsia="Arial" w:hAnsi="Arial"/>
                <w:sz w:val="23"/>
                <w:szCs w:val="23"/>
                <w:color w:val="auto"/>
                <w:vertAlign w:val="superscript"/>
              </w:rPr>
              <w:t>14</w:t>
            </w:r>
          </w:p>
        </w:tc>
        <w:tc>
          <w:tcPr>
            <w:tcW w:w="180" w:type="dxa"/>
            <w:vAlign w:val="bottom"/>
            <w:tcBorders>
              <w:bottom w:val="single" w:sz="8" w:color="E7E7E8"/>
            </w:tcBorders>
          </w:tcPr>
          <w:p>
            <w:pPr>
              <w:spacing w:after="0"/>
              <w:rPr>
                <w:sz w:val="17"/>
                <w:szCs w:val="17"/>
                <w:color w:val="auto"/>
              </w:rPr>
            </w:pPr>
          </w:p>
        </w:tc>
        <w:tc>
          <w:tcPr>
            <w:tcW w:w="108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8440" w:type="dxa"/>
            <w:vAlign w:val="bottom"/>
            <w:tcBorders>
              <w:bottom w:val="single" w:sz="8" w:color="808080"/>
            </w:tcBorders>
            <w:shd w:val="clear" w:color="auto" w:fill="E7E7E8"/>
          </w:tcPr>
          <w:p>
            <w:pPr>
              <w:ind w:left="60"/>
              <w:spacing w:after="0"/>
              <w:rPr>
                <w:sz w:val="20"/>
                <w:szCs w:val="20"/>
                <w:color w:val="auto"/>
              </w:rPr>
            </w:pPr>
            <w:r>
              <w:rPr>
                <w:rFonts w:ascii="Arial" w:cs="Arial" w:eastAsia="Arial" w:hAnsi="Arial"/>
                <w:sz w:val="15"/>
                <w:szCs w:val="15"/>
                <w:b w:val="1"/>
                <w:bCs w:val="1"/>
                <w:color w:val="00254F"/>
              </w:rPr>
              <w:t>Eric L. Veiel</w:t>
            </w:r>
          </w:p>
        </w:tc>
        <w:tc>
          <w:tcPr>
            <w:tcW w:w="160" w:type="dxa"/>
            <w:vAlign w:val="bottom"/>
            <w:tcBorders>
              <w:right w:val="single" w:sz="8" w:color="E7E7E8"/>
            </w:tcBorders>
            <w:shd w:val="clear" w:color="auto" w:fill="E7E7E8"/>
          </w:tcPr>
          <w:p>
            <w:pPr>
              <w:spacing w:after="0"/>
              <w:rPr>
                <w:sz w:val="17"/>
                <w:szCs w:val="17"/>
                <w:color w:val="auto"/>
              </w:rPr>
            </w:pPr>
          </w:p>
        </w:tc>
        <w:tc>
          <w:tcPr>
            <w:tcW w:w="1380" w:type="dxa"/>
            <w:vAlign w:val="bottom"/>
            <w:tcBorders>
              <w:bottom w:val="single" w:sz="8" w:color="808080"/>
            </w:tcBorders>
            <w:shd w:val="clear" w:color="auto" w:fill="E7E7E8"/>
          </w:tcPr>
          <w:p>
            <w:pPr>
              <w:jc w:val="right"/>
              <w:ind w:right="30"/>
              <w:spacing w:after="0" w:line="204" w:lineRule="exact"/>
              <w:rPr>
                <w:sz w:val="20"/>
                <w:szCs w:val="20"/>
                <w:color w:val="auto"/>
              </w:rPr>
            </w:pPr>
            <w:r>
              <w:rPr>
                <w:rFonts w:ascii="Arial" w:cs="Arial" w:eastAsia="Arial" w:hAnsi="Arial"/>
                <w:sz w:val="14"/>
                <w:szCs w:val="14"/>
                <w:color w:val="auto"/>
              </w:rPr>
              <w:t>175,203</w:t>
            </w:r>
            <w:r>
              <w:rPr>
                <w:rFonts w:ascii="Arial" w:cs="Arial" w:eastAsia="Arial" w:hAnsi="Arial"/>
                <w:sz w:val="23"/>
                <w:szCs w:val="23"/>
                <w:color w:val="auto"/>
                <w:vertAlign w:val="superscript"/>
              </w:rPr>
              <w:t>15</w:t>
            </w:r>
          </w:p>
        </w:tc>
        <w:tc>
          <w:tcPr>
            <w:tcW w:w="180" w:type="dxa"/>
            <w:vAlign w:val="bottom"/>
            <w:tcBorders>
              <w:right w:val="single" w:sz="8" w:color="E7E7E8"/>
            </w:tcBorders>
            <w:shd w:val="clear" w:color="auto" w:fill="E7E7E8"/>
          </w:tcPr>
          <w:p>
            <w:pPr>
              <w:spacing w:after="0"/>
              <w:rPr>
                <w:sz w:val="17"/>
                <w:szCs w:val="17"/>
                <w:color w:val="auto"/>
              </w:rPr>
            </w:pPr>
          </w:p>
        </w:tc>
        <w:tc>
          <w:tcPr>
            <w:tcW w:w="108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8440" w:type="dxa"/>
            <w:vAlign w:val="bottom"/>
            <w:tcBorders>
              <w:bottom w:val="single" w:sz="8" w:color="808080"/>
            </w:tcBorders>
          </w:tcPr>
          <w:p>
            <w:pPr>
              <w:ind w:left="60"/>
              <w:spacing w:after="0"/>
              <w:rPr>
                <w:sz w:val="20"/>
                <w:szCs w:val="20"/>
                <w:color w:val="auto"/>
              </w:rPr>
            </w:pPr>
            <w:r>
              <w:rPr>
                <w:rFonts w:ascii="Arial" w:cs="Arial" w:eastAsia="Arial" w:hAnsi="Arial"/>
                <w:sz w:val="15"/>
                <w:szCs w:val="15"/>
                <w:b w:val="1"/>
                <w:bCs w:val="1"/>
                <w:color w:val="00254F"/>
              </w:rPr>
              <w:t>Sandra S. Wijnberg</w:t>
            </w:r>
          </w:p>
        </w:tc>
        <w:tc>
          <w:tcPr>
            <w:tcW w:w="160" w:type="dxa"/>
            <w:vAlign w:val="bottom"/>
            <w:tcBorders>
              <w:bottom w:val="single" w:sz="8" w:color="E7E7E8"/>
            </w:tcBorders>
          </w:tcPr>
          <w:p>
            <w:pPr>
              <w:spacing w:after="0"/>
              <w:rPr>
                <w:sz w:val="17"/>
                <w:szCs w:val="17"/>
                <w:color w:val="auto"/>
              </w:rPr>
            </w:pPr>
          </w:p>
        </w:tc>
        <w:tc>
          <w:tcPr>
            <w:tcW w:w="1380" w:type="dxa"/>
            <w:vAlign w:val="bottom"/>
            <w:tcBorders>
              <w:bottom w:val="single" w:sz="8" w:color="808080"/>
            </w:tcBorders>
          </w:tcPr>
          <w:p>
            <w:pPr>
              <w:jc w:val="right"/>
              <w:ind w:right="30"/>
              <w:spacing w:after="0" w:line="204" w:lineRule="exact"/>
              <w:rPr>
                <w:sz w:val="20"/>
                <w:szCs w:val="20"/>
                <w:color w:val="auto"/>
              </w:rPr>
            </w:pPr>
            <w:r>
              <w:rPr>
                <w:rFonts w:ascii="Arial" w:cs="Arial" w:eastAsia="Arial" w:hAnsi="Arial"/>
                <w:sz w:val="14"/>
                <w:szCs w:val="14"/>
                <w:color w:val="auto"/>
              </w:rPr>
              <w:t>22,517</w:t>
            </w:r>
            <w:r>
              <w:rPr>
                <w:rFonts w:ascii="Arial" w:cs="Arial" w:eastAsia="Arial" w:hAnsi="Arial"/>
                <w:sz w:val="23"/>
                <w:szCs w:val="23"/>
                <w:color w:val="auto"/>
                <w:vertAlign w:val="superscript"/>
              </w:rPr>
              <w:t>16</w:t>
            </w:r>
          </w:p>
        </w:tc>
        <w:tc>
          <w:tcPr>
            <w:tcW w:w="180" w:type="dxa"/>
            <w:vAlign w:val="bottom"/>
            <w:tcBorders>
              <w:bottom w:val="single" w:sz="8" w:color="E7E7E8"/>
            </w:tcBorders>
          </w:tcPr>
          <w:p>
            <w:pPr>
              <w:spacing w:after="0"/>
              <w:rPr>
                <w:sz w:val="17"/>
                <w:szCs w:val="17"/>
                <w:color w:val="auto"/>
              </w:rPr>
            </w:pPr>
          </w:p>
        </w:tc>
        <w:tc>
          <w:tcPr>
            <w:tcW w:w="108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8440" w:type="dxa"/>
            <w:vAlign w:val="bottom"/>
            <w:tcBorders>
              <w:bottom w:val="single" w:sz="8" w:color="808080"/>
            </w:tcBorders>
            <w:shd w:val="clear" w:color="auto" w:fill="E7E7E8"/>
          </w:tcPr>
          <w:p>
            <w:pPr>
              <w:ind w:left="60"/>
              <w:spacing w:after="0"/>
              <w:rPr>
                <w:sz w:val="20"/>
                <w:szCs w:val="20"/>
                <w:color w:val="auto"/>
              </w:rPr>
            </w:pPr>
            <w:r>
              <w:rPr>
                <w:rFonts w:ascii="Arial" w:cs="Arial" w:eastAsia="Arial" w:hAnsi="Arial"/>
                <w:sz w:val="15"/>
                <w:szCs w:val="15"/>
                <w:b w:val="1"/>
                <w:bCs w:val="1"/>
                <w:color w:val="00254F"/>
              </w:rPr>
              <w:t>Alan D. Wilson</w:t>
            </w:r>
          </w:p>
        </w:tc>
        <w:tc>
          <w:tcPr>
            <w:tcW w:w="160" w:type="dxa"/>
            <w:vAlign w:val="bottom"/>
            <w:tcBorders>
              <w:right w:val="single" w:sz="8" w:color="E7E7E8"/>
            </w:tcBorders>
            <w:shd w:val="clear" w:color="auto" w:fill="E7E7E8"/>
          </w:tcPr>
          <w:p>
            <w:pPr>
              <w:spacing w:after="0"/>
              <w:rPr>
                <w:sz w:val="17"/>
                <w:szCs w:val="17"/>
                <w:color w:val="auto"/>
              </w:rPr>
            </w:pPr>
          </w:p>
        </w:tc>
        <w:tc>
          <w:tcPr>
            <w:tcW w:w="1380" w:type="dxa"/>
            <w:vAlign w:val="bottom"/>
            <w:tcBorders>
              <w:bottom w:val="single" w:sz="8" w:color="808080"/>
            </w:tcBorders>
            <w:shd w:val="clear" w:color="auto" w:fill="E7E7E8"/>
          </w:tcPr>
          <w:p>
            <w:pPr>
              <w:jc w:val="right"/>
              <w:ind w:right="30"/>
              <w:spacing w:after="0" w:line="204" w:lineRule="exact"/>
              <w:rPr>
                <w:sz w:val="20"/>
                <w:szCs w:val="20"/>
                <w:color w:val="auto"/>
              </w:rPr>
            </w:pPr>
            <w:r>
              <w:rPr>
                <w:rFonts w:ascii="Arial" w:cs="Arial" w:eastAsia="Arial" w:hAnsi="Arial"/>
                <w:sz w:val="14"/>
                <w:szCs w:val="14"/>
                <w:color w:val="auto"/>
              </w:rPr>
              <w:t>26,427</w:t>
            </w:r>
            <w:r>
              <w:rPr>
                <w:rFonts w:ascii="Arial" w:cs="Arial" w:eastAsia="Arial" w:hAnsi="Arial"/>
                <w:sz w:val="23"/>
                <w:szCs w:val="23"/>
                <w:color w:val="auto"/>
                <w:vertAlign w:val="superscript"/>
              </w:rPr>
              <w:t>17</w:t>
            </w:r>
          </w:p>
        </w:tc>
        <w:tc>
          <w:tcPr>
            <w:tcW w:w="180" w:type="dxa"/>
            <w:vAlign w:val="bottom"/>
            <w:tcBorders>
              <w:right w:val="single" w:sz="8" w:color="E7E7E8"/>
            </w:tcBorders>
            <w:shd w:val="clear" w:color="auto" w:fill="E7E7E8"/>
          </w:tcPr>
          <w:p>
            <w:pPr>
              <w:spacing w:after="0"/>
              <w:rPr>
                <w:sz w:val="17"/>
                <w:szCs w:val="17"/>
                <w:color w:val="auto"/>
              </w:rPr>
            </w:pPr>
          </w:p>
        </w:tc>
        <w:tc>
          <w:tcPr>
            <w:tcW w:w="108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8440" w:type="dxa"/>
            <w:vAlign w:val="bottom"/>
            <w:tcBorders>
              <w:bottom w:val="single" w:sz="8" w:color="808080"/>
            </w:tcBorders>
          </w:tcPr>
          <w:p>
            <w:pPr>
              <w:ind w:left="60"/>
              <w:spacing w:after="0"/>
              <w:rPr>
                <w:sz w:val="20"/>
                <w:szCs w:val="20"/>
                <w:color w:val="auto"/>
              </w:rPr>
            </w:pPr>
            <w:r>
              <w:rPr>
                <w:rFonts w:ascii="Arial" w:cs="Arial" w:eastAsia="Arial" w:hAnsi="Arial"/>
                <w:sz w:val="15"/>
                <w:szCs w:val="15"/>
                <w:b w:val="1"/>
                <w:bCs w:val="1"/>
                <w:color w:val="00254F"/>
              </w:rPr>
              <w:t>Directors and All Executive Officers as a Group (24 persons)</w:t>
            </w:r>
          </w:p>
        </w:tc>
        <w:tc>
          <w:tcPr>
            <w:tcW w:w="160" w:type="dxa"/>
            <w:vAlign w:val="bottom"/>
          </w:tcPr>
          <w:p>
            <w:pPr>
              <w:spacing w:after="0"/>
              <w:rPr>
                <w:sz w:val="17"/>
                <w:szCs w:val="17"/>
                <w:color w:val="auto"/>
              </w:rPr>
            </w:pPr>
          </w:p>
        </w:tc>
        <w:tc>
          <w:tcPr>
            <w:tcW w:w="1380" w:type="dxa"/>
            <w:vAlign w:val="bottom"/>
            <w:tcBorders>
              <w:bottom w:val="single" w:sz="8" w:color="808080"/>
            </w:tcBorders>
          </w:tcPr>
          <w:p>
            <w:pPr>
              <w:jc w:val="right"/>
              <w:ind w:right="30"/>
              <w:spacing w:after="0" w:line="204" w:lineRule="exact"/>
              <w:rPr>
                <w:sz w:val="20"/>
                <w:szCs w:val="20"/>
                <w:color w:val="auto"/>
              </w:rPr>
            </w:pPr>
            <w:r>
              <w:rPr>
                <w:rFonts w:ascii="Arial" w:cs="Arial" w:eastAsia="Arial" w:hAnsi="Arial"/>
                <w:sz w:val="14"/>
                <w:szCs w:val="14"/>
                <w:color w:val="auto"/>
              </w:rPr>
              <w:t>4,580,204</w:t>
            </w:r>
            <w:r>
              <w:rPr>
                <w:rFonts w:ascii="Arial" w:cs="Arial" w:eastAsia="Arial" w:hAnsi="Arial"/>
                <w:sz w:val="23"/>
                <w:szCs w:val="23"/>
                <w:color w:val="auto"/>
                <w:vertAlign w:val="superscript"/>
              </w:rPr>
              <w:t>18</w:t>
            </w:r>
          </w:p>
        </w:tc>
        <w:tc>
          <w:tcPr>
            <w:tcW w:w="180" w:type="dxa"/>
            <w:vAlign w:val="bottom"/>
          </w:tcPr>
          <w:p>
            <w:pPr>
              <w:spacing w:after="0"/>
              <w:rPr>
                <w:sz w:val="17"/>
                <w:szCs w:val="17"/>
                <w:color w:val="auto"/>
              </w:rPr>
            </w:pPr>
          </w:p>
        </w:tc>
        <w:tc>
          <w:tcPr>
            <w:tcW w:w="108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5356860</wp:posOffset>
            </wp:positionH>
            <wp:positionV relativeFrom="paragraph">
              <wp:posOffset>-2292985</wp:posOffset>
            </wp:positionV>
            <wp:extent cx="95250" cy="14287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95250" cy="14287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-2292985</wp:posOffset>
            </wp:positionV>
            <wp:extent cx="95250" cy="14287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95250" cy="142875"/>
                    </a:xfrm>
                    <a:prstGeom prst="rect">
                      <a:avLst/>
                    </a:prstGeom>
                    <a:noFill/>
                  </pic:spPr>
                </pic:pic>
              </a:graphicData>
            </a:graphic>
          </wp:anchor>
        </w:drawing>
        <w:drawing>
          <wp:anchor simplePos="0" relativeHeight="251657728" behindDoc="1" locked="0" layoutInCell="0" allowOverlap="1">
            <wp:simplePos x="0" y="0"/>
            <wp:positionH relativeFrom="column">
              <wp:posOffset>5356860</wp:posOffset>
            </wp:positionH>
            <wp:positionV relativeFrom="paragraph">
              <wp:posOffset>-2007235</wp:posOffset>
            </wp:positionV>
            <wp:extent cx="95250" cy="14287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95250" cy="14287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-2007235</wp:posOffset>
            </wp:positionV>
            <wp:extent cx="95250" cy="14287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95250" cy="142875"/>
                    </a:xfrm>
                    <a:prstGeom prst="rect">
                      <a:avLst/>
                    </a:prstGeom>
                    <a:noFill/>
                  </pic:spPr>
                </pic:pic>
              </a:graphicData>
            </a:graphic>
          </wp:anchor>
        </w:drawing>
        <w:drawing>
          <wp:anchor simplePos="0" relativeHeight="251657728" behindDoc="1" locked="0" layoutInCell="0" allowOverlap="1">
            <wp:simplePos x="0" y="0"/>
            <wp:positionH relativeFrom="column">
              <wp:posOffset>5356860</wp:posOffset>
            </wp:positionH>
            <wp:positionV relativeFrom="paragraph">
              <wp:posOffset>-1721485</wp:posOffset>
            </wp:positionV>
            <wp:extent cx="95250" cy="14287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95250" cy="14287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-1721485</wp:posOffset>
            </wp:positionV>
            <wp:extent cx="95250" cy="14287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95250" cy="142875"/>
                    </a:xfrm>
                    <a:prstGeom prst="rect">
                      <a:avLst/>
                    </a:prstGeom>
                    <a:noFill/>
                  </pic:spPr>
                </pic:pic>
              </a:graphicData>
            </a:graphic>
          </wp:anchor>
        </w:drawing>
        <w:drawing>
          <wp:anchor simplePos="0" relativeHeight="251657728" behindDoc="1" locked="0" layoutInCell="0" allowOverlap="1">
            <wp:simplePos x="0" y="0"/>
            <wp:positionH relativeFrom="column">
              <wp:posOffset>5356860</wp:posOffset>
            </wp:positionH>
            <wp:positionV relativeFrom="paragraph">
              <wp:posOffset>-1435735</wp:posOffset>
            </wp:positionV>
            <wp:extent cx="95250" cy="14287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95250" cy="14287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-1435735</wp:posOffset>
            </wp:positionV>
            <wp:extent cx="95250" cy="14287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95250" cy="142875"/>
                    </a:xfrm>
                    <a:prstGeom prst="rect">
                      <a:avLst/>
                    </a:prstGeom>
                    <a:noFill/>
                  </pic:spPr>
                </pic:pic>
              </a:graphicData>
            </a:graphic>
          </wp:anchor>
        </w:drawing>
        <w:drawing>
          <wp:anchor simplePos="0" relativeHeight="251657728" behindDoc="1" locked="0" layoutInCell="0" allowOverlap="1">
            <wp:simplePos x="0" y="0"/>
            <wp:positionH relativeFrom="column">
              <wp:posOffset>5356860</wp:posOffset>
            </wp:positionH>
            <wp:positionV relativeFrom="paragraph">
              <wp:posOffset>-1149985</wp:posOffset>
            </wp:positionV>
            <wp:extent cx="95250" cy="14287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95250" cy="14287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-1149985</wp:posOffset>
            </wp:positionV>
            <wp:extent cx="95250" cy="14287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95250" cy="142875"/>
                    </a:xfrm>
                    <a:prstGeom prst="rect">
                      <a:avLst/>
                    </a:prstGeom>
                    <a:noFill/>
                  </pic:spPr>
                </pic:pic>
              </a:graphicData>
            </a:graphic>
          </wp:anchor>
        </w:drawing>
        <w:drawing>
          <wp:anchor simplePos="0" relativeHeight="251657728" behindDoc="1" locked="0" layoutInCell="0" allowOverlap="1">
            <wp:simplePos x="0" y="0"/>
            <wp:positionH relativeFrom="column">
              <wp:posOffset>5356860</wp:posOffset>
            </wp:positionH>
            <wp:positionV relativeFrom="paragraph">
              <wp:posOffset>-292735</wp:posOffset>
            </wp:positionV>
            <wp:extent cx="95250" cy="14287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95250" cy="14287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-292735</wp:posOffset>
            </wp:positionV>
            <wp:extent cx="95250" cy="14287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95250" cy="142875"/>
                    </a:xfrm>
                    <a:prstGeom prst="rect">
                      <a:avLst/>
                    </a:prstGeom>
                    <a:noFill/>
                  </pic:spPr>
                </pic:pic>
              </a:graphicData>
            </a:graphic>
          </wp:anchor>
        </w:drawing>
      </w:r>
    </w:p>
    <w:p>
      <w:pPr>
        <w:spacing w:after="0" w:line="82" w:lineRule="exact"/>
        <w:rPr>
          <w:sz w:val="20"/>
          <w:szCs w:val="20"/>
          <w:color w:val="auto"/>
        </w:rPr>
      </w:pPr>
    </w:p>
    <w:p>
      <w:pPr>
        <w:ind w:left="300" w:hanging="300"/>
        <w:spacing w:after="0"/>
        <w:tabs>
          <w:tab w:leader="none" w:pos="300" w:val="left"/>
        </w:tabs>
        <w:numPr>
          <w:ilvl w:val="0"/>
          <w:numId w:val="135"/>
        </w:numPr>
        <w:rPr>
          <w:rFonts w:ascii="Arial" w:cs="Arial" w:eastAsia="Arial" w:hAnsi="Arial"/>
          <w:sz w:val="22"/>
          <w:szCs w:val="22"/>
          <w:color w:val="auto"/>
          <w:vertAlign w:val="superscript"/>
        </w:rPr>
      </w:pPr>
      <w:r>
        <w:rPr>
          <w:rFonts w:ascii="Arial" w:cs="Arial" w:eastAsia="Arial" w:hAnsi="Arial"/>
          <w:sz w:val="13"/>
          <w:szCs w:val="13"/>
          <w:color w:val="auto"/>
        </w:rPr>
        <w:t>Beneficial ownership of less than 1% is represented by an asterisk (</w:t>
      </w:r>
      <w:r>
        <w:rPr>
          <w:rFonts w:ascii="Arial" w:cs="Arial" w:eastAsia="Arial" w:hAnsi="Arial"/>
          <w:sz w:val="22"/>
          <w:szCs w:val="22"/>
          <w:color w:val="auto"/>
          <w:vertAlign w:val="superscript"/>
        </w:rPr>
        <w:t>*</w:t>
      </w:r>
      <w:r>
        <w:rPr>
          <w:rFonts w:ascii="Arial" w:cs="Arial" w:eastAsia="Arial" w:hAnsi="Arial"/>
          <w:sz w:val="13"/>
          <w:szCs w:val="13"/>
          <w:color w:val="auto"/>
        </w:rPr>
        <w:t>).</w:t>
      </w:r>
    </w:p>
    <w:p>
      <w:pPr>
        <w:spacing w:after="0" w:line="7" w:lineRule="exact"/>
        <w:rPr>
          <w:sz w:val="20"/>
          <w:szCs w:val="20"/>
          <w:color w:val="auto"/>
        </w:rPr>
      </w:pPr>
    </w:p>
    <w:p>
      <w:pPr>
        <w:ind w:left="300" w:hanging="300"/>
        <w:spacing w:after="0" w:line="189" w:lineRule="auto"/>
        <w:tabs>
          <w:tab w:leader="none" w:pos="300" w:val="left"/>
        </w:tabs>
        <w:numPr>
          <w:ilvl w:val="0"/>
          <w:numId w:val="136"/>
        </w:numPr>
        <w:rPr>
          <w:rFonts w:ascii="Arial" w:cs="Arial" w:eastAsia="Arial" w:hAnsi="Arial"/>
          <w:sz w:val="22"/>
          <w:szCs w:val="22"/>
          <w:color w:val="auto"/>
          <w:vertAlign w:val="superscript"/>
        </w:rPr>
      </w:pPr>
      <w:r>
        <w:rPr>
          <w:rFonts w:ascii="Arial" w:cs="Arial" w:eastAsia="Arial" w:hAnsi="Arial"/>
          <w:sz w:val="13"/>
          <w:szCs w:val="13"/>
          <w:color w:val="auto"/>
        </w:rPr>
        <w:t>Includes 886,190 shares held in family trusts for which Mr. August disclaims beneficial ownership. Includes up to $50 million, or approximately 440,606 shares of common stock as of the record date, pledged as security by Mr. August in connection with agreements among OHA partners in connection with the 2021 acquisition of OHA.</w:t>
      </w:r>
    </w:p>
    <w:p>
      <w:pPr>
        <w:ind w:left="300" w:hanging="300"/>
        <w:spacing w:after="0" w:line="213" w:lineRule="auto"/>
        <w:tabs>
          <w:tab w:leader="none" w:pos="300" w:val="left"/>
        </w:tabs>
        <w:numPr>
          <w:ilvl w:val="0"/>
          <w:numId w:val="137"/>
        </w:numPr>
        <w:rPr>
          <w:rFonts w:ascii="Arial" w:cs="Arial" w:eastAsia="Arial" w:hAnsi="Arial"/>
          <w:sz w:val="22"/>
          <w:szCs w:val="22"/>
          <w:color w:val="auto"/>
          <w:vertAlign w:val="superscript"/>
        </w:rPr>
      </w:pPr>
      <w:r>
        <w:rPr>
          <w:rFonts w:ascii="Arial" w:cs="Arial" w:eastAsia="Arial" w:hAnsi="Arial"/>
          <w:sz w:val="13"/>
          <w:szCs w:val="13"/>
          <w:color w:val="auto"/>
        </w:rPr>
        <w:t>Includes 1,890 unvested restricted stock awards.</w:t>
      </w:r>
    </w:p>
    <w:p>
      <w:pPr>
        <w:ind w:left="300" w:hanging="300"/>
        <w:spacing w:after="0" w:line="214" w:lineRule="auto"/>
        <w:tabs>
          <w:tab w:leader="none" w:pos="300" w:val="left"/>
        </w:tabs>
        <w:numPr>
          <w:ilvl w:val="0"/>
          <w:numId w:val="138"/>
        </w:numPr>
        <w:rPr>
          <w:rFonts w:ascii="Arial" w:cs="Arial" w:eastAsia="Arial" w:hAnsi="Arial"/>
          <w:sz w:val="22"/>
          <w:szCs w:val="22"/>
          <w:color w:val="auto"/>
          <w:vertAlign w:val="superscript"/>
        </w:rPr>
      </w:pPr>
      <w:r>
        <w:rPr>
          <w:rFonts w:ascii="Arial" w:cs="Arial" w:eastAsia="Arial" w:hAnsi="Arial"/>
          <w:sz w:val="13"/>
          <w:szCs w:val="13"/>
          <w:color w:val="auto"/>
        </w:rPr>
        <w:t>Includes only shares that are either directly held or through the Company's stock purchase plan.</w:t>
      </w:r>
    </w:p>
    <w:p>
      <w:pPr>
        <w:ind w:left="300" w:hanging="300"/>
        <w:spacing w:after="0" w:line="213" w:lineRule="auto"/>
        <w:tabs>
          <w:tab w:leader="none" w:pos="300" w:val="left"/>
        </w:tabs>
        <w:numPr>
          <w:ilvl w:val="0"/>
          <w:numId w:val="139"/>
        </w:numPr>
        <w:rPr>
          <w:rFonts w:ascii="Arial" w:cs="Arial" w:eastAsia="Arial" w:hAnsi="Arial"/>
          <w:sz w:val="22"/>
          <w:szCs w:val="22"/>
          <w:color w:val="auto"/>
          <w:vertAlign w:val="superscript"/>
        </w:rPr>
      </w:pPr>
      <w:r>
        <w:rPr>
          <w:rFonts w:ascii="Arial" w:cs="Arial" w:eastAsia="Arial" w:hAnsi="Arial"/>
          <w:sz w:val="13"/>
          <w:szCs w:val="13"/>
          <w:color w:val="auto"/>
        </w:rPr>
        <w:t>Includes 191 vested stock units that will be settled in shares of the Company's common stock upon Mr. Donnelly's separation from the Board.</w:t>
      </w:r>
    </w:p>
    <w:p>
      <w:pPr>
        <w:ind w:left="300" w:hanging="300"/>
        <w:spacing w:after="0" w:line="214" w:lineRule="auto"/>
        <w:tabs>
          <w:tab w:leader="none" w:pos="300" w:val="left"/>
        </w:tabs>
        <w:numPr>
          <w:ilvl w:val="0"/>
          <w:numId w:val="140"/>
        </w:numPr>
        <w:rPr>
          <w:rFonts w:ascii="Arial" w:cs="Arial" w:eastAsia="Arial" w:hAnsi="Arial"/>
          <w:sz w:val="22"/>
          <w:szCs w:val="22"/>
          <w:color w:val="auto"/>
          <w:vertAlign w:val="superscript"/>
        </w:rPr>
      </w:pPr>
      <w:r>
        <w:rPr>
          <w:rFonts w:ascii="Arial" w:cs="Arial" w:eastAsia="Arial" w:hAnsi="Arial"/>
          <w:sz w:val="13"/>
          <w:szCs w:val="13"/>
          <w:color w:val="auto"/>
        </w:rPr>
        <w:t>Includes 8,590 vested stock units that will be settled in shares of the Company's common stock upon Ms. Dublon's separation from the Board.</w:t>
      </w:r>
    </w:p>
    <w:p>
      <w:pPr>
        <w:spacing w:after="0" w:line="58" w:lineRule="exact"/>
        <w:rPr>
          <w:sz w:val="20"/>
          <w:szCs w:val="20"/>
          <w:color w:val="auto"/>
        </w:rPr>
      </w:pPr>
    </w:p>
    <w:p>
      <w:pPr>
        <w:ind w:left="300" w:hanging="300"/>
        <w:spacing w:after="0" w:line="189" w:lineRule="auto"/>
        <w:tabs>
          <w:tab w:leader="none" w:pos="300" w:val="left"/>
        </w:tabs>
        <w:numPr>
          <w:ilvl w:val="0"/>
          <w:numId w:val="141"/>
        </w:numPr>
        <w:rPr>
          <w:rFonts w:ascii="Arial" w:cs="Arial" w:eastAsia="Arial" w:hAnsi="Arial"/>
          <w:sz w:val="22"/>
          <w:szCs w:val="22"/>
          <w:color w:val="auto"/>
          <w:vertAlign w:val="superscript"/>
        </w:rPr>
      </w:pPr>
      <w:r>
        <w:rPr>
          <w:rFonts w:ascii="Arial" w:cs="Arial" w:eastAsia="Arial" w:hAnsi="Arial"/>
          <w:sz w:val="13"/>
          <w:szCs w:val="13"/>
          <w:color w:val="auto"/>
        </w:rPr>
        <w:t>Includes (i) 26,408 shares that may be acquired by Dr. Hrabowski within 60 days upon the exercise of stock options, (ii) 19,118 vested RSUs that will be settled in shares of the Company's common stock upon Dr. Hrabowski's separation from the Board, and (iii) 25,328 shares held by a member of Dr. Hrabowski's family.</w:t>
      </w:r>
    </w:p>
    <w:p>
      <w:pPr>
        <w:spacing w:after="0" w:line="51" w:lineRule="exact"/>
        <w:rPr>
          <w:sz w:val="20"/>
          <w:szCs w:val="20"/>
          <w:color w:val="auto"/>
        </w:rPr>
      </w:pPr>
    </w:p>
    <w:p>
      <w:pPr>
        <w:ind w:left="300" w:hanging="300"/>
        <w:spacing w:after="0" w:line="193" w:lineRule="auto"/>
        <w:tabs>
          <w:tab w:leader="none" w:pos="300" w:val="left"/>
        </w:tabs>
        <w:numPr>
          <w:ilvl w:val="0"/>
          <w:numId w:val="142"/>
        </w:numPr>
        <w:rPr>
          <w:rFonts w:ascii="Arial" w:cs="Arial" w:eastAsia="Arial" w:hAnsi="Arial"/>
          <w:sz w:val="22"/>
          <w:szCs w:val="22"/>
          <w:color w:val="auto"/>
          <w:vertAlign w:val="superscript"/>
        </w:rPr>
      </w:pPr>
      <w:r>
        <w:rPr>
          <w:rFonts w:ascii="Arial" w:cs="Arial" w:eastAsia="Arial" w:hAnsi="Arial"/>
          <w:sz w:val="13"/>
          <w:szCs w:val="13"/>
          <w:color w:val="auto"/>
        </w:rPr>
        <w:t>Includes (i) 26,408 shares that may be acquired by Mr. MacLellan within 60 days upon the exercise of stock options, (ii) 1,890 unvested restricted stock awards, and (iii) 10,429 vested RSUs that will be settled in shares of the Company's common stock upon Mr. MacLellan's separation from the Board.</w:t>
      </w:r>
    </w:p>
    <w:p>
      <w:pPr>
        <w:ind w:left="300" w:hanging="300"/>
        <w:spacing w:after="0" w:line="214" w:lineRule="auto"/>
        <w:tabs>
          <w:tab w:leader="none" w:pos="300" w:val="left"/>
        </w:tabs>
        <w:numPr>
          <w:ilvl w:val="0"/>
          <w:numId w:val="143"/>
        </w:numPr>
        <w:rPr>
          <w:rFonts w:ascii="Arial" w:cs="Arial" w:eastAsia="Arial" w:hAnsi="Arial"/>
          <w:sz w:val="22"/>
          <w:szCs w:val="22"/>
          <w:color w:val="auto"/>
          <w:vertAlign w:val="superscript"/>
        </w:rPr>
      </w:pPr>
      <w:r>
        <w:rPr>
          <w:rFonts w:ascii="Arial" w:cs="Arial" w:eastAsia="Arial" w:hAnsi="Arial"/>
          <w:sz w:val="13"/>
          <w:szCs w:val="13"/>
          <w:color w:val="auto"/>
        </w:rPr>
        <w:t>Includes 1,890 unvested restricted stock awards that will be settled in shares of the Company's common stock upon Ms. Rominger's separation from the Board.</w:t>
      </w:r>
    </w:p>
    <w:p>
      <w:pPr>
        <w:ind w:left="300" w:hanging="300"/>
        <w:spacing w:after="0" w:line="213" w:lineRule="auto"/>
        <w:tabs>
          <w:tab w:leader="none" w:pos="300" w:val="left"/>
        </w:tabs>
        <w:numPr>
          <w:ilvl w:val="0"/>
          <w:numId w:val="144"/>
        </w:numPr>
        <w:rPr>
          <w:rFonts w:ascii="Arial" w:cs="Arial" w:eastAsia="Arial" w:hAnsi="Arial"/>
          <w:sz w:val="22"/>
          <w:szCs w:val="22"/>
          <w:color w:val="auto"/>
          <w:vertAlign w:val="superscript"/>
        </w:rPr>
      </w:pPr>
      <w:r>
        <w:rPr>
          <w:rFonts w:ascii="Arial" w:cs="Arial" w:eastAsia="Arial" w:hAnsi="Arial"/>
          <w:sz w:val="13"/>
          <w:szCs w:val="13"/>
          <w:color w:val="auto"/>
        </w:rPr>
        <w:t>Includes 1,254 shares that may be acquired by Mr. Sharps within 60 days upon the exercise of stock options.</w:t>
      </w:r>
    </w:p>
    <w:p>
      <w:pPr>
        <w:spacing w:after="0" w:line="63" w:lineRule="exact"/>
        <w:rPr>
          <w:rFonts w:ascii="Arial" w:cs="Arial" w:eastAsia="Arial" w:hAnsi="Arial"/>
          <w:sz w:val="22"/>
          <w:szCs w:val="22"/>
          <w:color w:val="auto"/>
          <w:vertAlign w:val="superscript"/>
        </w:rPr>
      </w:pPr>
    </w:p>
    <w:p>
      <w:pPr>
        <w:ind w:left="300" w:hanging="300"/>
        <w:spacing w:after="0" w:line="188" w:lineRule="auto"/>
        <w:tabs>
          <w:tab w:leader="none" w:pos="300" w:val="left"/>
        </w:tabs>
        <w:numPr>
          <w:ilvl w:val="0"/>
          <w:numId w:val="144"/>
        </w:numPr>
        <w:rPr>
          <w:rFonts w:ascii="Arial" w:cs="Arial" w:eastAsia="Arial" w:hAnsi="Arial"/>
          <w:sz w:val="18"/>
          <w:szCs w:val="18"/>
          <w:color w:val="auto"/>
          <w:vertAlign w:val="superscript"/>
        </w:rPr>
      </w:pPr>
      <w:r>
        <w:rPr>
          <w:rFonts w:ascii="Arial" w:cs="Arial" w:eastAsia="Arial" w:hAnsi="Arial"/>
          <w:sz w:val="11"/>
          <w:szCs w:val="11"/>
          <w:color w:val="auto"/>
        </w:rPr>
        <w:t>Includes 2,478 unvested restricted stock awards.</w:t>
      </w:r>
    </w:p>
    <w:p>
      <w:pPr>
        <w:spacing w:after="0" w:line="14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3"/>
          <w:szCs w:val="13"/>
          <w:b w:val="1"/>
          <w:bCs w:val="1"/>
          <w:color w:val="00244F"/>
        </w:rPr>
        <w:t>80</w:t>
      </w:r>
      <w:r>
        <w:rPr>
          <w:sz w:val="20"/>
          <w:szCs w:val="20"/>
          <w:color w:val="auto"/>
        </w:rPr>
        <w:tab/>
      </w:r>
      <w:r>
        <w:rPr>
          <w:rFonts w:ascii="Times New Roman" w:cs="Times New Roman" w:eastAsia="Times New Roman" w:hAnsi="Times New Roman"/>
          <w:sz w:val="13"/>
          <w:szCs w:val="13"/>
          <w:b w:val="1"/>
          <w:bCs w:val="1"/>
          <w:color w:val="00244F"/>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42480" cy="762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85" w:name="page86"/>
    <w:bookmarkEnd w:id="85"/>
    <w:p>
      <w:pPr>
        <w:spacing w:after="0"/>
        <w:rPr>
          <w:sz w:val="20"/>
          <w:szCs w:val="20"/>
          <w:color w:val="auto"/>
        </w:rPr>
      </w:pPr>
      <w:r>
        <w:rPr>
          <w:rFonts w:ascii="Arial" w:cs="Arial" w:eastAsia="Arial" w:hAnsi="Arial"/>
          <w:sz w:val="17"/>
          <w:szCs w:val="17"/>
          <w:u w:val="single" w:color="auto"/>
          <w:color w:val="0000EE"/>
        </w:rPr>
        <w:t>Table of Contents</w:t>
      </w:r>
    </w:p>
    <w:p>
      <w:pPr>
        <w:spacing w:after="0" w:line="260" w:lineRule="exact"/>
        <w:rPr>
          <w:sz w:val="20"/>
          <w:szCs w:val="20"/>
          <w:color w:val="auto"/>
        </w:rPr>
      </w:pPr>
    </w:p>
    <w:p>
      <w:pPr>
        <w:ind w:left="300" w:hanging="300"/>
        <w:spacing w:after="0"/>
        <w:tabs>
          <w:tab w:leader="none" w:pos="300" w:val="left"/>
        </w:tabs>
        <w:numPr>
          <w:ilvl w:val="0"/>
          <w:numId w:val="145"/>
        </w:numPr>
        <w:rPr>
          <w:rFonts w:ascii="Arial" w:cs="Arial" w:eastAsia="Arial" w:hAnsi="Arial"/>
          <w:sz w:val="22"/>
          <w:szCs w:val="22"/>
          <w:color w:val="auto"/>
          <w:vertAlign w:val="superscript"/>
        </w:rPr>
      </w:pPr>
      <w:r>
        <w:rPr>
          <w:rFonts w:ascii="Arial" w:cs="Arial" w:eastAsia="Arial" w:hAnsi="Arial"/>
          <w:sz w:val="13"/>
          <w:szCs w:val="13"/>
          <w:color w:val="auto"/>
        </w:rPr>
        <w:t>Includes 12,333 vested RSUs that will be settled in shares of the Company's common stock upon Mr. Stevens' separation from the Board.</w:t>
      </w:r>
    </w:p>
    <w:p>
      <w:pPr>
        <w:ind w:left="300" w:right="160" w:hanging="300"/>
        <w:spacing w:after="0" w:line="184" w:lineRule="auto"/>
        <w:tabs>
          <w:tab w:leader="none" w:pos="300" w:val="left"/>
        </w:tabs>
        <w:numPr>
          <w:ilvl w:val="0"/>
          <w:numId w:val="145"/>
        </w:numPr>
        <w:rPr>
          <w:rFonts w:ascii="Arial" w:cs="Arial" w:eastAsia="Arial" w:hAnsi="Arial"/>
          <w:sz w:val="21"/>
          <w:szCs w:val="21"/>
          <w:color w:val="auto"/>
          <w:vertAlign w:val="superscript"/>
        </w:rPr>
      </w:pPr>
      <w:r>
        <w:rPr>
          <w:rFonts w:ascii="Arial" w:cs="Arial" w:eastAsia="Arial" w:hAnsi="Arial"/>
          <w:sz w:val="13"/>
          <w:szCs w:val="13"/>
          <w:color w:val="auto"/>
        </w:rPr>
        <w:t>Includes 400,000 shares held by a limited liability company in which Mr. Stromberg has an interest, and a total of 155,900 shares held in a family trust and a family foundation for which Mr. Stromberg disclaims beneficial ownership.</w:t>
      </w:r>
    </w:p>
    <w:p>
      <w:pPr>
        <w:ind w:left="300" w:hanging="300"/>
        <w:spacing w:after="0" w:line="184" w:lineRule="auto"/>
        <w:tabs>
          <w:tab w:leader="none" w:pos="300" w:val="left"/>
        </w:tabs>
        <w:numPr>
          <w:ilvl w:val="0"/>
          <w:numId w:val="145"/>
        </w:numPr>
        <w:rPr>
          <w:rFonts w:ascii="Arial" w:cs="Arial" w:eastAsia="Arial" w:hAnsi="Arial"/>
          <w:sz w:val="17"/>
          <w:szCs w:val="17"/>
          <w:color w:val="auto"/>
          <w:vertAlign w:val="superscript"/>
        </w:rPr>
      </w:pPr>
      <w:r>
        <w:rPr>
          <w:rFonts w:ascii="Arial" w:cs="Arial" w:eastAsia="Arial" w:hAnsi="Arial"/>
          <w:sz w:val="11"/>
          <w:szCs w:val="11"/>
          <w:color w:val="auto"/>
        </w:rPr>
        <w:t>Includes 38,700 shares that may be acquired by Mr. Thomson within 60 days upon the exercise of stock options.</w:t>
      </w:r>
    </w:p>
    <w:p>
      <w:pPr>
        <w:ind w:left="300" w:hanging="300"/>
        <w:spacing w:after="0" w:line="184" w:lineRule="auto"/>
        <w:tabs>
          <w:tab w:leader="none" w:pos="300" w:val="left"/>
        </w:tabs>
        <w:numPr>
          <w:ilvl w:val="0"/>
          <w:numId w:val="145"/>
        </w:numPr>
        <w:rPr>
          <w:rFonts w:ascii="Arial" w:cs="Arial" w:eastAsia="Arial" w:hAnsi="Arial"/>
          <w:sz w:val="17"/>
          <w:szCs w:val="17"/>
          <w:color w:val="auto"/>
          <w:vertAlign w:val="superscript"/>
        </w:rPr>
      </w:pPr>
      <w:r>
        <w:rPr>
          <w:rFonts w:ascii="Arial" w:cs="Arial" w:eastAsia="Arial" w:hAnsi="Arial"/>
          <w:sz w:val="11"/>
          <w:szCs w:val="11"/>
          <w:color w:val="auto"/>
        </w:rPr>
        <w:t>Includes 53,500 held in a family trust for which Mr. Veiel disclaims beneficial ownership, and 46,000 shares held by a member of Mr. Veiel's family.</w:t>
      </w:r>
    </w:p>
    <w:p>
      <w:pPr>
        <w:ind w:left="300" w:hanging="300"/>
        <w:spacing w:after="0" w:line="184" w:lineRule="auto"/>
        <w:tabs>
          <w:tab w:leader="none" w:pos="300" w:val="left"/>
        </w:tabs>
        <w:numPr>
          <w:ilvl w:val="0"/>
          <w:numId w:val="145"/>
        </w:numPr>
        <w:rPr>
          <w:rFonts w:ascii="Arial" w:cs="Arial" w:eastAsia="Arial" w:hAnsi="Arial"/>
          <w:sz w:val="17"/>
          <w:szCs w:val="17"/>
          <w:color w:val="auto"/>
          <w:vertAlign w:val="superscript"/>
        </w:rPr>
      </w:pPr>
      <w:r>
        <w:rPr>
          <w:rFonts w:ascii="Arial" w:cs="Arial" w:eastAsia="Arial" w:hAnsi="Arial"/>
          <w:sz w:val="11"/>
          <w:szCs w:val="11"/>
          <w:color w:val="auto"/>
        </w:rPr>
        <w:t>Includes 1,890 unvested restricted stock awards and 9,504 vested RSUs that will be settled in shares of the Company's common stock upon Ms. Wijnberg's separation from the Board.</w:t>
      </w:r>
    </w:p>
    <w:p>
      <w:pPr>
        <w:ind w:left="300" w:hanging="300"/>
        <w:spacing w:after="0" w:line="184" w:lineRule="auto"/>
        <w:tabs>
          <w:tab w:leader="none" w:pos="300" w:val="left"/>
        </w:tabs>
        <w:numPr>
          <w:ilvl w:val="0"/>
          <w:numId w:val="145"/>
        </w:numPr>
        <w:rPr>
          <w:rFonts w:ascii="Arial" w:cs="Arial" w:eastAsia="Arial" w:hAnsi="Arial"/>
          <w:sz w:val="17"/>
          <w:szCs w:val="17"/>
          <w:color w:val="auto"/>
          <w:vertAlign w:val="superscript"/>
        </w:rPr>
      </w:pPr>
      <w:r>
        <w:rPr>
          <w:rFonts w:ascii="Arial" w:cs="Arial" w:eastAsia="Arial" w:hAnsi="Arial"/>
          <w:sz w:val="11"/>
          <w:szCs w:val="11"/>
          <w:color w:val="auto"/>
        </w:rPr>
        <w:t>Includes 26,427 vested RSUs that will be settled in shares of the Company's common stock upon Mr. Wilson's separation from the Board.</w:t>
      </w:r>
    </w:p>
    <w:p>
      <w:pPr>
        <w:ind w:left="300" w:right="80" w:hanging="300"/>
        <w:spacing w:after="0" w:line="201" w:lineRule="auto"/>
        <w:tabs>
          <w:tab w:leader="none" w:pos="300" w:val="left"/>
        </w:tabs>
        <w:numPr>
          <w:ilvl w:val="0"/>
          <w:numId w:val="145"/>
        </w:numPr>
        <w:rPr>
          <w:rFonts w:ascii="Arial" w:cs="Arial" w:eastAsia="Arial" w:hAnsi="Arial"/>
          <w:sz w:val="22"/>
          <w:szCs w:val="22"/>
          <w:color w:val="auto"/>
          <w:vertAlign w:val="superscript"/>
        </w:rPr>
      </w:pPr>
      <w:r>
        <w:rPr>
          <w:rFonts w:ascii="Arial" w:cs="Arial" w:eastAsia="Arial" w:hAnsi="Arial"/>
          <w:sz w:val="13"/>
          <w:szCs w:val="13"/>
          <w:color w:val="auto"/>
        </w:rPr>
        <w:t>Includes (i) 119,942 shares that may be acquired by all directors and executive officers as a group within 60 days upon the exercise of stock options; (ii) 11,928 unvested restricted stock awards held by certain directors; (iii) 86,591 RSUs held by eight of the non-employee directors that are vested and will be settled in shares of the Company's common stock upon their separation from the Board; and (iv) 1,567,661 shares held by family members, held in family trusts or limited liability companies of certain directors and executive officers.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254F"/>
        </w:rPr>
        <w:t>Delinquent Section 16(a) Reports</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We believe that all filing requirements to comply with Section 16(a) of the Securities Exchange Act were met during calendar year 2023.</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254F"/>
        </w:rPr>
        <w:t>Certain Relationships and Related Transactions</w:t>
      </w:r>
    </w:p>
    <w:p>
      <w:pPr>
        <w:spacing w:after="0" w:line="200" w:lineRule="exact"/>
        <w:rPr>
          <w:sz w:val="20"/>
          <w:szCs w:val="20"/>
          <w:color w:val="auto"/>
        </w:rPr>
      </w:pPr>
    </w:p>
    <w:p>
      <w:pPr>
        <w:ind w:right="40"/>
        <w:spacing w:after="0" w:line="249" w:lineRule="auto"/>
        <w:rPr>
          <w:sz w:val="20"/>
          <w:szCs w:val="20"/>
          <w:color w:val="auto"/>
        </w:rPr>
      </w:pPr>
      <w:r>
        <w:rPr>
          <w:rFonts w:ascii="Arial" w:cs="Arial" w:eastAsia="Arial" w:hAnsi="Arial"/>
          <w:sz w:val="15"/>
          <w:szCs w:val="15"/>
          <w:color w:val="auto"/>
        </w:rPr>
        <w:t>On October 28, 2021, the Company entered into a transaction agreement (Purchase Agreement) with OHA (together with its affiliated entities) and the holders of equity interests in OHA, including Glenn R. August, a director and executive officer of the Company (the "Sellers"). On December 29, 2021, the Company completed the purchase from the Sellers, for a purchase price of approximately $3.3 billion in the aggregate, including the retirement of outstanding OHA debt, with approximately 74% payable in cash and 26% in shares of the Company's common stock. Upon the satisfaction of certain milestones by the OHA business, Mr. August and the other Sellers would be entitled to receive up to an aggregate of $900 million as part of an earn-out payment starting in early 2025 and ending in 2027 (the "Earnout Payment"). The Earnout Payment, if any, will be payable to Sellers if the OHA business generates revenues in excess of certain pre-set targets during the period commencing January 1, 2022, through December 31, 2026.</w:t>
      </w:r>
    </w:p>
    <w:p>
      <w:pPr>
        <w:spacing w:after="0" w:line="147" w:lineRule="exact"/>
        <w:rPr>
          <w:sz w:val="20"/>
          <w:szCs w:val="20"/>
          <w:color w:val="auto"/>
        </w:rPr>
      </w:pPr>
    </w:p>
    <w:p>
      <w:pPr>
        <w:jc w:val="both"/>
        <w:ind w:right="200"/>
        <w:spacing w:after="0" w:line="267" w:lineRule="auto"/>
        <w:rPr>
          <w:sz w:val="20"/>
          <w:szCs w:val="20"/>
          <w:color w:val="auto"/>
        </w:rPr>
      </w:pPr>
      <w:r>
        <w:rPr>
          <w:rFonts w:ascii="Arial" w:cs="Arial" w:eastAsia="Arial" w:hAnsi="Arial"/>
          <w:sz w:val="14"/>
          <w:szCs w:val="14"/>
          <w:color w:val="auto"/>
        </w:rPr>
        <w:t>On December 29, 2021, in connection with the Company's acquisition of OHA, the Company entered into an employment agreement with Mr. August, and also entered into a Value Creation Agreement with Mr. August and certain other senior partners of OHA (the "Value Creation Agreement"). The Value Creation Agreement provides that, promptly following the fifth anniversary of the closing date of the acquisition (the "Value Creation Date"), certain employees of the OHA business, including</w:t>
      </w:r>
    </w:p>
    <w:p>
      <w:pPr>
        <w:spacing w:after="0" w:line="2" w:lineRule="exact"/>
        <w:rPr>
          <w:sz w:val="20"/>
          <w:szCs w:val="20"/>
          <w:color w:val="auto"/>
        </w:rPr>
      </w:pPr>
    </w:p>
    <w:p>
      <w:pPr>
        <w:ind w:right="60"/>
        <w:spacing w:after="0" w:line="272" w:lineRule="auto"/>
        <w:rPr>
          <w:sz w:val="20"/>
          <w:szCs w:val="20"/>
          <w:color w:val="auto"/>
        </w:rPr>
      </w:pPr>
      <w:r>
        <w:rPr>
          <w:rFonts w:ascii="Arial" w:cs="Arial" w:eastAsia="Arial" w:hAnsi="Arial"/>
          <w:sz w:val="14"/>
          <w:szCs w:val="14"/>
          <w:color w:val="auto"/>
        </w:rPr>
        <w:t>Mr. August, will receive incentive payments in the aggregate equal to 10% of the appreciation in value of the OHA business, subject to an annualized preferred return to the Company, between the closing date and the Value Creation Date, all as calculated in accordance with the Value Creation Agreement (the "Value Creation Payment"). 75% of the Value Creation Payment will be paid in cash (subject to applicable withholding) and the remaining 25% will be paid in shares of Company common stock, based on the volume-weighted average price for the five consecutive trading days ending on the date immediately prior to the date the Value Creation Payment is made.</w:t>
      </w:r>
    </w:p>
    <w:p>
      <w:pPr>
        <w:spacing w:after="0" w:line="131" w:lineRule="exact"/>
        <w:rPr>
          <w:sz w:val="20"/>
          <w:szCs w:val="20"/>
          <w:color w:val="auto"/>
        </w:rPr>
      </w:pPr>
    </w:p>
    <w:p>
      <w:pPr>
        <w:jc w:val="both"/>
        <w:ind w:right="180"/>
        <w:spacing w:after="0" w:line="249" w:lineRule="auto"/>
        <w:rPr>
          <w:sz w:val="20"/>
          <w:szCs w:val="20"/>
          <w:color w:val="auto"/>
        </w:rPr>
      </w:pPr>
      <w:r>
        <w:rPr>
          <w:rFonts w:ascii="Arial" w:cs="Arial" w:eastAsia="Arial" w:hAnsi="Arial"/>
          <w:sz w:val="15"/>
          <w:szCs w:val="15"/>
          <w:color w:val="auto"/>
        </w:rPr>
        <w:t>Following our acquisition of OHA, members of the Management Committee have been provided the opportunity to invest their own capital in OHA funds, without being subject to management fees, incentive fees/allocations, and standard minimum investments. During the year ended December 31, 2023, our executive officers had the following gross contributions relating to their personal investments in OHA funds and other OHA-managed vehicles: Mr. Sharps, Mr. McCormick, Mr. Nelson,</w:t>
      </w:r>
    </w:p>
    <w:p>
      <w:pPr>
        <w:spacing w:after="0" w:line="2" w:lineRule="exact"/>
        <w:rPr>
          <w:sz w:val="20"/>
          <w:szCs w:val="20"/>
          <w:color w:val="auto"/>
        </w:rPr>
      </w:pPr>
    </w:p>
    <w:p>
      <w:pPr>
        <w:ind w:right="360"/>
        <w:spacing w:after="0" w:line="259" w:lineRule="auto"/>
        <w:rPr>
          <w:sz w:val="20"/>
          <w:szCs w:val="20"/>
          <w:color w:val="auto"/>
        </w:rPr>
      </w:pPr>
      <w:r>
        <w:rPr>
          <w:rFonts w:ascii="Arial" w:cs="Arial" w:eastAsia="Arial" w:hAnsi="Arial"/>
          <w:sz w:val="15"/>
          <w:szCs w:val="15"/>
          <w:color w:val="auto"/>
        </w:rPr>
        <w:t>Mr. Oestreicher, Mr. Page, Mr. Veiel, Ms. Dardis, Ms. Johnson, and Ms. Sawyer made gross contributions of $1,750,000, $1,300,000, $500,000, $462,500, $262,500 $1,750,000, $262,500, $100,000, and $500,000, respectively.</w:t>
      </w:r>
    </w:p>
    <w:p>
      <w:pPr>
        <w:spacing w:after="0" w:line="139" w:lineRule="exact"/>
        <w:rPr>
          <w:sz w:val="20"/>
          <w:szCs w:val="20"/>
          <w:color w:val="auto"/>
        </w:rPr>
      </w:pPr>
    </w:p>
    <w:p>
      <w:pPr>
        <w:ind w:right="80"/>
        <w:spacing w:after="0" w:line="255" w:lineRule="auto"/>
        <w:rPr>
          <w:sz w:val="20"/>
          <w:szCs w:val="20"/>
          <w:color w:val="auto"/>
        </w:rPr>
      </w:pPr>
      <w:r>
        <w:rPr>
          <w:rFonts w:ascii="Arial" w:cs="Arial" w:eastAsia="Arial" w:hAnsi="Arial"/>
          <w:sz w:val="15"/>
          <w:szCs w:val="15"/>
          <w:color w:val="auto"/>
        </w:rPr>
        <w:t>From time to time, our directors, executive officers and employees, members of their immediate families and companies, affiliates of companies or investment vehicles managed by companies that are associated with our directors may have investments in various investment vehicles or accounts sponsored or managed by our subsidiaries or utilize our products or services in the ordinary course of business on substantially the same terms as those prevailing at the time for comparable products or services provided to unaffiliated third parties.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020" w:type="dxa"/>
            <w:vAlign w:val="bottom"/>
          </w:tcPr>
          <w:p>
            <w:pPr>
              <w:ind w:left="9720"/>
              <w:spacing w:after="0"/>
              <w:rPr>
                <w:sz w:val="20"/>
                <w:szCs w:val="20"/>
                <w:color w:val="auto"/>
              </w:rPr>
            </w:pPr>
            <w:r>
              <w:rPr>
                <w:rFonts w:ascii="Times New Roman" w:cs="Times New Roman" w:eastAsia="Times New Roman" w:hAnsi="Times New Roman"/>
                <w:sz w:val="13"/>
                <w:szCs w:val="13"/>
                <w:b w:val="1"/>
                <w:bCs w:val="1"/>
                <w:color w:val="auto"/>
              </w:rPr>
              <w:t xml:space="preserve">2024 </w:t>
            </w:r>
            <w:r>
              <w:rPr>
                <w:rFonts w:ascii="Times New Roman" w:cs="Times New Roman" w:eastAsia="Times New Roman" w:hAnsi="Times New Roman"/>
                <w:sz w:val="13"/>
                <w:szCs w:val="13"/>
                <w:color w:val="auto"/>
              </w:rPr>
              <w:t>Proxy Statement</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244F"/>
              </w:rPr>
              <w:t>81</w:t>
            </w:r>
          </w:p>
        </w:tc>
      </w:tr>
      <w:tr>
        <w:trPr>
          <w:trHeight w:val="385"/>
        </w:trPr>
        <w:tc>
          <w:tcPr>
            <w:tcW w:w="1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98" w:right="339" w:bottom="1440" w:gutter="0" w:footer="0" w:header="0"/>
        </w:sectPr>
      </w:pPr>
    </w:p>
    <w:bookmarkStart w:id="86" w:name="page87"/>
    <w:bookmarkEnd w:id="86"/>
    <w:p>
      <w:pPr>
        <w:spacing w:after="0"/>
        <w:rPr>
          <w:sz w:val="20"/>
          <w:szCs w:val="20"/>
          <w:color w:val="auto"/>
        </w:rPr>
      </w:pPr>
      <w:r>
        <w:rPr>
          <w:rFonts w:ascii="Arial" w:cs="Arial" w:eastAsia="Arial" w:hAnsi="Arial"/>
          <w:sz w:val="17"/>
          <w:szCs w:val="17"/>
          <w:u w:val="single" w:color="auto"/>
          <w:color w:val="0000EE"/>
        </w:rPr>
        <w:t>Table of Contents</w:t>
      </w:r>
    </w:p>
    <w:p>
      <w:pPr>
        <w:spacing w:after="0" w:line="357"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55"/>
          <w:szCs w:val="55"/>
          <w:color w:val="00254F"/>
        </w:rPr>
        <w:t>Questions and Answers About the Proxy Materials and the Annual Meeting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Why did I receive a Notice of the Internet Availability of Proxy Materials in the mail?</w:t>
      </w:r>
    </w:p>
    <w:p>
      <w:pPr>
        <w:spacing w:after="0" w:line="199" w:lineRule="exact"/>
        <w:rPr>
          <w:sz w:val="20"/>
          <w:szCs w:val="20"/>
          <w:color w:val="auto"/>
        </w:rPr>
      </w:pPr>
    </w:p>
    <w:p>
      <w:pPr>
        <w:ind w:right="20"/>
        <w:spacing w:after="0" w:line="250" w:lineRule="auto"/>
        <w:rPr>
          <w:sz w:val="20"/>
          <w:szCs w:val="20"/>
          <w:color w:val="auto"/>
        </w:rPr>
      </w:pPr>
      <w:r>
        <w:rPr>
          <w:rFonts w:ascii="Arial" w:cs="Arial" w:eastAsia="Arial" w:hAnsi="Arial"/>
          <w:sz w:val="15"/>
          <w:szCs w:val="15"/>
          <w:color w:val="auto"/>
        </w:rPr>
        <w:t>You received in the mail either a notice of the internet availability of proxy materials or a printed proxy statement and 2023 Annual Report to Stockholders because you owned Price Group common stock at the close of business on March 1, 2024, which we refer to as the "Record Date," and that entitles you to vote at the Annual Meeting. This proxy statement, the proxy card, and our 2023 Annual Report to Stockholders containing our consolidated financial statements and other financial information for the year ended December 31, 2023, constitute the "Proxy Materials." The Board is soliciting your proxy to vote at the Annual Meeting or at any later meeting if the Annual Meeting is adjourned or postponed for any reason. Your proxy will authorize each of David Oestreicher and Jean-Marc Corredor as proxies to vote on your behalf at the Annual Meeting. By use of a proxy, you can vote whether or not you attend the Annual Meeting.</w:t>
      </w:r>
    </w:p>
    <w:p>
      <w:pPr>
        <w:spacing w:after="0" w:line="147" w:lineRule="exact"/>
        <w:rPr>
          <w:sz w:val="20"/>
          <w:szCs w:val="20"/>
          <w:color w:val="auto"/>
        </w:rPr>
      </w:pPr>
    </w:p>
    <w:p>
      <w:pPr>
        <w:ind w:right="140"/>
        <w:spacing w:after="0" w:line="278" w:lineRule="auto"/>
        <w:rPr>
          <w:sz w:val="20"/>
          <w:szCs w:val="20"/>
          <w:color w:val="auto"/>
        </w:rPr>
      </w:pPr>
      <w:r>
        <w:rPr>
          <w:rFonts w:ascii="Arial" w:cs="Arial" w:eastAsia="Arial" w:hAnsi="Arial"/>
          <w:sz w:val="15"/>
          <w:szCs w:val="15"/>
          <w:color w:val="auto"/>
        </w:rPr>
        <w:t>This proxy statement describes the matters to be acted upon at the Annual Meeting, provides information on those matters, and provides information about Price Group that we must disclose when we solicit your proxy.</w:t>
      </w:r>
    </w:p>
    <w:p>
      <w:pPr>
        <w:spacing w:after="0" w:line="125"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Pursuant to rules adopted by the SEC, we have elected to provide access to our Proxy Materials over the internet. We believe that internet delivery of our Proxy Materials allows us to provide our stockholders with the information they need, while lowering the costs of delivery and reducing the environmental impact of our Annual Meeting. Accordingly, we are sending a Notice of Internet Availability of Proxy Materials, which we refer to as the "Notice," to many of our stockholders (including beneficial owners) as of the Record Date. Our stockholders who receive the Notice will have the ability to access the Proxy Materials on a website referred to in the Notice or request to receive a printed set of the Proxy Materials. The Notice contains instructions on how to access the Proxy Materials over the internet or to request a printed copy. In addition, stockholders may request to receive Proxy Materials in printed form by mail or electronically by email on an ongoing basis by calling Broadridge Financial Solutions, Inc. (Broadridge), at 1-800-579-1639. Please note that you may not vote using the Notice. The Notice identifies the items to be voted on at the Annual Meeting and describes how to vote, but you cannot vote by marking the Notice and returning it.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Can I view the Proxy Materials on the internet?</w:t>
      </w:r>
    </w:p>
    <w:p>
      <w:pPr>
        <w:spacing w:after="0" w:line="199" w:lineRule="exact"/>
        <w:rPr>
          <w:sz w:val="20"/>
          <w:szCs w:val="20"/>
          <w:color w:val="auto"/>
        </w:rPr>
      </w:pPr>
    </w:p>
    <w:p>
      <w:pPr>
        <w:jc w:val="both"/>
        <w:ind w:right="100"/>
        <w:spacing w:after="0" w:line="261" w:lineRule="auto"/>
        <w:rPr>
          <w:sz w:val="20"/>
          <w:szCs w:val="20"/>
          <w:color w:val="auto"/>
        </w:rPr>
      </w:pPr>
      <w:r>
        <w:rPr>
          <w:rFonts w:ascii="Arial" w:cs="Arial" w:eastAsia="Arial" w:hAnsi="Arial"/>
          <w:sz w:val="15"/>
          <w:szCs w:val="15"/>
          <w:color w:val="auto"/>
        </w:rPr>
        <w:t>Yes. As described in more detail in response to the prior question, most stockholders will receive the proxy statement online. If you received a paper copy, you can also view these documents on the internet by accessing our website and finding the materials under the Investor Relations tab. The SEC also maintains a website at sec.gov that contains reports, proxy statements, and other information regarding Price Group.</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Who is entitled to vote at the Annual Meeting?</w:t>
      </w:r>
    </w:p>
    <w:p>
      <w:pPr>
        <w:spacing w:after="0" w:line="199" w:lineRule="exact"/>
        <w:rPr>
          <w:sz w:val="20"/>
          <w:szCs w:val="20"/>
          <w:color w:val="auto"/>
        </w:rPr>
      </w:pPr>
    </w:p>
    <w:p>
      <w:pPr>
        <w:ind w:right="380"/>
        <w:spacing w:after="0" w:line="278" w:lineRule="auto"/>
        <w:rPr>
          <w:sz w:val="20"/>
          <w:szCs w:val="20"/>
          <w:color w:val="auto"/>
        </w:rPr>
      </w:pPr>
      <w:r>
        <w:rPr>
          <w:rFonts w:ascii="Arial" w:cs="Arial" w:eastAsia="Arial" w:hAnsi="Arial"/>
          <w:sz w:val="15"/>
          <w:szCs w:val="15"/>
          <w:color w:val="auto"/>
        </w:rPr>
        <w:t>Holders of our common stock at the close of business on the Record Date are entitled to vote their shares at the Annual Meeting. As of the Record Date, there were 223,643,878 shares outstanding. Each share outstanding on the Record Date is entitled to one vote on each proposal presented at the Annual Meeting.</w:t>
      </w:r>
    </w:p>
    <w:p>
      <w:pPr>
        <w:spacing w:after="0" w:line="11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3"/>
          <w:szCs w:val="13"/>
          <w:b w:val="1"/>
          <w:bCs w:val="1"/>
          <w:color w:val="00244F"/>
        </w:rPr>
        <w:t>82</w:t>
        <w:tab/>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42480" cy="762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87" w:name="page88"/>
    <w:bookmarkEnd w:id="87"/>
    <w:p>
      <w:pPr>
        <w:spacing w:after="0"/>
        <w:rPr>
          <w:sz w:val="20"/>
          <w:szCs w:val="20"/>
          <w:color w:val="auto"/>
        </w:rPr>
      </w:pPr>
      <w:r>
        <w:rPr>
          <w:rFonts w:ascii="Arial" w:cs="Arial" w:eastAsia="Arial" w:hAnsi="Arial"/>
          <w:sz w:val="17"/>
          <w:szCs w:val="17"/>
          <w:u w:val="single" w:color="auto"/>
          <w:color w:val="0000EE"/>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What am I voting on, and what are the Board voting recommendations?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Our stockholders will be voting on the following proposals: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902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2"/>
                <w:szCs w:val="12"/>
                <w:b w:val="1"/>
                <w:bCs w:val="1"/>
                <w:color w:val="auto"/>
              </w:rPr>
              <w:t>VOTING ITEM</w:t>
            </w:r>
          </w:p>
        </w:tc>
        <w:tc>
          <w:tcPr>
            <w:tcW w:w="2220" w:type="dxa"/>
            <w:vAlign w:val="bottom"/>
          </w:tcPr>
          <w:p>
            <w:pPr>
              <w:ind w:left="80"/>
              <w:spacing w:after="0"/>
              <w:rPr>
                <w:sz w:val="20"/>
                <w:szCs w:val="20"/>
                <w:color w:val="auto"/>
              </w:rPr>
            </w:pPr>
            <w:r>
              <w:rPr>
                <w:rFonts w:ascii="Arial" w:cs="Arial" w:eastAsia="Arial" w:hAnsi="Arial"/>
                <w:sz w:val="12"/>
                <w:szCs w:val="12"/>
                <w:b w:val="1"/>
                <w:bCs w:val="1"/>
                <w:color w:val="auto"/>
              </w:rPr>
              <w:t>BOARD VOTING</w:t>
            </w:r>
          </w:p>
        </w:tc>
        <w:tc>
          <w:tcPr>
            <w:tcW w:w="0" w:type="dxa"/>
            <w:vAlign w:val="bottom"/>
          </w:tcPr>
          <w:p>
            <w:pPr>
              <w:spacing w:after="0"/>
              <w:rPr>
                <w:sz w:val="1"/>
                <w:szCs w:val="1"/>
                <w:color w:val="auto"/>
              </w:rPr>
            </w:pPr>
          </w:p>
        </w:tc>
      </w:tr>
      <w:tr>
        <w:trPr>
          <w:trHeight w:val="160"/>
        </w:trPr>
        <w:tc>
          <w:tcPr>
            <w:tcW w:w="9020" w:type="dxa"/>
            <w:vAlign w:val="bottom"/>
            <w:tcBorders>
              <w:right w:val="single" w:sz="8" w:color="auto"/>
            </w:tcBorders>
            <w:gridSpan w:val="2"/>
            <w:vMerge w:val="continue"/>
          </w:tcPr>
          <w:p>
            <w:pPr>
              <w:spacing w:after="0"/>
              <w:rPr>
                <w:sz w:val="13"/>
                <w:szCs w:val="13"/>
                <w:color w:val="auto"/>
              </w:rPr>
            </w:pPr>
          </w:p>
        </w:tc>
        <w:tc>
          <w:tcPr>
            <w:tcW w:w="2220" w:type="dxa"/>
            <w:vAlign w:val="bottom"/>
          </w:tcPr>
          <w:p>
            <w:pPr>
              <w:ind w:left="80"/>
              <w:spacing w:after="0"/>
              <w:rPr>
                <w:sz w:val="20"/>
                <w:szCs w:val="20"/>
                <w:color w:val="auto"/>
              </w:rPr>
            </w:pPr>
            <w:r>
              <w:rPr>
                <w:rFonts w:ascii="Arial" w:cs="Arial" w:eastAsia="Arial" w:hAnsi="Arial"/>
                <w:sz w:val="12"/>
                <w:szCs w:val="12"/>
                <w:b w:val="1"/>
                <w:bCs w:val="1"/>
                <w:color w:val="auto"/>
              </w:rPr>
              <w:t>RECOMMENDATION</w:t>
            </w:r>
          </w:p>
        </w:tc>
        <w:tc>
          <w:tcPr>
            <w:tcW w:w="0" w:type="dxa"/>
            <w:vAlign w:val="bottom"/>
          </w:tcPr>
          <w:p>
            <w:pPr>
              <w:spacing w:after="0"/>
              <w:rPr>
                <w:sz w:val="1"/>
                <w:szCs w:val="1"/>
                <w:color w:val="auto"/>
              </w:rPr>
            </w:pPr>
          </w:p>
        </w:tc>
      </w:tr>
      <w:tr>
        <w:trPr>
          <w:trHeight w:val="33"/>
        </w:trPr>
        <w:tc>
          <w:tcPr>
            <w:tcW w:w="8840" w:type="dxa"/>
            <w:vAlign w:val="bottom"/>
            <w:tcBorders>
              <w:bottom w:val="single" w:sz="8" w:color="auto"/>
            </w:tcBorders>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5713730</wp:posOffset>
            </wp:positionH>
            <wp:positionV relativeFrom="paragraph">
              <wp:posOffset>31750</wp:posOffset>
            </wp:positionV>
            <wp:extent cx="1007745" cy="34925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007745" cy="349250"/>
                    </a:xfrm>
                    <a:prstGeom prst="rect">
                      <a:avLst/>
                    </a:prstGeom>
                    <a:noFill/>
                  </pic:spPr>
                </pic:pic>
              </a:graphicData>
            </a:graphic>
          </wp:anchor>
        </w:drawing>
      </w:r>
    </w:p>
    <w:p>
      <w:pPr>
        <w:spacing w:after="0" w:line="173" w:lineRule="exact"/>
        <w:rPr>
          <w:sz w:val="20"/>
          <w:szCs w:val="20"/>
          <w:color w:val="auto"/>
        </w:rPr>
      </w:pPr>
    </w:p>
    <w:p>
      <w:pPr>
        <w:ind w:left="540" w:hanging="450"/>
        <w:spacing w:after="0"/>
        <w:tabs>
          <w:tab w:leader="none" w:pos="540" w:val="left"/>
        </w:tabs>
        <w:numPr>
          <w:ilvl w:val="0"/>
          <w:numId w:val="146"/>
        </w:numPr>
        <w:rPr>
          <w:rFonts w:ascii="Arial" w:cs="Arial" w:eastAsia="Arial" w:hAnsi="Arial"/>
          <w:sz w:val="20"/>
          <w:szCs w:val="20"/>
          <w:b w:val="1"/>
          <w:bCs w:val="1"/>
          <w:color w:val="00254F"/>
        </w:rPr>
      </w:pPr>
      <w:r>
        <w:rPr>
          <w:rFonts w:ascii="Arial" w:cs="Arial" w:eastAsia="Arial" w:hAnsi="Arial"/>
          <w:sz w:val="15"/>
          <w:szCs w:val="15"/>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142480" cy="762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42480" cy="7620"/>
                    </a:xfrm>
                    <a:prstGeom prst="rect">
                      <a:avLst/>
                    </a:prstGeom>
                    <a:noFill/>
                  </pic:spPr>
                </pic:pic>
              </a:graphicData>
            </a:graphic>
          </wp:anchor>
        </w:drawing>
        <w:drawing>
          <wp:anchor simplePos="0" relativeHeight="251657728" behindDoc="1" locked="0" layoutInCell="0" allowOverlap="1">
            <wp:simplePos x="0" y="0"/>
            <wp:positionH relativeFrom="column">
              <wp:posOffset>5713730</wp:posOffset>
            </wp:positionH>
            <wp:positionV relativeFrom="paragraph">
              <wp:posOffset>183515</wp:posOffset>
            </wp:positionV>
            <wp:extent cx="682625" cy="2540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2625" cy="254000"/>
                    </a:xfrm>
                    <a:prstGeom prst="rect">
                      <a:avLst/>
                    </a:prstGeom>
                    <a:noFill/>
                  </pic:spPr>
                </pic:pic>
              </a:graphicData>
            </a:graphic>
          </wp:anchor>
        </w:drawing>
      </w:r>
    </w:p>
    <w:p>
      <w:pPr>
        <w:spacing w:after="0" w:line="299" w:lineRule="exact"/>
        <w:rPr>
          <w:sz w:val="20"/>
          <w:szCs w:val="20"/>
          <w:color w:val="auto"/>
        </w:rPr>
      </w:pPr>
    </w:p>
    <w:p>
      <w:pPr>
        <w:ind w:left="80"/>
        <w:spacing w:after="0"/>
        <w:tabs>
          <w:tab w:leader="none" w:pos="520" w:val="left"/>
        </w:tabs>
        <w:rPr>
          <w:sz w:val="20"/>
          <w:szCs w:val="20"/>
          <w:color w:val="auto"/>
        </w:rPr>
      </w:pPr>
      <w:r>
        <w:rPr>
          <w:rFonts w:ascii="Arial" w:cs="Arial" w:eastAsia="Arial" w:hAnsi="Arial"/>
          <w:sz w:val="20"/>
          <w:szCs w:val="20"/>
          <w:b w:val="1"/>
          <w:bCs w:val="1"/>
          <w:color w:val="00254F"/>
        </w:rPr>
        <w:t>2</w:t>
      </w:r>
      <w:r>
        <w:rPr>
          <w:sz w:val="20"/>
          <w:szCs w:val="20"/>
          <w:color w:val="auto"/>
        </w:rPr>
        <w:tab/>
      </w:r>
      <w:r>
        <w:rPr>
          <w:rFonts w:ascii="Arial" w:cs="Arial" w:eastAsia="Arial" w:hAnsi="Arial"/>
          <w:sz w:val="15"/>
          <w:szCs w:val="15"/>
          <w:color w:val="auto"/>
        </w:rPr>
        <w:t>Advisory vote on the compensation paid to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7142480" cy="762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42480" cy="7620"/>
                    </a:xfrm>
                    <a:prstGeom prst="rect">
                      <a:avLst/>
                    </a:prstGeom>
                    <a:noFill/>
                  </pic:spPr>
                </pic:pic>
              </a:graphicData>
            </a:graphic>
          </wp:anchor>
        </w:drawing>
        <w:drawing>
          <wp:anchor simplePos="0" relativeHeight="251657728" behindDoc="1" locked="0" layoutInCell="0" allowOverlap="1">
            <wp:simplePos x="0" y="0"/>
            <wp:positionH relativeFrom="column">
              <wp:posOffset>5713730</wp:posOffset>
            </wp:positionH>
            <wp:positionV relativeFrom="paragraph">
              <wp:posOffset>160655</wp:posOffset>
            </wp:positionV>
            <wp:extent cx="682625" cy="2540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2625" cy="254000"/>
                    </a:xfrm>
                    <a:prstGeom prst="rect">
                      <a:avLst/>
                    </a:prstGeom>
                    <a:noFill/>
                  </pic:spPr>
                </pic:pic>
              </a:graphicData>
            </a:graphic>
          </wp:anchor>
        </w:drawing>
      </w:r>
    </w:p>
    <w:p>
      <w:pPr>
        <w:spacing w:after="0" w:line="262" w:lineRule="exact"/>
        <w:rPr>
          <w:sz w:val="20"/>
          <w:szCs w:val="20"/>
          <w:color w:val="auto"/>
        </w:rPr>
      </w:pPr>
    </w:p>
    <w:p>
      <w:pPr>
        <w:ind w:left="80"/>
        <w:spacing w:after="0"/>
        <w:tabs>
          <w:tab w:leader="none" w:pos="520" w:val="left"/>
        </w:tabs>
        <w:rPr>
          <w:sz w:val="20"/>
          <w:szCs w:val="20"/>
          <w:color w:val="auto"/>
        </w:rPr>
      </w:pPr>
      <w:r>
        <w:rPr>
          <w:rFonts w:ascii="Arial" w:cs="Arial" w:eastAsia="Arial" w:hAnsi="Arial"/>
          <w:sz w:val="20"/>
          <w:szCs w:val="20"/>
          <w:b w:val="1"/>
          <w:bCs w:val="1"/>
          <w:color w:val="00254F"/>
        </w:rPr>
        <w:t>3</w:t>
      </w:r>
      <w:r>
        <w:rPr>
          <w:sz w:val="20"/>
          <w:szCs w:val="20"/>
          <w:color w:val="auto"/>
        </w:rPr>
        <w:tab/>
      </w:r>
      <w:r>
        <w:rPr>
          <w:rFonts w:ascii="Arial" w:cs="Arial" w:eastAsia="Arial" w:hAnsi="Arial"/>
          <w:sz w:val="15"/>
          <w:szCs w:val="15"/>
          <w:color w:val="auto"/>
        </w:rPr>
        <w:t>Ratification of the appointment of KPMG LLP as our independent registered public accounting firm for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7142480" cy="762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Can other matters be decided at the Annual Meeting?</w:t>
      </w:r>
    </w:p>
    <w:p>
      <w:pPr>
        <w:spacing w:after="0" w:line="199" w:lineRule="exact"/>
        <w:rPr>
          <w:sz w:val="20"/>
          <w:szCs w:val="20"/>
          <w:color w:val="auto"/>
        </w:rPr>
      </w:pPr>
    </w:p>
    <w:p>
      <w:pPr>
        <w:jc w:val="both"/>
        <w:ind w:right="200"/>
        <w:spacing w:after="0" w:line="261" w:lineRule="auto"/>
        <w:rPr>
          <w:sz w:val="20"/>
          <w:szCs w:val="20"/>
          <w:color w:val="auto"/>
        </w:rPr>
      </w:pPr>
      <w:r>
        <w:rPr>
          <w:rFonts w:ascii="Arial" w:cs="Arial" w:eastAsia="Arial" w:hAnsi="Arial"/>
          <w:sz w:val="15"/>
          <w:szCs w:val="15"/>
          <w:color w:val="auto"/>
        </w:rPr>
        <w:t>At the time this proxy statement was completed we were not aware of any other matters to be presented at the Annual Meeting. If other matters are properly presented for consideration at the Annual Meeting, the proxy holders appointed by our Board (i.e., David Oestreicher and Jean-Marc Corredor) will have the discretion to vote on those matters in accordance with their best judgment on behalf of stockholders who provide a valid proxy by internet, by telephone, or by mail.</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What is the procedure for voting?</w:t>
      </w:r>
    </w:p>
    <w:p>
      <w:pPr>
        <w:spacing w:after="0" w:line="199" w:lineRule="exact"/>
        <w:rPr>
          <w:sz w:val="20"/>
          <w:szCs w:val="20"/>
          <w:color w:val="auto"/>
        </w:rPr>
      </w:pPr>
    </w:p>
    <w:p>
      <w:pPr>
        <w:spacing w:after="0" w:line="250" w:lineRule="auto"/>
        <w:rPr>
          <w:sz w:val="20"/>
          <w:szCs w:val="20"/>
          <w:color w:val="auto"/>
        </w:rPr>
      </w:pPr>
      <w:r>
        <w:rPr>
          <w:rFonts w:ascii="Arial" w:cs="Arial" w:eastAsia="Arial" w:hAnsi="Arial"/>
          <w:sz w:val="15"/>
          <w:szCs w:val="15"/>
          <w:color w:val="auto"/>
        </w:rPr>
        <w:t>Whether you hold shares directly as the stockholder of record or beneficially in street name, you may vote before the Annual Meeting by granting a proxy to each of David Oestreicher and Jean-Marc Corredor or, for shares you beneficially own, by submitting voting instructions to your broker, bank, or other nominee. Stockholders have a choice of voting by using the internet, by calling a toll-free telephone number within the United States or Puerto Rico, or by completing a proxy or voting instruction card and mailing it in the postage-paid envelope provided. Please refer to the summary instructions below and carefully follow the instructions included on your Notice; your proxy card; or, for shares you beneficially own, the voting instruction card provided by your broker, bank, or other nominee. The Notice identifies the items to be voted on at the Annual Meeting and provides instructions on how to vote, but you cannot vote by marking the Notice and returning it.</w:t>
      </w:r>
    </w:p>
    <w:p>
      <w:pPr>
        <w:spacing w:after="0" w:line="147" w:lineRule="exact"/>
        <w:rPr>
          <w:sz w:val="20"/>
          <w:szCs w:val="20"/>
          <w:color w:val="auto"/>
        </w:rPr>
      </w:pPr>
    </w:p>
    <w:p>
      <w:pPr>
        <w:ind w:right="320"/>
        <w:spacing w:after="0" w:line="278" w:lineRule="auto"/>
        <w:rPr>
          <w:sz w:val="20"/>
          <w:szCs w:val="20"/>
          <w:color w:val="auto"/>
        </w:rPr>
      </w:pPr>
      <w:r>
        <w:rPr>
          <w:rFonts w:ascii="Arial" w:cs="Arial" w:eastAsia="Arial" w:hAnsi="Arial"/>
          <w:sz w:val="15"/>
          <w:szCs w:val="15"/>
          <w:color w:val="auto"/>
        </w:rPr>
        <w:t>If you hold shares in multiple accounts, you may receive multiple Proxy Materials packages. If you hold shares in multiple accounts, please be sure to vote all of your Price Group shares in each of your accounts in accordance with the voting instructions you receive for each such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87630</wp:posOffset>
            </wp:positionV>
            <wp:extent cx="587375" cy="28575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87375" cy="285750"/>
                    </a:xfrm>
                    <a:prstGeom prst="rect">
                      <a:avLst/>
                    </a:prstGeom>
                    <a:noFill/>
                  </pic:spPr>
                </pic:pic>
              </a:graphicData>
            </a:graphic>
          </wp:anchor>
        </w:drawing>
      </w:r>
    </w:p>
    <w:p>
      <w:pPr>
        <w:spacing w:after="0" w:line="20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b w:val="1"/>
          <w:bCs w:val="1"/>
          <w:color w:val="00254F"/>
        </w:rPr>
        <w:t>By Internet or Telephone</w:t>
      </w:r>
    </w:p>
    <w:p>
      <w:pPr>
        <w:spacing w:after="0" w:line="299" w:lineRule="exact"/>
        <w:rPr>
          <w:sz w:val="20"/>
          <w:szCs w:val="20"/>
          <w:color w:val="auto"/>
        </w:rPr>
      </w:pPr>
    </w:p>
    <w:p>
      <w:pPr>
        <w:ind w:left="300" w:hanging="300"/>
        <w:spacing w:after="0"/>
        <w:tabs>
          <w:tab w:leader="none" w:pos="300" w:val="left"/>
        </w:tabs>
        <w:numPr>
          <w:ilvl w:val="0"/>
          <w:numId w:val="147"/>
        </w:numPr>
        <w:rPr>
          <w:rFonts w:ascii="Arial" w:cs="Arial" w:eastAsia="Arial" w:hAnsi="Arial"/>
          <w:sz w:val="15"/>
          <w:szCs w:val="15"/>
          <w:color w:val="28C0DA"/>
        </w:rPr>
      </w:pPr>
      <w:r>
        <w:rPr>
          <w:rFonts w:ascii="Arial" w:cs="Arial" w:eastAsia="Arial" w:hAnsi="Arial"/>
          <w:sz w:val="15"/>
          <w:szCs w:val="15"/>
          <w:color w:val="auto"/>
        </w:rPr>
        <w:t>You can vote your shares via the internet at proxyvote.com.</w:t>
      </w:r>
    </w:p>
    <w:p>
      <w:pPr>
        <w:spacing w:after="0" w:line="177" w:lineRule="exact"/>
        <w:rPr>
          <w:rFonts w:ascii="Arial" w:cs="Arial" w:eastAsia="Arial" w:hAnsi="Arial"/>
          <w:sz w:val="15"/>
          <w:szCs w:val="15"/>
          <w:color w:val="28C0DA"/>
        </w:rPr>
      </w:pPr>
    </w:p>
    <w:p>
      <w:pPr>
        <w:ind w:left="300" w:hanging="300"/>
        <w:spacing w:after="0"/>
        <w:tabs>
          <w:tab w:leader="none" w:pos="300" w:val="left"/>
        </w:tabs>
        <w:numPr>
          <w:ilvl w:val="0"/>
          <w:numId w:val="147"/>
        </w:numPr>
        <w:rPr>
          <w:rFonts w:ascii="Arial" w:cs="Arial" w:eastAsia="Arial" w:hAnsi="Arial"/>
          <w:sz w:val="15"/>
          <w:szCs w:val="15"/>
          <w:color w:val="28C0DA"/>
        </w:rPr>
      </w:pPr>
      <w:r>
        <w:rPr>
          <w:rFonts w:ascii="Arial" w:cs="Arial" w:eastAsia="Arial" w:hAnsi="Arial"/>
          <w:sz w:val="15"/>
          <w:szCs w:val="15"/>
          <w:color w:val="auto"/>
        </w:rPr>
        <w:t>You can vote your shares by telephone by calling, toll-free, 1-800-690-6903.</w:t>
      </w:r>
    </w:p>
    <w:p>
      <w:pPr>
        <w:spacing w:after="0" w:line="177" w:lineRule="exact"/>
        <w:rPr>
          <w:sz w:val="20"/>
          <w:szCs w:val="20"/>
          <w:color w:val="auto"/>
        </w:rPr>
      </w:pPr>
    </w:p>
    <w:p>
      <w:pPr>
        <w:ind w:right="360"/>
        <w:spacing w:after="0" w:line="278" w:lineRule="auto"/>
        <w:rPr>
          <w:sz w:val="20"/>
          <w:szCs w:val="20"/>
          <w:color w:val="auto"/>
        </w:rPr>
      </w:pPr>
      <w:r>
        <w:rPr>
          <w:rFonts w:ascii="Arial" w:cs="Arial" w:eastAsia="Arial" w:hAnsi="Arial"/>
          <w:sz w:val="15"/>
          <w:szCs w:val="15"/>
          <w:color w:val="auto"/>
        </w:rPr>
        <w:t>Internet and telephone voting facilities for registered stockholders will be available 24 hours a day until 11:59 p.m. ET on May 6, 2024. If you vote your shares on the Internet or by telephone, you do not have to return your proxy card.</w:t>
      </w:r>
    </w:p>
    <w:p>
      <w:pPr>
        <w:spacing w:after="0" w:line="125" w:lineRule="exact"/>
        <w:rPr>
          <w:sz w:val="20"/>
          <w:szCs w:val="20"/>
          <w:color w:val="auto"/>
        </w:rPr>
      </w:pPr>
    </w:p>
    <w:p>
      <w:pPr>
        <w:ind w:right="320"/>
        <w:spacing w:after="0" w:line="278" w:lineRule="auto"/>
        <w:rPr>
          <w:sz w:val="20"/>
          <w:szCs w:val="20"/>
          <w:color w:val="auto"/>
        </w:rPr>
      </w:pPr>
      <w:r>
        <w:rPr>
          <w:rFonts w:ascii="Arial" w:cs="Arial" w:eastAsia="Arial" w:hAnsi="Arial"/>
          <w:sz w:val="15"/>
          <w:szCs w:val="15"/>
          <w:color w:val="auto"/>
        </w:rPr>
        <w:t>Please have your proxy card (or the Notice or the email message you receive with instructions on how to vote) in hand when you go online or use the phone. You will have an opportunity to confirm your voting selections before your vote is recorded.</w:t>
      </w:r>
    </w:p>
    <w:p>
      <w:pPr>
        <w:spacing w:after="0" w:line="125" w:lineRule="exact"/>
        <w:rPr>
          <w:sz w:val="20"/>
          <w:szCs w:val="20"/>
          <w:color w:val="auto"/>
        </w:rPr>
      </w:pPr>
    </w:p>
    <w:p>
      <w:pPr>
        <w:ind w:right="200"/>
        <w:spacing w:after="0" w:line="278" w:lineRule="auto"/>
        <w:rPr>
          <w:sz w:val="20"/>
          <w:szCs w:val="20"/>
          <w:color w:val="auto"/>
        </w:rPr>
      </w:pPr>
      <w:r>
        <w:rPr>
          <w:rFonts w:ascii="Arial" w:cs="Arial" w:eastAsia="Arial" w:hAnsi="Arial"/>
          <w:sz w:val="15"/>
          <w:szCs w:val="15"/>
          <w:color w:val="auto"/>
        </w:rPr>
        <w:t>The availability of internet and telephone voting for beneficial owners will depend on the voting processes of your broker, bank, or other nominee. You should follow the voting instructions in the materials that you received from your nominee.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020" w:type="dxa"/>
            <w:vAlign w:val="bottom"/>
          </w:tcPr>
          <w:p>
            <w:pPr>
              <w:ind w:left="9720"/>
              <w:spacing w:after="0"/>
              <w:rPr>
                <w:sz w:val="20"/>
                <w:szCs w:val="20"/>
                <w:color w:val="auto"/>
              </w:rPr>
            </w:pPr>
            <w:r>
              <w:rPr>
                <w:rFonts w:ascii="Times New Roman" w:cs="Times New Roman" w:eastAsia="Times New Roman" w:hAnsi="Times New Roman"/>
                <w:sz w:val="13"/>
                <w:szCs w:val="13"/>
                <w:b w:val="1"/>
                <w:bCs w:val="1"/>
                <w:color w:val="auto"/>
              </w:rPr>
              <w:t xml:space="preserve">2024 </w:t>
            </w:r>
            <w:r>
              <w:rPr>
                <w:rFonts w:ascii="Times New Roman" w:cs="Times New Roman" w:eastAsia="Times New Roman" w:hAnsi="Times New Roman"/>
                <w:sz w:val="13"/>
                <w:szCs w:val="13"/>
                <w:color w:val="auto"/>
              </w:rPr>
              <w:t>Proxy Statement</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244F"/>
              </w:rPr>
              <w:t>83</w:t>
            </w:r>
          </w:p>
        </w:tc>
      </w:tr>
      <w:tr>
        <w:trPr>
          <w:trHeight w:val="385"/>
        </w:trPr>
        <w:tc>
          <w:tcPr>
            <w:tcW w:w="1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3" w:right="339" w:bottom="1440" w:gutter="0" w:footer="0" w:header="0"/>
        </w:sectPr>
      </w:pPr>
    </w:p>
    <w:bookmarkStart w:id="88" w:name="page89"/>
    <w:bookmarkEnd w:id="88"/>
    <w:p>
      <w:pPr>
        <w:spacing w:after="0"/>
        <w:rPr>
          <w:sz w:val="20"/>
          <w:szCs w:val="20"/>
          <w:color w:val="auto"/>
        </w:rPr>
      </w:pPr>
      <w:r>
        <w:rPr>
          <w:rFonts w:ascii="Arial" w:cs="Arial" w:eastAsia="Arial" w:hAnsi="Arial"/>
          <w:sz w:val="17"/>
          <w:szCs w:val="17"/>
          <w:u w:val="single" w:color="auto"/>
          <w:color w:val="0000EE"/>
        </w:rPr>
        <w:t>Table of Contents</w:t>
      </w:r>
    </w:p>
    <w:p>
      <w:pPr>
        <w:spacing w:after="0" w:line="375" w:lineRule="exact"/>
        <w:rPr>
          <w:sz w:val="20"/>
          <w:szCs w:val="20"/>
          <w:color w:val="auto"/>
        </w:rPr>
      </w:pPr>
    </w:p>
    <w:p>
      <w:pPr>
        <w:spacing w:after="0"/>
        <w:rPr>
          <w:sz w:val="20"/>
          <w:szCs w:val="20"/>
          <w:color w:val="auto"/>
        </w:rPr>
      </w:pPr>
      <w:r>
        <w:rPr>
          <w:sz w:val="1"/>
          <w:szCs w:val="1"/>
          <w:color w:val="auto"/>
        </w:rPr>
        <w:drawing>
          <wp:inline distT="0" distB="0" distL="0" distR="0">
            <wp:extent cx="333375" cy="213995"/>
            <wp:effectExtent l="0" t="0" r="0" b="0"/>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33375" cy="213995"/>
                    </a:xfrm>
                    <a:prstGeom prst="rect">
                      <a:avLst/>
                    </a:prstGeom>
                    <a:noFill/>
                    <a:ln>
                      <a:noFill/>
                    </a:ln>
                  </pic:spPr>
                </pic:pic>
              </a:graphicData>
            </a:graphic>
          </wp:inline>
        </w:drawing>
      </w:r>
      <w:r>
        <w:rPr>
          <w:rFonts w:ascii="Times New Roman" w:cs="Times New Roman" w:eastAsia="Times New Roman" w:hAnsi="Times New Roman"/>
          <w:sz w:val="20"/>
          <w:szCs w:val="20"/>
          <w:b w:val="1"/>
          <w:bCs w:val="1"/>
          <w:color w:val="00254F"/>
        </w:rPr>
        <w:t xml:space="preserve"> By Mail</w:t>
      </w:r>
    </w:p>
    <w:p>
      <w:pPr>
        <w:spacing w:after="0" w:line="153" w:lineRule="exact"/>
        <w:rPr>
          <w:sz w:val="20"/>
          <w:szCs w:val="20"/>
          <w:color w:val="auto"/>
        </w:rPr>
      </w:pPr>
    </w:p>
    <w:p>
      <w:pPr>
        <w:ind w:right="120"/>
        <w:spacing w:after="0" w:line="261" w:lineRule="auto"/>
        <w:rPr>
          <w:sz w:val="20"/>
          <w:szCs w:val="20"/>
          <w:color w:val="auto"/>
        </w:rPr>
      </w:pPr>
      <w:r>
        <w:rPr>
          <w:rFonts w:ascii="Arial" w:cs="Arial" w:eastAsia="Arial" w:hAnsi="Arial"/>
          <w:sz w:val="15"/>
          <w:szCs w:val="15"/>
          <w:color w:val="auto"/>
        </w:rPr>
        <w:t>If you would like to vote by mail, please request a paper proxy card in accordance with the instructions contained in the Notice and then complete, sign, and date the proxy card and return it in the postage-paid envelope provided. If voting instructions are provided, shares represented by the proxy card will be voted in accordance with the voting instructions.</w:t>
      </w:r>
    </w:p>
    <w:p>
      <w:pPr>
        <w:spacing w:after="0" w:line="137" w:lineRule="exact"/>
        <w:rPr>
          <w:sz w:val="20"/>
          <w:szCs w:val="20"/>
          <w:color w:val="auto"/>
        </w:rPr>
      </w:pPr>
    </w:p>
    <w:p>
      <w:pPr>
        <w:ind w:right="380"/>
        <w:spacing w:after="0" w:line="278" w:lineRule="auto"/>
        <w:rPr>
          <w:sz w:val="20"/>
          <w:szCs w:val="20"/>
          <w:color w:val="auto"/>
        </w:rPr>
      </w:pPr>
      <w:r>
        <w:rPr>
          <w:rFonts w:ascii="Arial" w:cs="Arial" w:eastAsia="Arial" w:hAnsi="Arial"/>
          <w:sz w:val="15"/>
          <w:szCs w:val="15"/>
          <w:color w:val="auto"/>
        </w:rPr>
        <w:t>For shares held in street name, please use the voting instruction card provided by your broker, bank, or other nominee and mark, sign, date, and mail it back to your broker, bank, or other nominee in accordance with their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87630</wp:posOffset>
            </wp:positionV>
            <wp:extent cx="261620" cy="2540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61620" cy="254000"/>
                    </a:xfrm>
                    <a:prstGeom prst="rect">
                      <a:avLst/>
                    </a:prstGeom>
                    <a:noFill/>
                  </pic:spPr>
                </pic:pic>
              </a:graphicData>
            </a:graphic>
          </wp:anchor>
        </w:drawing>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b w:val="1"/>
          <w:bCs w:val="1"/>
          <w:color w:val="00254F"/>
        </w:rPr>
        <w:t>Online During the Annual Meeting</w:t>
      </w:r>
    </w:p>
    <w:p>
      <w:pPr>
        <w:spacing w:after="0" w:line="274" w:lineRule="exact"/>
        <w:rPr>
          <w:sz w:val="20"/>
          <w:szCs w:val="20"/>
          <w:color w:val="auto"/>
        </w:rPr>
      </w:pPr>
    </w:p>
    <w:p>
      <w:pPr>
        <w:ind w:right="220"/>
        <w:spacing w:after="0" w:line="252" w:lineRule="auto"/>
        <w:rPr>
          <w:sz w:val="20"/>
          <w:szCs w:val="20"/>
          <w:color w:val="auto"/>
        </w:rPr>
      </w:pPr>
      <w:r>
        <w:rPr>
          <w:rFonts w:ascii="Arial" w:cs="Arial" w:eastAsia="Arial" w:hAnsi="Arial"/>
          <w:sz w:val="15"/>
          <w:szCs w:val="15"/>
          <w:color w:val="auto"/>
        </w:rPr>
        <w:t>All registered stockholders can vote online during the Annual Meeting. The Annual Meeting will be held through a live webcast. Voting your proxy electronically via the internet, by telephone, or by mail does not limit your right to vote at the Annual Meeting. To be admitted to the Annual Meeting at virtualshareholdermeeting.com/TROW2024, you must enter the 16-digit control number found next to the label "Control Number" on your Notice of Internet Availability, proxy card, or voting instruction form. If you are a beneficial stockholder, you may contact the bank, broker, or other institution where you hold your account if you have questions about obtaining your Control Number.</w:t>
      </w:r>
    </w:p>
    <w:p>
      <w:pPr>
        <w:spacing w:after="0" w:line="144" w:lineRule="exact"/>
        <w:rPr>
          <w:sz w:val="20"/>
          <w:szCs w:val="20"/>
          <w:color w:val="auto"/>
        </w:rPr>
      </w:pPr>
    </w:p>
    <w:p>
      <w:pPr>
        <w:ind w:right="400"/>
        <w:spacing w:after="0" w:line="278" w:lineRule="auto"/>
        <w:rPr>
          <w:sz w:val="20"/>
          <w:szCs w:val="20"/>
          <w:color w:val="auto"/>
        </w:rPr>
      </w:pPr>
      <w:r>
        <w:rPr>
          <w:rFonts w:ascii="Arial" w:cs="Arial" w:eastAsia="Arial" w:hAnsi="Arial"/>
          <w:sz w:val="15"/>
          <w:szCs w:val="15"/>
          <w:color w:val="auto"/>
        </w:rPr>
        <w:t>Whether or not you participate in the Annual Meeting, it is important that your shares be part of the voting process. You may log on to proxyvote.com and enter your Control Number.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What is the difference between holding shares as a registered stockholder and as a beneficial owner?</w:t>
      </w:r>
    </w:p>
    <w:p>
      <w:pPr>
        <w:spacing w:after="0" w:line="199" w:lineRule="exact"/>
        <w:rPr>
          <w:sz w:val="20"/>
          <w:szCs w:val="20"/>
          <w:color w:val="auto"/>
        </w:rPr>
      </w:pPr>
    </w:p>
    <w:p>
      <w:pPr>
        <w:ind w:right="340"/>
        <w:spacing w:after="0" w:line="278" w:lineRule="auto"/>
        <w:rPr>
          <w:sz w:val="20"/>
          <w:szCs w:val="20"/>
          <w:color w:val="auto"/>
        </w:rPr>
      </w:pPr>
      <w:r>
        <w:rPr>
          <w:rFonts w:ascii="Arial" w:cs="Arial" w:eastAsia="Arial" w:hAnsi="Arial"/>
          <w:sz w:val="15"/>
          <w:szCs w:val="15"/>
          <w:color w:val="auto"/>
        </w:rPr>
        <w:t>If your shares are registered directly in your name with our transfer agent, you are considered the "registered stockholder" (also known as a "record holder") of those shares. We mail the Notice or Proxy Materials directly to you. Equiniti Trust Company serves as the transfer agent and registrar for Price Group.</w:t>
      </w:r>
    </w:p>
    <w:p>
      <w:pPr>
        <w:spacing w:after="0" w:line="125" w:lineRule="exact"/>
        <w:rPr>
          <w:sz w:val="20"/>
          <w:szCs w:val="20"/>
          <w:color w:val="auto"/>
        </w:rPr>
      </w:pPr>
    </w:p>
    <w:p>
      <w:pPr>
        <w:spacing w:after="0" w:line="252" w:lineRule="auto"/>
        <w:rPr>
          <w:sz w:val="20"/>
          <w:szCs w:val="20"/>
          <w:color w:val="auto"/>
        </w:rPr>
      </w:pPr>
      <w:r>
        <w:rPr>
          <w:rFonts w:ascii="Arial" w:cs="Arial" w:eastAsia="Arial" w:hAnsi="Arial"/>
          <w:sz w:val="15"/>
          <w:szCs w:val="15"/>
          <w:color w:val="auto"/>
        </w:rPr>
        <w:t>If your shares are held in a stock brokerage account or by a bank or other holder of record, you are considered the beneficial owner of shares held in "street name," and these Proxy Materials or the Notice are being forwarded to you by your broker, bank, or other nominee who is considered the stockholder of record with respect to those shares. As the beneficial owner, you have the right to direct your broker, bank, or other nominee on how to vote your shares, and you also are invited to attend the Annual Meeting virtually. Your broker, bank, or other nominee also is obligated to provide you with a voting instruction card for you to use to direct them as to how to vote your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What must I do to participate in the Annual Meeting?</w:t>
      </w:r>
    </w:p>
    <w:p>
      <w:pPr>
        <w:spacing w:after="0" w:line="199" w:lineRule="exact"/>
        <w:rPr>
          <w:sz w:val="20"/>
          <w:szCs w:val="20"/>
          <w:color w:val="auto"/>
        </w:rPr>
      </w:pPr>
    </w:p>
    <w:p>
      <w:pPr>
        <w:jc w:val="both"/>
        <w:ind w:right="60"/>
        <w:spacing w:after="0" w:line="255" w:lineRule="auto"/>
        <w:rPr>
          <w:sz w:val="20"/>
          <w:szCs w:val="20"/>
          <w:color w:val="auto"/>
        </w:rPr>
      </w:pPr>
      <w:r>
        <w:rPr>
          <w:rFonts w:ascii="Arial" w:cs="Arial" w:eastAsia="Arial" w:hAnsi="Arial"/>
          <w:sz w:val="15"/>
          <w:szCs w:val="15"/>
          <w:color w:val="auto"/>
        </w:rPr>
        <w:t>You are entitled to participate in the Annual Meeting if you were a stockholder as of the close of business on March 1, 2024, the record date, or hold a valid proxy for the meeting. To be admitted to the Annual Meeting at virtualshareholdermeeting.com/TROW2024, you must enter the 16-digit control number found next to the label "Control Number" on your Notice of Internet Availability, proxy card, or voting instruction form or in the email sending you the Proxy Statement. If you are a beneficial stockholder, you may contact the bank, broker, or other institution where you hold your account if you have questions about obtaining your Control Number.</w:t>
      </w:r>
    </w:p>
    <w:p>
      <w:pPr>
        <w:spacing w:after="0" w:line="142" w:lineRule="exact"/>
        <w:rPr>
          <w:sz w:val="20"/>
          <w:szCs w:val="20"/>
          <w:color w:val="auto"/>
        </w:rPr>
      </w:pPr>
    </w:p>
    <w:p>
      <w:pPr>
        <w:ind w:right="80"/>
        <w:spacing w:after="0" w:line="261" w:lineRule="auto"/>
        <w:rPr>
          <w:sz w:val="20"/>
          <w:szCs w:val="20"/>
          <w:color w:val="auto"/>
        </w:rPr>
      </w:pPr>
      <w:r>
        <w:rPr>
          <w:rFonts w:ascii="Arial" w:cs="Arial" w:eastAsia="Arial" w:hAnsi="Arial"/>
          <w:sz w:val="15"/>
          <w:szCs w:val="15"/>
          <w:color w:val="auto"/>
        </w:rPr>
        <w:t>The question and answer session will include questions submitted in advance of, and questions submitted live during, the Annual Meeting. You may submit a question in advance of the meeting at proxyvote.com after logging in with your Control Number. Questions may be submitted during the Annual Meeting through virtualshareholdermeeting.com/TROW2024.</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color w:val="auto"/>
        </w:rPr>
        <w:t>We encourage you to access the Annual Meeting before it begins. Online check-in will start approximately 15 minutes before the meeting on May 7, 2024.</w:t>
      </w:r>
    </w:p>
    <w:p>
      <w:pPr>
        <w:spacing w:after="0" w:line="16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3"/>
          <w:szCs w:val="13"/>
          <w:b w:val="1"/>
          <w:bCs w:val="1"/>
          <w:color w:val="00244F"/>
        </w:rPr>
        <w:t>84</w:t>
        <w:tab/>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42480" cy="762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89" w:name="page90"/>
    <w:bookmarkEnd w:id="89"/>
    <w:p>
      <w:pPr>
        <w:spacing w:after="0"/>
        <w:rPr>
          <w:sz w:val="20"/>
          <w:szCs w:val="20"/>
          <w:color w:val="auto"/>
        </w:rPr>
      </w:pPr>
      <w:r>
        <w:rPr>
          <w:rFonts w:ascii="Arial" w:cs="Arial" w:eastAsia="Arial" w:hAnsi="Arial"/>
          <w:sz w:val="17"/>
          <w:szCs w:val="17"/>
          <w:u w:val="single" w:color="auto"/>
          <w:color w:val="0000EE"/>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Can I change my proxy vote?</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Yes. If you are a registered stockholder, you can change your proxy vote or revoke your proxy no later than the day before the Annual Meeting by:</w:t>
      </w:r>
    </w:p>
    <w:p>
      <w:pPr>
        <w:spacing w:after="0" w:line="177" w:lineRule="exact"/>
        <w:rPr>
          <w:sz w:val="20"/>
          <w:szCs w:val="20"/>
          <w:color w:val="auto"/>
        </w:rPr>
      </w:pPr>
    </w:p>
    <w:p>
      <w:pPr>
        <w:ind w:left="300" w:hanging="300"/>
        <w:spacing w:after="0"/>
        <w:tabs>
          <w:tab w:leader="none" w:pos="300" w:val="left"/>
        </w:tabs>
        <w:numPr>
          <w:ilvl w:val="0"/>
          <w:numId w:val="148"/>
        </w:numPr>
        <w:rPr>
          <w:rFonts w:ascii="Arial" w:cs="Arial" w:eastAsia="Arial" w:hAnsi="Arial"/>
          <w:sz w:val="15"/>
          <w:szCs w:val="15"/>
          <w:color w:val="28C0DA"/>
        </w:rPr>
      </w:pPr>
      <w:r>
        <w:rPr>
          <w:rFonts w:ascii="Arial" w:cs="Arial" w:eastAsia="Arial" w:hAnsi="Arial"/>
          <w:sz w:val="15"/>
          <w:szCs w:val="15"/>
          <w:color w:val="auto"/>
        </w:rPr>
        <w:t>Authorizing a new vote electronically through the internet or by telephone.</w:t>
      </w:r>
    </w:p>
    <w:p>
      <w:pPr>
        <w:spacing w:after="0" w:line="177" w:lineRule="exact"/>
        <w:rPr>
          <w:rFonts w:ascii="Arial" w:cs="Arial" w:eastAsia="Arial" w:hAnsi="Arial"/>
          <w:sz w:val="15"/>
          <w:szCs w:val="15"/>
          <w:color w:val="28C0DA"/>
        </w:rPr>
      </w:pPr>
    </w:p>
    <w:p>
      <w:pPr>
        <w:ind w:left="300" w:hanging="300"/>
        <w:spacing w:after="0"/>
        <w:tabs>
          <w:tab w:leader="none" w:pos="300" w:val="left"/>
        </w:tabs>
        <w:numPr>
          <w:ilvl w:val="0"/>
          <w:numId w:val="148"/>
        </w:numPr>
        <w:rPr>
          <w:rFonts w:ascii="Arial" w:cs="Arial" w:eastAsia="Arial" w:hAnsi="Arial"/>
          <w:sz w:val="15"/>
          <w:szCs w:val="15"/>
          <w:color w:val="28C0DA"/>
        </w:rPr>
      </w:pPr>
      <w:r>
        <w:rPr>
          <w:rFonts w:ascii="Arial" w:cs="Arial" w:eastAsia="Arial" w:hAnsi="Arial"/>
          <w:sz w:val="15"/>
          <w:szCs w:val="15"/>
          <w:color w:val="auto"/>
        </w:rPr>
        <w:t>Returning a signed proxy card with a later date.</w:t>
      </w:r>
    </w:p>
    <w:p>
      <w:pPr>
        <w:spacing w:after="0" w:line="177" w:lineRule="exact"/>
        <w:rPr>
          <w:rFonts w:ascii="Arial" w:cs="Arial" w:eastAsia="Arial" w:hAnsi="Arial"/>
          <w:sz w:val="15"/>
          <w:szCs w:val="15"/>
          <w:color w:val="28C0DA"/>
        </w:rPr>
      </w:pPr>
    </w:p>
    <w:p>
      <w:pPr>
        <w:ind w:left="300" w:right="60" w:hanging="300"/>
        <w:spacing w:after="0" w:line="278" w:lineRule="auto"/>
        <w:tabs>
          <w:tab w:leader="none" w:pos="300" w:val="left"/>
        </w:tabs>
        <w:numPr>
          <w:ilvl w:val="0"/>
          <w:numId w:val="148"/>
        </w:numPr>
        <w:rPr>
          <w:rFonts w:ascii="Arial" w:cs="Arial" w:eastAsia="Arial" w:hAnsi="Arial"/>
          <w:sz w:val="15"/>
          <w:szCs w:val="15"/>
          <w:color w:val="28C0DA"/>
        </w:rPr>
      </w:pPr>
      <w:r>
        <w:rPr>
          <w:rFonts w:ascii="Arial" w:cs="Arial" w:eastAsia="Arial" w:hAnsi="Arial"/>
          <w:sz w:val="15"/>
          <w:szCs w:val="15"/>
          <w:color w:val="auto"/>
        </w:rPr>
        <w:t>Delivering a written revocation of your proxy to the general counsel and corporate secretary at T. Rowe Price Group, Inc., 100 East Pratt Street, Mail Code BA-0585, Baltimore, MD 21202.</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color w:val="auto"/>
        </w:rPr>
        <w:t>In addition, a registered stockholder may change their vote by voting online during the Annual Meeting through the virtual meeting website.</w:t>
      </w:r>
    </w:p>
    <w:p>
      <w:pPr>
        <w:spacing w:after="0" w:line="177" w:lineRule="exact"/>
        <w:rPr>
          <w:sz w:val="20"/>
          <w:szCs w:val="20"/>
          <w:color w:val="auto"/>
        </w:rPr>
      </w:pPr>
    </w:p>
    <w:p>
      <w:pPr>
        <w:ind w:right="300"/>
        <w:spacing w:after="0" w:line="278" w:lineRule="auto"/>
        <w:rPr>
          <w:sz w:val="20"/>
          <w:szCs w:val="20"/>
          <w:color w:val="auto"/>
        </w:rPr>
      </w:pPr>
      <w:r>
        <w:rPr>
          <w:rFonts w:ascii="Arial" w:cs="Arial" w:eastAsia="Arial" w:hAnsi="Arial"/>
          <w:sz w:val="15"/>
          <w:szCs w:val="15"/>
          <w:color w:val="auto"/>
        </w:rPr>
        <w:t>If you are a beneficial owner of shares, you can submit new voting instructions by contacting your broker, bank, or other nominee. You also can vote online during the Annual Meeting by following the procedures described in the answer to the question "What is the procedure for voting?" on page 83.</w:t>
      </w:r>
    </w:p>
    <w:p>
      <w:pPr>
        <w:spacing w:after="0" w:line="125" w:lineRule="exact"/>
        <w:rPr>
          <w:sz w:val="20"/>
          <w:szCs w:val="20"/>
          <w:color w:val="auto"/>
        </w:rPr>
      </w:pPr>
    </w:p>
    <w:p>
      <w:pPr>
        <w:ind w:right="180"/>
        <w:spacing w:after="0" w:line="278" w:lineRule="auto"/>
        <w:rPr>
          <w:sz w:val="20"/>
          <w:szCs w:val="20"/>
          <w:color w:val="auto"/>
        </w:rPr>
      </w:pPr>
      <w:r>
        <w:rPr>
          <w:rFonts w:ascii="Arial" w:cs="Arial" w:eastAsia="Arial" w:hAnsi="Arial"/>
          <w:sz w:val="15"/>
          <w:szCs w:val="15"/>
          <w:color w:val="auto"/>
        </w:rPr>
        <w:t>Your virtual attendance at the Annual Meeting does not revoke your proxy. Unless you vote during the Annual Meeting, your last valid proxy prior to the Annual Meeting will be used to cast your vote.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What if I return my proxy card but do not provide voting instructions?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Proxies that are signed and returned but do not contain voting instructions will be voted:</w:t>
      </w:r>
    </w:p>
    <w:p>
      <w:pPr>
        <w:spacing w:after="0" w:line="177" w:lineRule="exact"/>
        <w:rPr>
          <w:sz w:val="20"/>
          <w:szCs w:val="20"/>
          <w:color w:val="auto"/>
        </w:rPr>
      </w:pPr>
    </w:p>
    <w:p>
      <w:pPr>
        <w:ind w:left="300" w:hanging="300"/>
        <w:spacing w:after="0"/>
        <w:tabs>
          <w:tab w:leader="none" w:pos="300" w:val="left"/>
        </w:tabs>
        <w:numPr>
          <w:ilvl w:val="0"/>
          <w:numId w:val="149"/>
        </w:numPr>
        <w:rPr>
          <w:rFonts w:ascii="Arial" w:cs="Arial" w:eastAsia="Arial" w:hAnsi="Arial"/>
          <w:sz w:val="15"/>
          <w:szCs w:val="15"/>
          <w:color w:val="77D9F1"/>
        </w:rPr>
      </w:pPr>
      <w:r>
        <w:rPr>
          <w:rFonts w:ascii="Arial" w:cs="Arial" w:eastAsia="Arial" w:hAnsi="Arial"/>
          <w:sz w:val="15"/>
          <w:szCs w:val="15"/>
          <w:color w:val="auto"/>
        </w:rPr>
        <w:t>FOR the election of all director nominees listed in Proposal 1.</w:t>
      </w:r>
    </w:p>
    <w:p>
      <w:pPr>
        <w:spacing w:after="0" w:line="177" w:lineRule="exact"/>
        <w:rPr>
          <w:rFonts w:ascii="Arial" w:cs="Arial" w:eastAsia="Arial" w:hAnsi="Arial"/>
          <w:sz w:val="15"/>
          <w:szCs w:val="15"/>
          <w:color w:val="77D9F1"/>
        </w:rPr>
      </w:pPr>
    </w:p>
    <w:p>
      <w:pPr>
        <w:ind w:left="300" w:hanging="300"/>
        <w:spacing w:after="0"/>
        <w:tabs>
          <w:tab w:leader="none" w:pos="300" w:val="left"/>
        </w:tabs>
        <w:numPr>
          <w:ilvl w:val="0"/>
          <w:numId w:val="149"/>
        </w:numPr>
        <w:rPr>
          <w:rFonts w:ascii="Arial" w:cs="Arial" w:eastAsia="Arial" w:hAnsi="Arial"/>
          <w:sz w:val="15"/>
          <w:szCs w:val="15"/>
          <w:color w:val="28C0DA"/>
        </w:rPr>
      </w:pPr>
      <w:r>
        <w:rPr>
          <w:rFonts w:ascii="Arial" w:cs="Arial" w:eastAsia="Arial" w:hAnsi="Arial"/>
          <w:sz w:val="15"/>
          <w:szCs w:val="15"/>
          <w:color w:val="auto"/>
        </w:rPr>
        <w:t>FOR the advisory vote on the compensation paid by the Company to its named executive officers (Proposal 2).</w:t>
      </w:r>
    </w:p>
    <w:p>
      <w:pPr>
        <w:spacing w:after="0" w:line="177" w:lineRule="exact"/>
        <w:rPr>
          <w:rFonts w:ascii="Arial" w:cs="Arial" w:eastAsia="Arial" w:hAnsi="Arial"/>
          <w:sz w:val="15"/>
          <w:szCs w:val="15"/>
          <w:color w:val="28C0DA"/>
        </w:rPr>
      </w:pPr>
    </w:p>
    <w:p>
      <w:pPr>
        <w:ind w:left="300" w:hanging="300"/>
        <w:spacing w:after="0"/>
        <w:tabs>
          <w:tab w:leader="none" w:pos="300" w:val="left"/>
        </w:tabs>
        <w:numPr>
          <w:ilvl w:val="0"/>
          <w:numId w:val="149"/>
        </w:numPr>
        <w:rPr>
          <w:rFonts w:ascii="Arial" w:cs="Arial" w:eastAsia="Arial" w:hAnsi="Arial"/>
          <w:sz w:val="15"/>
          <w:szCs w:val="15"/>
          <w:color w:val="28C0DA"/>
        </w:rPr>
      </w:pPr>
      <w:r>
        <w:rPr>
          <w:rFonts w:ascii="Arial" w:cs="Arial" w:eastAsia="Arial" w:hAnsi="Arial"/>
          <w:sz w:val="15"/>
          <w:szCs w:val="15"/>
          <w:color w:val="auto"/>
        </w:rPr>
        <w:t>FOR the ratification of the appointment of KPMG LLP as our independent registered public accounting firm for 2024 (Proposal 3).</w:t>
      </w:r>
    </w:p>
    <w:p>
      <w:pPr>
        <w:spacing w:after="0" w:line="177" w:lineRule="exact"/>
        <w:rPr>
          <w:rFonts w:ascii="Arial" w:cs="Arial" w:eastAsia="Arial" w:hAnsi="Arial"/>
          <w:sz w:val="15"/>
          <w:szCs w:val="15"/>
          <w:color w:val="28C0DA"/>
        </w:rPr>
      </w:pPr>
    </w:p>
    <w:p>
      <w:pPr>
        <w:ind w:left="300" w:hanging="300"/>
        <w:spacing w:after="0"/>
        <w:tabs>
          <w:tab w:leader="none" w:pos="300" w:val="left"/>
        </w:tabs>
        <w:numPr>
          <w:ilvl w:val="0"/>
          <w:numId w:val="149"/>
        </w:numPr>
        <w:rPr>
          <w:rFonts w:ascii="Arial" w:cs="Arial" w:eastAsia="Arial" w:hAnsi="Arial"/>
          <w:sz w:val="15"/>
          <w:szCs w:val="15"/>
          <w:color w:val="28C0DA"/>
        </w:rPr>
      </w:pPr>
      <w:r>
        <w:rPr>
          <w:rFonts w:ascii="Arial" w:cs="Arial" w:eastAsia="Arial" w:hAnsi="Arial"/>
          <w:sz w:val="15"/>
          <w:szCs w:val="15"/>
          <w:color w:val="auto"/>
        </w:rPr>
        <w:t>In the best judgment of the named proxy holders if any other matters are properly presented at the Annual Meeting.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How many shares must be present to hold the Annual Meeting?</w:t>
      </w:r>
    </w:p>
    <w:p>
      <w:pPr>
        <w:spacing w:after="0" w:line="199" w:lineRule="exact"/>
        <w:rPr>
          <w:sz w:val="20"/>
          <w:szCs w:val="20"/>
          <w:color w:val="auto"/>
        </w:rPr>
      </w:pPr>
    </w:p>
    <w:p>
      <w:pPr>
        <w:ind w:right="60"/>
        <w:spacing w:after="0" w:line="255" w:lineRule="auto"/>
        <w:rPr>
          <w:sz w:val="20"/>
          <w:szCs w:val="20"/>
          <w:color w:val="auto"/>
        </w:rPr>
      </w:pPr>
      <w:r>
        <w:rPr>
          <w:rFonts w:ascii="Arial" w:cs="Arial" w:eastAsia="Arial" w:hAnsi="Arial"/>
          <w:sz w:val="15"/>
          <w:szCs w:val="15"/>
          <w:color w:val="auto"/>
        </w:rPr>
        <w:t>In order for us to lawfully conduct business at our Annual Meeting, the presence in person or by proxy of stockholders entitled to cast a majority of all the votes entitled to be cast at the Annual Meeting is required. This is referred to as a quorum. Your shares are counted as present at the Annual Meeting if you participate in the Annual Meeting virtually and either vote during or abstain from voting or if you properly return a proxy by Internet, by telephone, or by mail in advance of the Annual Meeting and do not revoke the proxy.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Will my shares be voted if I don't provide my proxy or instruction card?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Registered Stockholders</w:t>
      </w:r>
    </w:p>
    <w:p>
      <w:pPr>
        <w:spacing w:after="0" w:line="187" w:lineRule="exact"/>
        <w:rPr>
          <w:sz w:val="20"/>
          <w:szCs w:val="20"/>
          <w:color w:val="auto"/>
        </w:rPr>
      </w:pPr>
    </w:p>
    <w:p>
      <w:pPr>
        <w:ind w:right="80"/>
        <w:spacing w:after="0" w:line="278" w:lineRule="auto"/>
        <w:rPr>
          <w:sz w:val="20"/>
          <w:szCs w:val="20"/>
          <w:color w:val="auto"/>
        </w:rPr>
      </w:pPr>
      <w:r>
        <w:rPr>
          <w:rFonts w:ascii="Arial" w:cs="Arial" w:eastAsia="Arial" w:hAnsi="Arial"/>
          <w:sz w:val="15"/>
          <w:szCs w:val="15"/>
          <w:color w:val="auto"/>
        </w:rPr>
        <w:t>If your shares are registered in your name, your shares will not be voted unless you provide a proxy by internet, by telephone, or by mail or vote online during the Annual Meeting.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Beneficial Owners</w:t>
      </w:r>
    </w:p>
    <w:p>
      <w:pPr>
        <w:spacing w:after="0" w:line="187" w:lineRule="exact"/>
        <w:rPr>
          <w:sz w:val="20"/>
          <w:szCs w:val="20"/>
          <w:color w:val="auto"/>
        </w:rPr>
      </w:pPr>
    </w:p>
    <w:p>
      <w:pPr>
        <w:ind w:right="20"/>
        <w:spacing w:after="0" w:line="252" w:lineRule="auto"/>
        <w:rPr>
          <w:sz w:val="20"/>
          <w:szCs w:val="20"/>
          <w:color w:val="auto"/>
        </w:rPr>
      </w:pPr>
      <w:r>
        <w:rPr>
          <w:rFonts w:ascii="Arial" w:cs="Arial" w:eastAsia="Arial" w:hAnsi="Arial"/>
          <w:sz w:val="15"/>
          <w:szCs w:val="15"/>
          <w:color w:val="auto"/>
        </w:rPr>
        <w:t>If you hold shares through an account with a broker, bank, or other nominee and you do not provide voting instructions, under the NASDAQ Global Select Market rules, your broker may vote your shares on routine matters only. The ratification of the appointment of KPMG (Proposal 3) is considered a routine matter, and your nominee can therefore vote your shares on that proposal even if you do not provide voting instructions. No other proposal is considered a routine matter, and your nominee cannot vote your shares on those proposals unless you provide voting instructions. Votes withheld by brokers, banks, and other nominees in the absence of voting instructions from a beneficial owner are referred to as "broker non-votes."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020" w:type="dxa"/>
            <w:vAlign w:val="bottom"/>
          </w:tcPr>
          <w:p>
            <w:pPr>
              <w:ind w:left="9720"/>
              <w:spacing w:after="0"/>
              <w:rPr>
                <w:sz w:val="20"/>
                <w:szCs w:val="20"/>
                <w:color w:val="auto"/>
              </w:rPr>
            </w:pPr>
            <w:r>
              <w:rPr>
                <w:rFonts w:ascii="Times New Roman" w:cs="Times New Roman" w:eastAsia="Times New Roman" w:hAnsi="Times New Roman"/>
                <w:sz w:val="13"/>
                <w:szCs w:val="13"/>
                <w:b w:val="1"/>
                <w:bCs w:val="1"/>
                <w:color w:val="auto"/>
              </w:rPr>
              <w:t xml:space="preserve">2024 </w:t>
            </w:r>
            <w:r>
              <w:rPr>
                <w:rFonts w:ascii="Times New Roman" w:cs="Times New Roman" w:eastAsia="Times New Roman" w:hAnsi="Times New Roman"/>
                <w:sz w:val="13"/>
                <w:szCs w:val="13"/>
                <w:color w:val="auto"/>
              </w:rPr>
              <w:t>Proxy Statement</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244F"/>
              </w:rPr>
              <w:t>85</w:t>
            </w:r>
          </w:p>
        </w:tc>
      </w:tr>
      <w:tr>
        <w:trPr>
          <w:trHeight w:val="385"/>
        </w:trPr>
        <w:tc>
          <w:tcPr>
            <w:tcW w:w="1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3" w:right="339" w:bottom="1440" w:gutter="0" w:footer="0" w:header="0"/>
        </w:sectPr>
      </w:pPr>
    </w:p>
    <w:bookmarkStart w:id="90" w:name="page91"/>
    <w:bookmarkEnd w:id="90"/>
    <w:p>
      <w:pPr>
        <w:spacing w:after="0"/>
        <w:rPr>
          <w:sz w:val="20"/>
          <w:szCs w:val="20"/>
          <w:color w:val="auto"/>
        </w:rPr>
      </w:pPr>
      <w:r>
        <w:rPr>
          <w:rFonts w:ascii="Arial" w:cs="Arial" w:eastAsia="Arial" w:hAnsi="Arial"/>
          <w:sz w:val="17"/>
          <w:szCs w:val="17"/>
          <w:u w:val="single" w:color="auto"/>
          <w:color w:val="0000EE"/>
        </w:rPr>
        <w:t>Table of Contents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Multiple Forms of Ownership</w:t>
      </w:r>
    </w:p>
    <w:p>
      <w:pPr>
        <w:spacing w:after="0" w:line="187" w:lineRule="exact"/>
        <w:rPr>
          <w:sz w:val="20"/>
          <w:szCs w:val="20"/>
          <w:color w:val="auto"/>
        </w:rPr>
      </w:pPr>
    </w:p>
    <w:p>
      <w:pPr>
        <w:jc w:val="both"/>
        <w:ind w:right="60"/>
        <w:spacing w:after="0" w:line="261" w:lineRule="auto"/>
        <w:rPr>
          <w:sz w:val="20"/>
          <w:szCs w:val="20"/>
          <w:color w:val="auto"/>
        </w:rPr>
      </w:pPr>
      <w:r>
        <w:rPr>
          <w:rFonts w:ascii="Arial" w:cs="Arial" w:eastAsia="Arial" w:hAnsi="Arial"/>
          <w:sz w:val="15"/>
          <w:szCs w:val="15"/>
          <w:color w:val="auto"/>
        </w:rPr>
        <w:t>The Company cannot provide a single proxy or instruction card for stockholders who own shares as registered stockholders or beneficial owners in multiple accounts. As a result, if your shares are held in multiple types of accounts, you must submit your votes for each type of account in accordance with the instructions you receive for that account.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What is the vote required for each proposal?</w:t>
      </w:r>
    </w:p>
    <w:p>
      <w:pPr>
        <w:spacing w:after="0" w:line="199" w:lineRule="exact"/>
        <w:rPr>
          <w:sz w:val="20"/>
          <w:szCs w:val="20"/>
          <w:color w:val="auto"/>
        </w:rPr>
      </w:pPr>
    </w:p>
    <w:p>
      <w:pPr>
        <w:spacing w:after="0" w:line="252" w:lineRule="auto"/>
        <w:rPr>
          <w:sz w:val="20"/>
          <w:szCs w:val="20"/>
          <w:color w:val="auto"/>
        </w:rPr>
      </w:pPr>
      <w:r>
        <w:rPr>
          <w:rFonts w:ascii="Arial" w:cs="Arial" w:eastAsia="Arial" w:hAnsi="Arial"/>
          <w:sz w:val="15"/>
          <w:szCs w:val="15"/>
          <w:color w:val="auto"/>
        </w:rPr>
        <w:t xml:space="preserve">For Proposal 1, the votes that stockholders cast "FOR" a director nominee must exceed the votes that stockholders cast "AGAINST" a director nominee to approve the election of each director nominee. Please also see the discussion of our "Majority Voting" provisions within the Report of the Nominating and Corporate Governance Committee on page </w:t>
      </w:r>
      <w:r>
        <w:rPr>
          <w:rFonts w:ascii="Arial" w:cs="Arial" w:eastAsia="Arial" w:hAnsi="Arial"/>
          <w:sz w:val="15"/>
          <w:szCs w:val="15"/>
          <w:b w:val="1"/>
          <w:bCs w:val="1"/>
          <w:color w:val="auto"/>
        </w:rPr>
        <w:t>20</w:t>
      </w:r>
      <w:r>
        <w:rPr>
          <w:rFonts w:ascii="Arial" w:cs="Arial" w:eastAsia="Arial" w:hAnsi="Arial"/>
          <w:sz w:val="15"/>
          <w:szCs w:val="15"/>
          <w:color w:val="auto"/>
        </w:rPr>
        <w:t>. For each of Proposals 2, and 3, the affirmative vote of a majority of the votes cast is required to approve the proposal. Proposal 2 is advisory and nonbinding, so the Board will review the voting results on these proposals and take the results into account when making future decisions regarding these matters. "Votes cast" exclude abstentions and broker non-votes.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What is the effect of an abstention?</w:t>
      </w:r>
    </w:p>
    <w:p>
      <w:pPr>
        <w:spacing w:after="0" w:line="199" w:lineRule="exact"/>
        <w:rPr>
          <w:sz w:val="20"/>
          <w:szCs w:val="20"/>
          <w:color w:val="auto"/>
        </w:rPr>
      </w:pPr>
    </w:p>
    <w:p>
      <w:pPr>
        <w:ind w:right="200"/>
        <w:spacing w:after="0" w:line="278" w:lineRule="auto"/>
        <w:rPr>
          <w:sz w:val="20"/>
          <w:szCs w:val="20"/>
          <w:color w:val="auto"/>
        </w:rPr>
      </w:pPr>
      <w:r>
        <w:rPr>
          <w:rFonts w:ascii="Arial" w:cs="Arial" w:eastAsia="Arial" w:hAnsi="Arial"/>
          <w:sz w:val="15"/>
          <w:szCs w:val="15"/>
          <w:color w:val="auto"/>
        </w:rPr>
        <w:t>A stockholder who abstains on some or all matters is considered present for purposes of determining if a quorum is present at the Annual Meeting, but an abstention is not counted as a vote cast. An abstention has no effect on the vote on any proposal to be presented at the Annual Meeting.</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What is the effect of a broker non-vote?</w:t>
      </w:r>
    </w:p>
    <w:p>
      <w:pPr>
        <w:spacing w:after="0" w:line="199" w:lineRule="exact"/>
        <w:rPr>
          <w:sz w:val="20"/>
          <w:szCs w:val="20"/>
          <w:color w:val="auto"/>
        </w:rPr>
      </w:pPr>
    </w:p>
    <w:p>
      <w:pPr>
        <w:ind w:right="320"/>
        <w:spacing w:after="0" w:line="261" w:lineRule="auto"/>
        <w:rPr>
          <w:sz w:val="20"/>
          <w:szCs w:val="20"/>
          <w:color w:val="auto"/>
        </w:rPr>
      </w:pPr>
      <w:r>
        <w:rPr>
          <w:rFonts w:ascii="Arial" w:cs="Arial" w:eastAsia="Arial" w:hAnsi="Arial"/>
          <w:sz w:val="15"/>
          <w:szCs w:val="15"/>
          <w:color w:val="auto"/>
        </w:rPr>
        <w:t>If a broker casts a vote on Proposal 3 (ratification of the appointment of KPMG LLP as our independent registered public accounting firm), the vote will be included in determining whether a quorum exists for holding the Annual Meeting. The broker does not have authority to vote on the other proposals absent directions from the beneficial owner.</w:t>
      </w:r>
    </w:p>
    <w:p>
      <w:pPr>
        <w:spacing w:after="0" w:line="137" w:lineRule="exact"/>
        <w:rPr>
          <w:sz w:val="20"/>
          <w:szCs w:val="20"/>
          <w:color w:val="auto"/>
        </w:rPr>
      </w:pPr>
    </w:p>
    <w:p>
      <w:pPr>
        <w:ind w:right="160"/>
        <w:spacing w:after="0" w:line="278" w:lineRule="auto"/>
        <w:rPr>
          <w:sz w:val="20"/>
          <w:szCs w:val="20"/>
          <w:color w:val="auto"/>
        </w:rPr>
      </w:pPr>
      <w:r>
        <w:rPr>
          <w:rFonts w:ascii="Arial" w:cs="Arial" w:eastAsia="Arial" w:hAnsi="Arial"/>
          <w:sz w:val="15"/>
          <w:szCs w:val="15"/>
          <w:color w:val="auto"/>
        </w:rPr>
        <w:t>As a result, if the beneficial owner does not vote on Proposals 1 or 2, so that there is a broker non-vote on those items, the broker non-votes do not count as votes cast for those proposals. Thus, a broker non-vote on Proposals 1 or 2 will not impact the following:</w:t>
      </w:r>
    </w:p>
    <w:p>
      <w:pPr>
        <w:spacing w:after="0" w:line="125" w:lineRule="exact"/>
        <w:rPr>
          <w:sz w:val="20"/>
          <w:szCs w:val="20"/>
          <w:color w:val="auto"/>
        </w:rPr>
      </w:pPr>
    </w:p>
    <w:p>
      <w:pPr>
        <w:ind w:left="300" w:hanging="300"/>
        <w:spacing w:after="0"/>
        <w:tabs>
          <w:tab w:leader="none" w:pos="300" w:val="left"/>
        </w:tabs>
        <w:numPr>
          <w:ilvl w:val="0"/>
          <w:numId w:val="150"/>
        </w:numPr>
        <w:rPr>
          <w:rFonts w:ascii="Arial" w:cs="Arial" w:eastAsia="Arial" w:hAnsi="Arial"/>
          <w:sz w:val="15"/>
          <w:szCs w:val="15"/>
          <w:color w:val="28C0DA"/>
        </w:rPr>
      </w:pPr>
      <w:r>
        <w:rPr>
          <w:rFonts w:ascii="Arial" w:cs="Arial" w:eastAsia="Arial" w:hAnsi="Arial"/>
          <w:sz w:val="15"/>
          <w:szCs w:val="15"/>
          <w:color w:val="auto"/>
        </w:rPr>
        <w:t>our ability to obtain a quorum (unless a broker also does not cast a vote on Proposal 3 as described in the preceding paragraph),</w:t>
      </w:r>
    </w:p>
    <w:p>
      <w:pPr>
        <w:spacing w:after="0" w:line="177" w:lineRule="exact"/>
        <w:rPr>
          <w:rFonts w:ascii="Arial" w:cs="Arial" w:eastAsia="Arial" w:hAnsi="Arial"/>
          <w:sz w:val="15"/>
          <w:szCs w:val="15"/>
          <w:color w:val="28C0DA"/>
        </w:rPr>
      </w:pPr>
    </w:p>
    <w:p>
      <w:pPr>
        <w:ind w:left="300" w:hanging="300"/>
        <w:spacing w:after="0"/>
        <w:tabs>
          <w:tab w:leader="none" w:pos="300" w:val="left"/>
        </w:tabs>
        <w:numPr>
          <w:ilvl w:val="0"/>
          <w:numId w:val="150"/>
        </w:numPr>
        <w:rPr>
          <w:rFonts w:ascii="Arial" w:cs="Arial" w:eastAsia="Arial" w:hAnsi="Arial"/>
          <w:sz w:val="15"/>
          <w:szCs w:val="15"/>
          <w:color w:val="28C0DA"/>
        </w:rPr>
      </w:pPr>
      <w:r>
        <w:rPr>
          <w:rFonts w:ascii="Arial" w:cs="Arial" w:eastAsia="Arial" w:hAnsi="Arial"/>
          <w:sz w:val="15"/>
          <w:szCs w:val="15"/>
          <w:color w:val="auto"/>
        </w:rPr>
        <w:t>the outcome with respect to the election of directors (Proposal 1),</w:t>
      </w:r>
    </w:p>
    <w:p>
      <w:pPr>
        <w:spacing w:after="0" w:line="177" w:lineRule="exact"/>
        <w:rPr>
          <w:rFonts w:ascii="Arial" w:cs="Arial" w:eastAsia="Arial" w:hAnsi="Arial"/>
          <w:sz w:val="15"/>
          <w:szCs w:val="15"/>
          <w:color w:val="28C0DA"/>
        </w:rPr>
      </w:pPr>
    </w:p>
    <w:p>
      <w:pPr>
        <w:ind w:left="300" w:hanging="300"/>
        <w:spacing w:after="0"/>
        <w:tabs>
          <w:tab w:leader="none" w:pos="300" w:val="left"/>
        </w:tabs>
        <w:numPr>
          <w:ilvl w:val="0"/>
          <w:numId w:val="150"/>
        </w:numPr>
        <w:rPr>
          <w:rFonts w:ascii="Arial" w:cs="Arial" w:eastAsia="Arial" w:hAnsi="Arial"/>
          <w:sz w:val="15"/>
          <w:szCs w:val="15"/>
          <w:color w:val="28C0DA"/>
        </w:rPr>
      </w:pPr>
      <w:r>
        <w:rPr>
          <w:rFonts w:ascii="Arial" w:cs="Arial" w:eastAsia="Arial" w:hAnsi="Arial"/>
          <w:sz w:val="15"/>
          <w:szCs w:val="15"/>
          <w:color w:val="auto"/>
        </w:rPr>
        <w:t>the outcome of the vote on a proposal that requires the affirmative vote of a majority of the votes cast on the proposal (Proposal 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Who will count the votes?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Representatives of our proxy tabulator, Broadridge, will tabulate the votes and act as inspectors of election for the Annual Meeting.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Where can I find the voting results of the Annual Meeting?</w:t>
      </w:r>
    </w:p>
    <w:p>
      <w:pPr>
        <w:spacing w:after="0" w:line="199" w:lineRule="exact"/>
        <w:rPr>
          <w:sz w:val="20"/>
          <w:szCs w:val="20"/>
          <w:color w:val="auto"/>
        </w:rPr>
      </w:pPr>
    </w:p>
    <w:p>
      <w:pPr>
        <w:ind w:right="80"/>
        <w:spacing w:after="0" w:line="278" w:lineRule="auto"/>
        <w:rPr>
          <w:sz w:val="20"/>
          <w:szCs w:val="20"/>
          <w:color w:val="auto"/>
        </w:rPr>
      </w:pPr>
      <w:r>
        <w:rPr>
          <w:rFonts w:ascii="Arial" w:cs="Arial" w:eastAsia="Arial" w:hAnsi="Arial"/>
          <w:sz w:val="15"/>
          <w:szCs w:val="15"/>
          <w:color w:val="auto"/>
        </w:rPr>
        <w:t>The preliminary voting results will be announced at the Annual Meeting. The final voting results will be tallied by the inspectors of election and disclosed by the Company in a Current Report on Form 8-K filed with the SEC within four business days following the Annual Meeting.</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Is my vote confidential?</w:t>
      </w:r>
    </w:p>
    <w:p>
      <w:pPr>
        <w:spacing w:after="0" w:line="199" w:lineRule="exact"/>
        <w:rPr>
          <w:sz w:val="20"/>
          <w:szCs w:val="20"/>
          <w:color w:val="auto"/>
        </w:rPr>
      </w:pPr>
    </w:p>
    <w:p>
      <w:pPr>
        <w:ind w:right="40"/>
        <w:spacing w:after="0" w:line="278" w:lineRule="auto"/>
        <w:rPr>
          <w:sz w:val="20"/>
          <w:szCs w:val="20"/>
          <w:color w:val="auto"/>
        </w:rPr>
      </w:pPr>
      <w:r>
        <w:rPr>
          <w:rFonts w:ascii="Arial" w:cs="Arial" w:eastAsia="Arial" w:hAnsi="Arial"/>
          <w:sz w:val="15"/>
          <w:szCs w:val="15"/>
          <w:color w:val="auto"/>
        </w:rPr>
        <w:t>Yes. The vote of each stockholder is held in confidence from Price Group's directors, officers, and employees. We do not know how any person or entity votes unless this information is voluntarily disclosed.</w:t>
      </w:r>
    </w:p>
    <w:p>
      <w:pPr>
        <w:spacing w:after="0" w:line="11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3"/>
          <w:szCs w:val="13"/>
          <w:b w:val="1"/>
          <w:bCs w:val="1"/>
          <w:color w:val="00244F"/>
        </w:rPr>
        <w:t>86</w:t>
        <w:tab/>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42480" cy="762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91" w:name="page92"/>
    <w:bookmarkEnd w:id="91"/>
    <w:p>
      <w:pPr>
        <w:spacing w:after="0"/>
        <w:rPr>
          <w:sz w:val="20"/>
          <w:szCs w:val="20"/>
          <w:color w:val="auto"/>
        </w:rPr>
      </w:pPr>
      <w:r>
        <w:rPr>
          <w:rFonts w:ascii="Arial" w:cs="Arial" w:eastAsia="Arial" w:hAnsi="Arial"/>
          <w:sz w:val="17"/>
          <w:szCs w:val="17"/>
          <w:u w:val="single" w:color="auto"/>
          <w:color w:val="0000EE"/>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What is "householding," and how does it affect me?</w:t>
      </w:r>
    </w:p>
    <w:p>
      <w:pPr>
        <w:spacing w:after="0" w:line="199" w:lineRule="exact"/>
        <w:rPr>
          <w:sz w:val="20"/>
          <w:szCs w:val="20"/>
          <w:color w:val="auto"/>
        </w:rPr>
      </w:pPr>
    </w:p>
    <w:p>
      <w:pPr>
        <w:ind w:right="20"/>
        <w:spacing w:after="0" w:line="255" w:lineRule="auto"/>
        <w:rPr>
          <w:sz w:val="20"/>
          <w:szCs w:val="20"/>
          <w:color w:val="auto"/>
        </w:rPr>
      </w:pPr>
      <w:r>
        <w:rPr>
          <w:rFonts w:ascii="Arial" w:cs="Arial" w:eastAsia="Arial" w:hAnsi="Arial"/>
          <w:sz w:val="15"/>
          <w:szCs w:val="15"/>
          <w:color w:val="auto"/>
        </w:rPr>
        <w:t>Some banks, brokers, and other nominees engage in the practice of "householding" our Proxy Materials. This means that only one copy of our Proxy Materials may be sent to multiple stockholders in your household unless you request otherwise. If requested, we will promptly deliver a separate copy of Proxy Materials to you if you share an address subject to householding. Please contact our general counsel and corporate secretary at 100 East Pratt Street, Mail Code BA-0585, Baltimore, MD 21202, or by telephone at 410-345-2000.</w:t>
      </w:r>
    </w:p>
    <w:p>
      <w:pPr>
        <w:spacing w:after="0" w:line="142"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Please contact your bank, broker, or other nominee if you wish to receive individual copies of our Proxy Materials in the future. Please contact your bank, broker, or other nominee or our general counsel and corporate secretary at 100 East Pratt Street, Mail Code BA-0585, Baltimore, MD 21202, or by telephone at 410-345-2000, if members of your household are currently receiving individual copies and you would like to receive a single household copy for future meetings.</w:t>
      </w:r>
    </w:p>
    <w:p>
      <w:pPr>
        <w:spacing w:after="0" w:line="124"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23"/>
          <w:szCs w:val="23"/>
          <w:b w:val="1"/>
          <w:bCs w:val="1"/>
          <w:color w:val="auto"/>
        </w:rPr>
        <w:t>Can I choose to receive the proxy statement and the 2023 Annual Report to Stockholders on the internet instead of receiving them by mail?</w:t>
      </w:r>
    </w:p>
    <w:p>
      <w:pPr>
        <w:spacing w:after="0" w:line="103" w:lineRule="exact"/>
        <w:rPr>
          <w:sz w:val="20"/>
          <w:szCs w:val="20"/>
          <w:color w:val="auto"/>
        </w:rPr>
      </w:pPr>
    </w:p>
    <w:p>
      <w:pPr>
        <w:ind w:right="40"/>
        <w:spacing w:after="0" w:line="255" w:lineRule="auto"/>
        <w:rPr>
          <w:sz w:val="20"/>
          <w:szCs w:val="20"/>
          <w:color w:val="auto"/>
        </w:rPr>
      </w:pPr>
      <w:r>
        <w:rPr>
          <w:rFonts w:ascii="Arial" w:cs="Arial" w:eastAsia="Arial" w:hAnsi="Arial"/>
          <w:sz w:val="15"/>
          <w:szCs w:val="15"/>
          <w:color w:val="auto"/>
        </w:rPr>
        <w:t>Yes. If you are a registered stockholder or beneficial owner, you can elect to receive all future Proxy Materials on the internet only and not receive notices or copies in the mail by visiting proxyvote.com. You will need to have your proxy card (or the Notice or the email message you receive with instructions on how to vote) in hand when you access the website. Your request for electronic transmission will remain in effect for all future annual reports and proxy statements, unless withdrawn. Withdrawal procedures also are at this website.</w:t>
      </w:r>
    </w:p>
    <w:p>
      <w:pPr>
        <w:spacing w:after="0" w:line="142" w:lineRule="exact"/>
        <w:rPr>
          <w:sz w:val="20"/>
          <w:szCs w:val="20"/>
          <w:color w:val="auto"/>
        </w:rPr>
      </w:pPr>
    </w:p>
    <w:p>
      <w:pPr>
        <w:ind w:right="80"/>
        <w:spacing w:after="0" w:line="261" w:lineRule="auto"/>
        <w:rPr>
          <w:sz w:val="20"/>
          <w:szCs w:val="20"/>
          <w:color w:val="auto"/>
        </w:rPr>
      </w:pPr>
      <w:r>
        <w:rPr>
          <w:rFonts w:ascii="Arial" w:cs="Arial" w:eastAsia="Arial" w:hAnsi="Arial"/>
          <w:sz w:val="15"/>
          <w:szCs w:val="15"/>
          <w:color w:val="auto"/>
        </w:rPr>
        <w:t>If you hold Price Group shares in your own name and received more than one copy of our Proxy Materials at your address and wish to reduce the number of reports you receive and save the Company the cost of producing and mailing these reports, you should contact Price Group's mailing agent, Broadridge, at 1-866-540-7095 to discontinue the mailing of reports on the accounts you select.</w:t>
      </w:r>
    </w:p>
    <w:p>
      <w:pPr>
        <w:spacing w:after="0" w:line="137" w:lineRule="exact"/>
        <w:rPr>
          <w:sz w:val="20"/>
          <w:szCs w:val="20"/>
          <w:color w:val="auto"/>
        </w:rPr>
      </w:pPr>
    </w:p>
    <w:p>
      <w:pPr>
        <w:ind w:right="220"/>
        <w:spacing w:after="0" w:line="255" w:lineRule="auto"/>
        <w:rPr>
          <w:sz w:val="20"/>
          <w:szCs w:val="20"/>
          <w:color w:val="auto"/>
        </w:rPr>
      </w:pPr>
      <w:r>
        <w:rPr>
          <w:rFonts w:ascii="Arial" w:cs="Arial" w:eastAsia="Arial" w:hAnsi="Arial"/>
          <w:sz w:val="15"/>
          <w:szCs w:val="15"/>
          <w:color w:val="auto"/>
        </w:rPr>
        <w:t>The mailing of dividend checks, dividend reinvestment statements, and special notices will not be affected by your election to discontinue duplicate mailings of proxy statements and annual reports. Registered stockholders may resume the mailing of our Proxy Materials to an account by calling Broadridge at 1-866-540-7095. If you own shares through a broker, bank, or other nominee and received more than one set of our Proxy Materials, please contact the holder of record to eliminate duplicate mailings.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Who pays the cost of this proxy solicitation?</w:t>
      </w:r>
    </w:p>
    <w:p>
      <w:pPr>
        <w:spacing w:after="0" w:line="199" w:lineRule="exact"/>
        <w:rPr>
          <w:sz w:val="20"/>
          <w:szCs w:val="20"/>
          <w:color w:val="auto"/>
        </w:rPr>
      </w:pPr>
    </w:p>
    <w:p>
      <w:pPr>
        <w:ind w:right="80"/>
        <w:spacing w:after="0" w:line="250" w:lineRule="auto"/>
        <w:rPr>
          <w:sz w:val="20"/>
          <w:szCs w:val="20"/>
          <w:color w:val="auto"/>
        </w:rPr>
      </w:pPr>
      <w:r>
        <w:rPr>
          <w:rFonts w:ascii="Arial" w:cs="Arial" w:eastAsia="Arial" w:hAnsi="Arial"/>
          <w:sz w:val="15"/>
          <w:szCs w:val="15"/>
          <w:color w:val="auto"/>
        </w:rPr>
        <w:t>Price Group will pay for the costs of preparing materials for the Annual Meeting and soliciting proxies. Our solicitation may occur through the mail, but proxies also may be solicited personally or by telephone, email, letter, or facsimile. To assist in soliciting proxies, we have retained Morrow Sodali LLC, 333 Ludlow Street, Fifth Floor, South Tower, Stamford, CT 06902, for a fee of $7,500, plus reimbursement of out-of-pocket expenses. We ask brokers, banks, and other nominees to forward materials for the Annual Meeting to our beneficial stockholders as of the Record Date, and we will reimburse them for the reasonable out-of-pocket expenses they incur. Directors, officers, and employees of Price Group and our subsidiaries may solicit proxies personally or by other means but will not receive additional compensation. Stockholders are requested to return their proxies without delay.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Are stockholders entitled to call a special meeting?</w:t>
      </w:r>
    </w:p>
    <w:p>
      <w:pPr>
        <w:spacing w:after="0" w:line="199"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Yes. Pursuant to Section 2-502 of the Corporations and Associations Article of the Annotated Code of Maryland, the secretary of a corporation shall call a special meeting of the stockholders on the written request of stockholders entitled to cast at least 25% of all the votes entitled to be cast at the meeting. A request for a special meeting shall state the purpose of the meeting and the matters proposed to be acted on at the meeting. This is the current standard applicable for Price Group.</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Can I find additional information on the Company's website?</w:t>
      </w:r>
    </w:p>
    <w:p>
      <w:pPr>
        <w:spacing w:after="0" w:line="199" w:lineRule="exact"/>
        <w:rPr>
          <w:sz w:val="20"/>
          <w:szCs w:val="20"/>
          <w:color w:val="auto"/>
        </w:rPr>
      </w:pPr>
    </w:p>
    <w:p>
      <w:pPr>
        <w:ind w:right="360"/>
        <w:spacing w:after="0" w:line="315" w:lineRule="auto"/>
        <w:rPr>
          <w:sz w:val="20"/>
          <w:szCs w:val="20"/>
          <w:color w:val="auto"/>
        </w:rPr>
      </w:pPr>
      <w:r>
        <w:rPr>
          <w:rFonts w:ascii="Arial" w:cs="Arial" w:eastAsia="Arial" w:hAnsi="Arial"/>
          <w:sz w:val="14"/>
          <w:szCs w:val="14"/>
          <w:color w:val="auto"/>
        </w:rPr>
        <w:t>Yes. Although the information contained on our website is not part of the Proxy Materials, you will find information about the Company and our corporate governance practices at investors.troweprice.com. Our website contains information about our Board, Board committees, Corporate Governance Guidelines, and other matters.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020" w:type="dxa"/>
            <w:vAlign w:val="bottom"/>
          </w:tcPr>
          <w:p>
            <w:pPr>
              <w:ind w:left="9720"/>
              <w:spacing w:after="0"/>
              <w:rPr>
                <w:sz w:val="20"/>
                <w:szCs w:val="20"/>
                <w:color w:val="auto"/>
              </w:rPr>
            </w:pPr>
            <w:r>
              <w:rPr>
                <w:rFonts w:ascii="Times New Roman" w:cs="Times New Roman" w:eastAsia="Times New Roman" w:hAnsi="Times New Roman"/>
                <w:sz w:val="13"/>
                <w:szCs w:val="13"/>
                <w:b w:val="1"/>
                <w:bCs w:val="1"/>
                <w:color w:val="auto"/>
              </w:rPr>
              <w:t xml:space="preserve">2024 </w:t>
            </w:r>
            <w:r>
              <w:rPr>
                <w:rFonts w:ascii="Times New Roman" w:cs="Times New Roman" w:eastAsia="Times New Roman" w:hAnsi="Times New Roman"/>
                <w:sz w:val="13"/>
                <w:szCs w:val="13"/>
                <w:color w:val="auto"/>
              </w:rPr>
              <w:t>Proxy Statement</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244F"/>
              </w:rPr>
              <w:t>87</w:t>
            </w:r>
          </w:p>
        </w:tc>
      </w:tr>
      <w:tr>
        <w:trPr>
          <w:trHeight w:val="385"/>
        </w:trPr>
        <w:tc>
          <w:tcPr>
            <w:tcW w:w="1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3" w:right="339" w:bottom="1440" w:gutter="0" w:footer="0" w:header="0"/>
        </w:sectPr>
      </w:pPr>
    </w:p>
    <w:bookmarkStart w:id="92" w:name="page93"/>
    <w:bookmarkEnd w:id="92"/>
    <w:p>
      <w:pPr>
        <w:spacing w:after="0"/>
        <w:rPr>
          <w:sz w:val="20"/>
          <w:szCs w:val="20"/>
          <w:color w:val="auto"/>
        </w:rPr>
      </w:pPr>
      <w:r>
        <w:rPr>
          <w:rFonts w:ascii="Arial" w:cs="Arial" w:eastAsia="Arial" w:hAnsi="Arial"/>
          <w:sz w:val="17"/>
          <w:szCs w:val="17"/>
          <w:u w:val="single" w:color="auto"/>
          <w:color w:val="0000EE"/>
        </w:rPr>
        <w:t>Table of Contents</w:t>
      </w:r>
    </w:p>
    <w:p>
      <w:pPr>
        <w:spacing w:after="0" w:line="357" w:lineRule="exact"/>
        <w:rPr>
          <w:sz w:val="20"/>
          <w:szCs w:val="20"/>
          <w:color w:val="auto"/>
        </w:rPr>
      </w:pPr>
    </w:p>
    <w:p>
      <w:pPr>
        <w:ind w:right="1720"/>
        <w:spacing w:after="0" w:line="275" w:lineRule="auto"/>
        <w:rPr>
          <w:sz w:val="20"/>
          <w:szCs w:val="20"/>
          <w:color w:val="auto"/>
        </w:rPr>
      </w:pPr>
      <w:r>
        <w:rPr>
          <w:rFonts w:ascii="Times New Roman" w:cs="Times New Roman" w:eastAsia="Times New Roman" w:hAnsi="Times New Roman"/>
          <w:sz w:val="55"/>
          <w:szCs w:val="55"/>
          <w:color w:val="00254F"/>
        </w:rPr>
        <w:t>Stockholder Proposals for the 2025 Annual Meeting</w:t>
      </w:r>
    </w:p>
    <w:p>
      <w:pPr>
        <w:spacing w:after="0" w:line="40" w:lineRule="exact"/>
        <w:rPr>
          <w:sz w:val="20"/>
          <w:szCs w:val="20"/>
          <w:color w:val="auto"/>
        </w:rPr>
      </w:pPr>
    </w:p>
    <w:p>
      <w:pPr>
        <w:ind w:right="40"/>
        <w:spacing w:after="0" w:line="261" w:lineRule="auto"/>
        <w:rPr>
          <w:sz w:val="20"/>
          <w:szCs w:val="20"/>
          <w:color w:val="auto"/>
        </w:rPr>
      </w:pPr>
      <w:r>
        <w:rPr>
          <w:rFonts w:ascii="Arial" w:cs="Arial" w:eastAsia="Arial" w:hAnsi="Arial"/>
          <w:sz w:val="15"/>
          <w:szCs w:val="15"/>
          <w:color w:val="auto"/>
        </w:rPr>
        <w:t>Any stockholder who wishes to submit a proposal or nominate a director for consideration at the 2025 annual meeting of stockholders (2025 Annual Meeting) and include that proposal or nomination in the 2025 proxy statement should send their proposal to T. Rowe Price Group, Inc., c/o general counsel and corporate secretary, 100 East Pratt Street, Mail Code BA-0585, Baltimore, MD 21202, and comply with the notice and other requirements described below.</w:t>
      </w:r>
    </w:p>
    <w:p>
      <w:pPr>
        <w:spacing w:after="0" w:line="137" w:lineRule="exact"/>
        <w:rPr>
          <w:sz w:val="20"/>
          <w:szCs w:val="20"/>
          <w:color w:val="auto"/>
        </w:rPr>
      </w:pPr>
    </w:p>
    <w:p>
      <w:pPr>
        <w:ind w:right="80"/>
        <w:spacing w:after="0" w:line="278" w:lineRule="auto"/>
        <w:rPr>
          <w:sz w:val="20"/>
          <w:szCs w:val="20"/>
          <w:color w:val="auto"/>
        </w:rPr>
      </w:pPr>
      <w:r>
        <w:rPr>
          <w:rFonts w:ascii="Arial" w:cs="Arial" w:eastAsia="Arial" w:hAnsi="Arial"/>
          <w:sz w:val="15"/>
          <w:szCs w:val="15"/>
          <w:color w:val="auto"/>
        </w:rPr>
        <w:t>Proposals must be received no later than November 18, 2024, and satisfy the requirements under applicable SEC rules (including SEC Rule 14a-8) to be included in the proxy statement and on the proxy card that will be used for solicitation of proxies by the Board for the 2025 Annual Meeting.</w:t>
      </w:r>
    </w:p>
    <w:p>
      <w:pPr>
        <w:spacing w:after="0" w:line="125" w:lineRule="exact"/>
        <w:rPr>
          <w:sz w:val="20"/>
          <w:szCs w:val="20"/>
          <w:color w:val="auto"/>
        </w:rPr>
      </w:pPr>
    </w:p>
    <w:p>
      <w:pPr>
        <w:ind w:right="20"/>
        <w:spacing w:after="0" w:line="255" w:lineRule="auto"/>
        <w:rPr>
          <w:sz w:val="20"/>
          <w:szCs w:val="20"/>
          <w:color w:val="auto"/>
        </w:rPr>
      </w:pPr>
      <w:r>
        <w:rPr>
          <w:rFonts w:ascii="Arial" w:cs="Arial" w:eastAsia="Arial" w:hAnsi="Arial"/>
          <w:sz w:val="15"/>
          <w:szCs w:val="15"/>
          <w:color w:val="auto"/>
        </w:rPr>
        <w:t>We have adopted a proxy access right to permit a stockholder, or a group of up to 20 stockholders, owning 3% or more of the Company's outstanding common stock continuously for at least three years to nominate and include in the Company's Proxy Materials directors constituting up to two individuals or 20% of the Board (whichever is greater), provided that the stockholder(s) and the nominee(s) satisfy the requirements specified in the amended By-Laws. To be considered timely under our proxy access provisions, stockholder nominations must be received on or after October 19, 2024, and on or before November 18, 2024, inclusive.</w:t>
      </w:r>
    </w:p>
    <w:p>
      <w:pPr>
        <w:spacing w:after="0" w:line="142" w:lineRule="exact"/>
        <w:rPr>
          <w:sz w:val="20"/>
          <w:szCs w:val="20"/>
          <w:color w:val="auto"/>
        </w:rPr>
      </w:pPr>
    </w:p>
    <w:p>
      <w:pPr>
        <w:ind w:right="20"/>
        <w:spacing w:after="0" w:line="278" w:lineRule="auto"/>
        <w:rPr>
          <w:sz w:val="20"/>
          <w:szCs w:val="20"/>
          <w:color w:val="auto"/>
        </w:rPr>
      </w:pPr>
      <w:r>
        <w:rPr>
          <w:rFonts w:ascii="Arial" w:cs="Arial" w:eastAsia="Arial" w:hAnsi="Arial"/>
          <w:sz w:val="15"/>
          <w:szCs w:val="15"/>
          <w:color w:val="auto"/>
        </w:rPr>
        <w:t>Our By-Laws also require advance notice of any proposal by a stockholder to be presented at the 2025 Annual Meeting that is not included in our proxy statement and on the proxy card, including any proposal for the nomination of a director for election.</w:t>
      </w:r>
    </w:p>
    <w:p>
      <w:pPr>
        <w:spacing w:after="0" w:line="125" w:lineRule="exact"/>
        <w:rPr>
          <w:sz w:val="20"/>
          <w:szCs w:val="20"/>
          <w:color w:val="auto"/>
        </w:rPr>
      </w:pPr>
    </w:p>
    <w:p>
      <w:pPr>
        <w:spacing w:after="0" w:line="250" w:lineRule="auto"/>
        <w:rPr>
          <w:sz w:val="20"/>
          <w:szCs w:val="20"/>
          <w:color w:val="auto"/>
        </w:rPr>
      </w:pPr>
      <w:r>
        <w:rPr>
          <w:rFonts w:ascii="Arial" w:cs="Arial" w:eastAsia="Arial" w:hAnsi="Arial"/>
          <w:sz w:val="15"/>
          <w:szCs w:val="15"/>
          <w:color w:val="auto"/>
        </w:rPr>
        <w:t>To be properly brought before the 2025 Annual Meeting, written nominations for directors or other business to be introduced by a stockholder must be received on or after January 7, 2025, and on or before February 6, 2025. A notice of a stockholder proposal must contain the information required by our By-Laws about the matter to be brought before the 2025 Annual Meeting and about the stockholder proponent and persons associated with the stockholder through control, ownership of the shares, agreement, or coordinated activity. We reserve the right to reject proposals that do not comply with these requirements. Further, if a stockholder intends to nominate a director and solicit proxies in support of such director nominee(s) (other than the Company's nominees) at the 2025 Annual Meeting in reliance on SEC Rule 14a-19, in addition to the requirements set forth in our By-Laws, such stockholder must also comply with the additional requirements of SEC Rule 14a-19.</w:t>
      </w:r>
    </w:p>
    <w:p>
      <w:pPr>
        <w:spacing w:after="0" w:line="147" w:lineRule="exact"/>
        <w:rPr>
          <w:sz w:val="20"/>
          <w:szCs w:val="20"/>
          <w:color w:val="auto"/>
        </w:rPr>
      </w:pPr>
    </w:p>
    <w:p>
      <w:pPr>
        <w:ind w:right="20"/>
        <w:spacing w:after="0" w:line="278" w:lineRule="auto"/>
        <w:rPr>
          <w:sz w:val="20"/>
          <w:szCs w:val="20"/>
          <w:color w:val="auto"/>
        </w:rPr>
      </w:pPr>
      <w:r>
        <w:rPr>
          <w:rFonts w:ascii="Arial" w:cs="Arial" w:eastAsia="Arial" w:hAnsi="Arial"/>
          <w:sz w:val="15"/>
          <w:szCs w:val="15"/>
          <w:color w:val="auto"/>
        </w:rPr>
        <w:t>Pursuant to Maryland law and our By-Laws, a special meeting of our stockholders can generally be called by the chair of the Board, our president, our Board, or upon the written request of stockholders entitled to cast at least 25% of all votes entitled to be cast at the special meeting.</w:t>
      </w:r>
    </w:p>
    <w:p>
      <w:pPr>
        <w:spacing w:after="0" w:line="11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3"/>
          <w:szCs w:val="13"/>
          <w:b w:val="1"/>
          <w:bCs w:val="1"/>
          <w:color w:val="00244F"/>
        </w:rPr>
        <w:t>88</w:t>
        <w:tab/>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42480" cy="762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93" w:name="page94"/>
    <w:bookmarkEnd w:id="93"/>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ind w:right="3039"/>
        <w:spacing w:after="0"/>
        <w:rPr>
          <w:sz w:val="20"/>
          <w:szCs w:val="20"/>
          <w:color w:val="auto"/>
        </w:rPr>
      </w:pPr>
      <w:r>
        <w:rPr>
          <w:rFonts w:ascii="Arial" w:cs="Arial" w:eastAsia="Arial" w:hAnsi="Arial"/>
          <w:sz w:val="20"/>
          <w:szCs w:val="20"/>
          <w:color w:val="auto"/>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1806575</wp:posOffset>
            </wp:positionV>
            <wp:extent cx="7142480" cy="762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0139"/>
          </w:cols>
          <w:pgMar w:left="320" w:top="223" w:right="1440" w:bottom="1440" w:gutter="0" w:footer="0" w:header="0"/>
        </w:sectPr>
      </w:pPr>
    </w:p>
    <w:bookmarkStart w:id="94" w:name="page95"/>
    <w:bookmarkEnd w:id="94"/>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ind w:right="3039"/>
        <w:spacing w:after="0"/>
        <w:rPr>
          <w:sz w:val="20"/>
          <w:szCs w:val="20"/>
          <w:color w:val="auto"/>
        </w:rPr>
      </w:pPr>
      <w:r>
        <w:rPr>
          <w:rFonts w:ascii="Arial" w:cs="Arial" w:eastAsia="Arial" w:hAnsi="Arial"/>
          <w:sz w:val="20"/>
          <w:szCs w:val="20"/>
          <w:color w:val="auto"/>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1806575</wp:posOffset>
            </wp:positionV>
            <wp:extent cx="7142480" cy="762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0139"/>
          </w:cols>
          <w:pgMar w:left="320" w:top="223" w:right="1440" w:bottom="1440" w:gutter="0" w:footer="0" w:header="0"/>
        </w:sectPr>
      </w:pPr>
    </w:p>
    <w:bookmarkStart w:id="95" w:name="page96"/>
    <w:bookmarkEnd w:id="95"/>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line="260" w:lineRule="auto"/>
        <w:rPr>
          <w:sz w:val="20"/>
          <w:szCs w:val="20"/>
          <w:color w:val="auto"/>
        </w:rPr>
      </w:pPr>
      <w:r>
        <w:rPr>
          <w:rFonts w:ascii="Arial" w:cs="Arial" w:eastAsia="Arial" w:hAnsi="Arial"/>
          <w:sz w:val="13"/>
          <w:szCs w:val="13"/>
          <w:color w:val="auto"/>
        </w:rPr>
        <w:t>At T. Rowe Price, we identify and actively invest in opportunities to help people thrive in an evolving world. As a premier global asset management organization with more than 80 years of experience, we provide investment solutions and a broad range of equity, fixed income, and multi-asset capabilities to individuals, advisors, institutions, and retirement plan sponsors. We take an active, independent approach to investing, offering our dynamic perspective and meaningful partnership so our clients can feel more confident.</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For more information, visit troweprice.com.</w:t>
      </w:r>
    </w:p>
    <w:p>
      <w:pPr>
        <w:spacing w:after="0" w:line="175" w:lineRule="exact"/>
        <w:rPr>
          <w:sz w:val="20"/>
          <w:szCs w:val="20"/>
          <w:color w:val="auto"/>
        </w:rPr>
      </w:pPr>
    </w:p>
    <w:p>
      <w:pPr>
        <w:ind w:right="420"/>
        <w:spacing w:after="0" w:line="281" w:lineRule="auto"/>
        <w:tabs>
          <w:tab w:leader="none" w:pos="135" w:val="left"/>
        </w:tabs>
        <w:numPr>
          <w:ilvl w:val="0"/>
          <w:numId w:val="151"/>
        </w:numPr>
        <w:rPr>
          <w:rFonts w:ascii="Arial" w:cs="Arial" w:eastAsia="Arial" w:hAnsi="Arial"/>
          <w:sz w:val="13"/>
          <w:szCs w:val="13"/>
          <w:color w:val="auto"/>
        </w:rPr>
      </w:pPr>
      <w:r>
        <w:rPr>
          <w:rFonts w:ascii="Arial" w:cs="Arial" w:eastAsia="Arial" w:hAnsi="Arial"/>
          <w:sz w:val="13"/>
          <w:szCs w:val="13"/>
          <w:color w:val="auto"/>
        </w:rPr>
        <w:t>2024 T. Rowe Price. All Rights Reserved. T. ROWE PRICE, INVEST WITH CONFIDENCE, and the Bighorn Sheep design are, collectively and/or apart, trademarks of T. Rowe Price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210820</wp:posOffset>
            </wp:positionV>
            <wp:extent cx="7142480" cy="762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00"/>
          </w:cols>
          <w:pgMar w:left="320" w:top="223" w:right="379" w:bottom="1440" w:gutter="0" w:footer="0" w:header="0"/>
        </w:sectPr>
      </w:pPr>
    </w:p>
    <w:bookmarkStart w:id="96" w:name="page97"/>
    <w:bookmarkEnd w:id="96"/>
    <w:p>
      <w:pPr>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243840</wp:posOffset>
            </wp:positionV>
            <wp:extent cx="6102985" cy="327787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102985" cy="3277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28C0DA"/>
        </w:rPr>
        <w:t>I N V E S T   W I T H   C O N F I D E N C E  </w:t>
      </w:r>
      <w:r>
        <w:rPr>
          <w:rFonts w:ascii="Arial" w:cs="Arial" w:eastAsia="Arial" w:hAnsi="Arial"/>
          <w:sz w:val="26"/>
          <w:szCs w:val="26"/>
          <w:b w:val="1"/>
          <w:bCs w:val="1"/>
          <w:color w:val="28C0DA"/>
          <w:vertAlign w:val="super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434850"/>
        </w:rPr>
        <w:t>T. Rowe Price Group, Inc.</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434850"/>
        </w:rPr>
        <w:t>100 East Pratt Street</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434850"/>
        </w:rPr>
        <w:t>Baltimore, Maryland 21202</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434850"/>
        </w:rPr>
        <w:t>United States</w:t>
      </w:r>
    </w:p>
    <w:p>
      <w:pPr>
        <w:spacing w:after="0" w:line="338" w:lineRule="exact"/>
        <w:rPr>
          <w:sz w:val="20"/>
          <w:szCs w:val="20"/>
          <w:color w:val="auto"/>
        </w:rPr>
      </w:pPr>
    </w:p>
    <w:p>
      <w:pPr>
        <w:spacing w:after="0"/>
        <w:rPr>
          <w:sz w:val="20"/>
          <w:szCs w:val="20"/>
          <w:color w:val="auto"/>
        </w:rPr>
      </w:pPr>
      <w:r>
        <w:rPr>
          <w:rFonts w:ascii="Arial" w:cs="Arial" w:eastAsia="Arial" w:hAnsi="Arial"/>
          <w:sz w:val="15"/>
          <w:szCs w:val="15"/>
          <w:color w:val="434850"/>
        </w:rPr>
        <w:t>410.345.2000 | troweprice.com</w:t>
      </w:r>
    </w:p>
    <w:p>
      <w:pPr>
        <w:spacing w:after="0" w:line="352" w:lineRule="exact"/>
        <w:rPr>
          <w:sz w:val="20"/>
          <w:szCs w:val="20"/>
          <w:color w:val="auto"/>
        </w:rPr>
      </w:pPr>
    </w:p>
    <w:p>
      <w:pPr>
        <w:spacing w:after="0"/>
        <w:rPr>
          <w:sz w:val="20"/>
          <w:szCs w:val="20"/>
          <w:color w:val="auto"/>
        </w:rPr>
      </w:pPr>
      <w:r>
        <w:rPr>
          <w:rFonts w:ascii="Arial" w:cs="Arial" w:eastAsia="Arial" w:hAnsi="Arial"/>
          <w:sz w:val="15"/>
          <w:szCs w:val="15"/>
          <w:b w:val="1"/>
          <w:bCs w:val="1"/>
          <w:color w:val="434850"/>
        </w:rPr>
        <w:t>View our Proxy Statement online at:</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434850"/>
        </w:rPr>
        <w:t>https://investors.troweprice.com/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968375</wp:posOffset>
            </wp:positionV>
            <wp:extent cx="7142480" cy="762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4248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1102995" cy="5080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102995" cy="508000"/>
                    </a:xfrm>
                    <a:prstGeom prst="rect">
                      <a:avLst/>
                    </a:prstGeom>
                    <a:noFill/>
                  </pic:spPr>
                </pic:pic>
              </a:graphicData>
            </a:graphic>
          </wp:anchor>
        </w:drawing>
      </w:r>
    </w:p>
    <w:p>
      <w:pPr>
        <w:sectPr>
          <w:pgSz w:w="11900" w:h="16838" w:orient="portrait"/>
          <w:cols w:equalWidth="0" w:num="1">
            <w:col w:w="10139"/>
          </w:cols>
          <w:pgMar w:left="320" w:top="223" w:right="1440" w:bottom="1440" w:gutter="0" w:footer="0" w:header="0"/>
        </w:sectPr>
      </w:pPr>
    </w:p>
    <w:bookmarkStart w:id="97" w:name="page98"/>
    <w:bookmarkEnd w:id="97"/>
    <w:p>
      <w:pPr>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42480" cy="907097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42480" cy="9070975"/>
                    </a:xfrm>
                    <a:prstGeom prst="rect">
                      <a:avLst/>
                    </a:prstGeom>
                    <a:noFill/>
                  </pic:spPr>
                </pic:pic>
              </a:graphicData>
            </a:graphic>
          </wp:anchor>
        </w:drawing>
      </w:r>
    </w:p>
    <w:p>
      <w:pPr>
        <w:sectPr>
          <w:pgSz w:w="11900" w:h="16838" w:orient="portrait"/>
          <w:cols w:equalWidth="0" w:num="1">
            <w:col w:w="10139"/>
          </w:cols>
          <w:pgMar w:left="320" w:top="124" w:right="1440" w:bottom="1440" w:gutter="0" w:footer="0" w:header="0"/>
        </w:sectPr>
      </w:pPr>
    </w:p>
    <w:bookmarkStart w:id="98" w:name="page99"/>
    <w:bookmarkEnd w:id="98"/>
    <w:p>
      <w:pPr>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42480" cy="907097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42480" cy="9070975"/>
                    </a:xfrm>
                    <a:prstGeom prst="rect">
                      <a:avLst/>
                    </a:prstGeom>
                    <a:noFill/>
                  </pic:spPr>
                </pic:pic>
              </a:graphicData>
            </a:graphic>
          </wp:anchor>
        </w:drawing>
      </w:r>
    </w:p>
    <w:sectPr>
      <w:pgSz w:w="11900" w:h="16838" w:orient="portrait"/>
      <w:cols w:equalWidth="0" w:num="1">
        <w:col w:w="10139"/>
      </w:cols>
      <w:pgMar w:left="320" w:top="1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ebdings">
    <w:panose1 w:val="05030102010509060703"/>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13EFDC5"/>
    <w:multiLevelType w:val="hybridMultilevel"/>
    <w:lvl w:ilvl="0">
      <w:lvlJc w:val="left"/>
      <w:lvlText w:val="☐"/>
      <w:numFmt w:val="bullet"/>
      <w:start w:val="1"/>
    </w:lvl>
  </w:abstractNum>
  <w:abstractNum w:abstractNumId="1">
    <w:nsid w:val="BF72B14"/>
    <w:multiLevelType w:val="hybridMultilevel"/>
    <w:lvl w:ilvl="0">
      <w:lvlJc w:val="left"/>
      <w:lvlText w:val="☒"/>
      <w:numFmt w:val="bullet"/>
      <w:start w:val="1"/>
    </w:lvl>
  </w:abstractNum>
  <w:abstractNum w:abstractNumId="2">
    <w:nsid w:val="11447B73"/>
    <w:multiLevelType w:val="hybridMultilevel"/>
    <w:lvl w:ilvl="0">
      <w:lvlJc w:val="left"/>
      <w:lvlText w:val="☐"/>
      <w:numFmt w:val="bullet"/>
      <w:start w:val="1"/>
    </w:lvl>
  </w:abstractNum>
  <w:abstractNum w:abstractNumId="3">
    <w:nsid w:val="42963E5A"/>
    <w:multiLevelType w:val="hybridMultilevel"/>
    <w:lvl w:ilvl="0">
      <w:lvlJc w:val="left"/>
      <w:lvlText w:val="☒"/>
      <w:numFmt w:val="bullet"/>
      <w:start w:val="1"/>
    </w:lvl>
  </w:abstractNum>
  <w:abstractNum w:abstractNumId="4">
    <w:nsid w:val="A0382C5"/>
    <w:multiLevelType w:val="hybridMultilevel"/>
    <w:lvl w:ilvl="0">
      <w:lvlJc w:val="left"/>
      <w:lvlText w:val="☐"/>
      <w:numFmt w:val="bullet"/>
      <w:start w:val="1"/>
    </w:lvl>
  </w:abstractNum>
  <w:abstractNum w:abstractNumId="5">
    <w:nsid w:val="8F2B15E"/>
    <w:multiLevelType w:val="hybridMultilevel"/>
    <w:lvl w:ilvl="0">
      <w:lvlJc w:val="left"/>
      <w:lvlText w:val="(%1)"/>
      <w:numFmt w:val="decimal"/>
      <w:start w:val="1"/>
    </w:lvl>
  </w:abstractNum>
  <w:abstractNum w:abstractNumId="6">
    <w:nsid w:val="1A32234B"/>
    <w:multiLevelType w:val="hybridMultilevel"/>
    <w:lvl w:ilvl="0">
      <w:lvlJc w:val="left"/>
      <w:lvlText w:val="(%1)"/>
      <w:numFmt w:val="decimal"/>
      <w:start w:val="1"/>
    </w:lvl>
  </w:abstractNum>
  <w:abstractNum w:abstractNumId="7">
    <w:nsid w:val="3B0FD379"/>
    <w:multiLevelType w:val="hybridMultilevel"/>
    <w:lvl w:ilvl="0">
      <w:lvlJc w:val="left"/>
      <w:lvlText w:val="(%1)"/>
      <w:numFmt w:val="decimal"/>
      <w:start w:val="4"/>
    </w:lvl>
  </w:abstractNum>
  <w:abstractNum w:abstractNumId="8">
    <w:nsid w:val="68EB2F63"/>
    <w:multiLevelType w:val="hybridMultilevel"/>
    <w:lvl w:ilvl="0">
      <w:lvlJc w:val="left"/>
      <w:lvlText w:val="●"/>
      <w:numFmt w:val="bullet"/>
      <w:start w:val="1"/>
    </w:lvl>
  </w:abstractNum>
  <w:abstractNum w:abstractNumId="9">
    <w:nsid w:val="4962813B"/>
    <w:multiLevelType w:val="hybridMultilevel"/>
    <w:lvl w:ilvl="0">
      <w:lvlJc w:val="left"/>
      <w:lvlText w:val="2"/>
      <w:numFmt w:val="bullet"/>
      <w:start w:val="1"/>
    </w:lvl>
  </w:abstractNum>
  <w:abstractNum w:abstractNumId="10">
    <w:nsid w:val="60B6DF70"/>
    <w:multiLevelType w:val="hybridMultilevel"/>
    <w:lvl w:ilvl="0">
      <w:lvlJc w:val="left"/>
      <w:lvlText w:val=" "/>
      <w:numFmt w:val="bullet"/>
      <w:start w:val="1"/>
    </w:lvl>
  </w:abstractNum>
  <w:abstractNum w:abstractNumId="11">
    <w:nsid w:val="6A5EE64"/>
    <w:multiLevelType w:val="hybridMultilevel"/>
    <w:lvl w:ilvl="0">
      <w:lvlJc w:val="left"/>
      <w:lvlText w:val="•"/>
      <w:numFmt w:val="bullet"/>
      <w:start w:val="1"/>
    </w:lvl>
  </w:abstractNum>
  <w:abstractNum w:abstractNumId="12">
    <w:nsid w:val="14330624"/>
    <w:multiLevelType w:val="hybridMultilevel"/>
    <w:lvl w:ilvl="0">
      <w:lvlJc w:val="left"/>
      <w:lvlText w:val="•"/>
      <w:numFmt w:val="bullet"/>
      <w:start w:val="1"/>
    </w:lvl>
  </w:abstractNum>
  <w:abstractNum w:abstractNumId="13">
    <w:nsid w:val="7FFFCA11"/>
    <w:multiLevelType w:val="hybridMultilevel"/>
    <w:lvl w:ilvl="0">
      <w:lvlJc w:val="left"/>
      <w:lvlText w:val="•"/>
      <w:numFmt w:val="bullet"/>
      <w:start w:val="1"/>
    </w:lvl>
  </w:abstractNum>
  <w:abstractNum w:abstractNumId="14">
    <w:nsid w:val="1A27709E"/>
    <w:multiLevelType w:val="hybridMultilevel"/>
    <w:lvl w:ilvl="0">
      <w:lvlJc w:val="left"/>
      <w:lvlText w:val="•"/>
      <w:numFmt w:val="bullet"/>
      <w:start w:val="1"/>
    </w:lvl>
  </w:abstractNum>
  <w:abstractNum w:abstractNumId="15">
    <w:nsid w:val="71EA1109"/>
    <w:multiLevelType w:val="hybridMultilevel"/>
    <w:lvl w:ilvl="0">
      <w:lvlJc w:val="left"/>
      <w:lvlText w:val="•"/>
      <w:numFmt w:val="bullet"/>
      <w:start w:val="1"/>
    </w:lvl>
  </w:abstractNum>
  <w:abstractNum w:abstractNumId="16">
    <w:nsid w:val="100F59DC"/>
    <w:multiLevelType w:val="hybridMultilevel"/>
    <w:lvl w:ilvl="0">
      <w:lvlJc w:val="left"/>
      <w:lvlText w:val="•"/>
      <w:numFmt w:val="bullet"/>
      <w:start w:val="1"/>
    </w:lvl>
  </w:abstractNum>
  <w:abstractNum w:abstractNumId="17">
    <w:nsid w:val="7FB7E0AA"/>
    <w:multiLevelType w:val="hybridMultilevel"/>
    <w:lvl w:ilvl="0">
      <w:lvlJc w:val="left"/>
      <w:lvlText w:val="•"/>
      <w:numFmt w:val="bullet"/>
      <w:start w:val="1"/>
    </w:lvl>
  </w:abstractNum>
  <w:abstractNum w:abstractNumId="18">
    <w:nsid w:val="6EB5BD4"/>
    <w:multiLevelType w:val="hybridMultilevel"/>
    <w:lvl w:ilvl="0">
      <w:lvlJc w:val="left"/>
      <w:lvlText w:val="•"/>
      <w:numFmt w:val="bullet"/>
      <w:start w:val="1"/>
    </w:lvl>
  </w:abstractNum>
  <w:abstractNum w:abstractNumId="19">
    <w:nsid w:val="6F6DD9AC"/>
    <w:multiLevelType w:val="hybridMultilevel"/>
    <w:lvl w:ilvl="0">
      <w:lvlJc w:val="left"/>
      <w:lvlText w:val="•"/>
      <w:numFmt w:val="bullet"/>
      <w:start w:val="1"/>
    </w:lvl>
  </w:abstractNum>
  <w:abstractNum w:abstractNumId="20">
    <w:nsid w:val="94211F2"/>
    <w:multiLevelType w:val="hybridMultilevel"/>
    <w:lvl w:ilvl="0">
      <w:lvlJc w:val="left"/>
      <w:lvlText w:val="•"/>
      <w:numFmt w:val="bullet"/>
      <w:start w:val="1"/>
    </w:lvl>
  </w:abstractNum>
  <w:abstractNum w:abstractNumId="21">
    <w:nsid w:val="885E1B"/>
    <w:multiLevelType w:val="hybridMultilevel"/>
    <w:lvl w:ilvl="0">
      <w:lvlJc w:val="left"/>
      <w:lvlText w:val="•"/>
      <w:numFmt w:val="bullet"/>
      <w:start w:val="1"/>
    </w:lvl>
  </w:abstractNum>
  <w:abstractNum w:abstractNumId="22">
    <w:nsid w:val="76272110"/>
    <w:multiLevelType w:val="hybridMultilevel"/>
    <w:lvl w:ilvl="0">
      <w:lvlJc w:val="left"/>
      <w:lvlText w:val="•"/>
      <w:numFmt w:val="bullet"/>
      <w:start w:val="1"/>
    </w:lvl>
  </w:abstractNum>
  <w:abstractNum w:abstractNumId="23">
    <w:nsid w:val="4C04A8AF"/>
    <w:multiLevelType w:val="hybridMultilevel"/>
    <w:lvl w:ilvl="0">
      <w:lvlJc w:val="left"/>
      <w:lvlText w:val="•"/>
      <w:numFmt w:val="bullet"/>
      <w:start w:val="1"/>
    </w:lvl>
  </w:abstractNum>
  <w:abstractNum w:abstractNumId="24">
    <w:nsid w:val="1716703B"/>
    <w:multiLevelType w:val="hybridMultilevel"/>
    <w:lvl w:ilvl="0">
      <w:lvlJc w:val="left"/>
      <w:lvlText w:val="•"/>
      <w:numFmt w:val="bullet"/>
      <w:start w:val="1"/>
    </w:lvl>
  </w:abstractNum>
  <w:abstractNum w:abstractNumId="25">
    <w:nsid w:val="14E17E33"/>
    <w:multiLevelType w:val="hybridMultilevel"/>
    <w:lvl w:ilvl="0">
      <w:lvlJc w:val="left"/>
      <w:lvlText w:val="•"/>
      <w:numFmt w:val="bullet"/>
      <w:start w:val="1"/>
    </w:lvl>
  </w:abstractNum>
  <w:abstractNum w:abstractNumId="26">
    <w:nsid w:val="3222E7CD"/>
    <w:multiLevelType w:val="hybridMultilevel"/>
    <w:lvl w:ilvl="0">
      <w:lvlJc w:val="left"/>
      <w:lvlText w:val="•"/>
      <w:numFmt w:val="bullet"/>
      <w:start w:val="1"/>
    </w:lvl>
  </w:abstractNum>
  <w:abstractNum w:abstractNumId="27">
    <w:nsid w:val="74DE0EE3"/>
    <w:multiLevelType w:val="hybridMultilevel"/>
    <w:lvl w:ilvl="0">
      <w:lvlJc w:val="left"/>
      <w:lvlText w:val="•"/>
      <w:numFmt w:val="bullet"/>
      <w:start w:val="1"/>
    </w:lvl>
  </w:abstractNum>
  <w:abstractNum w:abstractNumId="28">
    <w:nsid w:val="68EBC550"/>
    <w:multiLevelType w:val="hybridMultilevel"/>
    <w:lvl w:ilvl="0">
      <w:lvlJc w:val="left"/>
      <w:lvlText w:val="•"/>
      <w:numFmt w:val="bullet"/>
      <w:start w:val="1"/>
    </w:lvl>
  </w:abstractNum>
  <w:abstractNum w:abstractNumId="29">
    <w:nsid w:val="2DF6D648"/>
    <w:multiLevelType w:val="hybridMultilevel"/>
    <w:lvl w:ilvl="0">
      <w:lvlJc w:val="left"/>
      <w:lvlText w:val="•"/>
      <w:numFmt w:val="bullet"/>
      <w:start w:val="1"/>
    </w:lvl>
  </w:abstractNum>
  <w:abstractNum w:abstractNumId="30">
    <w:nsid w:val="46B7D447"/>
    <w:multiLevelType w:val="hybridMultilevel"/>
    <w:lvl w:ilvl="0">
      <w:lvlJc w:val="left"/>
      <w:lvlText w:val="•"/>
      <w:numFmt w:val="bullet"/>
      <w:start w:val="1"/>
    </w:lvl>
  </w:abstractNum>
  <w:abstractNum w:abstractNumId="31">
    <w:nsid w:val="4A2AC315"/>
    <w:multiLevelType w:val="hybridMultilevel"/>
    <w:lvl w:ilvl="0">
      <w:lvlJc w:val="left"/>
      <w:lvlText w:val="•"/>
      <w:numFmt w:val="bullet"/>
      <w:start w:val="1"/>
    </w:lvl>
  </w:abstractNum>
  <w:abstractNum w:abstractNumId="32">
    <w:nsid w:val="39EE015C"/>
    <w:multiLevelType w:val="hybridMultilevel"/>
    <w:lvl w:ilvl="0">
      <w:lvlJc w:val="left"/>
      <w:lvlText w:val="•"/>
      <w:numFmt w:val="bullet"/>
      <w:start w:val="1"/>
    </w:lvl>
  </w:abstractNum>
  <w:abstractNum w:abstractNumId="33">
    <w:nsid w:val="57FC4FBB"/>
    <w:multiLevelType w:val="hybridMultilevel"/>
    <w:lvl w:ilvl="0">
      <w:lvlJc w:val="left"/>
      <w:lvlText w:val="(%1)"/>
      <w:numFmt w:val="lowerRoman"/>
      <w:start w:val="2"/>
    </w:lvl>
  </w:abstractNum>
  <w:abstractNum w:abstractNumId="34">
    <w:nsid w:val="CC1016F"/>
    <w:multiLevelType w:val="hybridMultilevel"/>
    <w:lvl w:ilvl="0">
      <w:lvlJc w:val="left"/>
      <w:lvlText w:val="•"/>
      <w:numFmt w:val="bullet"/>
      <w:start w:val="1"/>
    </w:lvl>
  </w:abstractNum>
  <w:abstractNum w:abstractNumId="35">
    <w:nsid w:val="43F18422"/>
    <w:multiLevelType w:val="hybridMultilevel"/>
    <w:lvl w:ilvl="0">
      <w:lvlJc w:val="left"/>
      <w:lvlText w:val="%1."/>
      <w:numFmt w:val="decimal"/>
      <w:start w:val="2"/>
    </w:lvl>
  </w:abstractNum>
  <w:abstractNum w:abstractNumId="36">
    <w:nsid w:val="60EF0119"/>
    <w:multiLevelType w:val="hybridMultilevel"/>
    <w:lvl w:ilvl="0">
      <w:lvlJc w:val="left"/>
      <w:lvlText w:val="%1."/>
      <w:numFmt w:val="decimal"/>
      <w:start w:val="6"/>
    </w:lvl>
  </w:abstractNum>
  <w:abstractNum w:abstractNumId="37">
    <w:nsid w:val="26F324BA"/>
    <w:multiLevelType w:val="hybridMultilevel"/>
    <w:lvl w:ilvl="0">
      <w:lvlJc w:val="left"/>
      <w:lvlText w:val="●"/>
      <w:numFmt w:val="bullet"/>
      <w:start w:val="1"/>
    </w:lvl>
  </w:abstractNum>
  <w:abstractNum w:abstractNumId="38">
    <w:nsid w:val="7F01579B"/>
    <w:multiLevelType w:val="hybridMultilevel"/>
    <w:lvl w:ilvl="0">
      <w:lvlJc w:val="left"/>
      <w:lvlText w:val="●"/>
      <w:numFmt w:val="bullet"/>
      <w:start w:val="1"/>
    </w:lvl>
  </w:abstractNum>
  <w:abstractNum w:abstractNumId="39">
    <w:nsid w:val="49DA307D"/>
    <w:multiLevelType w:val="hybridMultilevel"/>
    <w:lvl w:ilvl="0">
      <w:lvlJc w:val="left"/>
      <w:lvlText w:val="●"/>
      <w:numFmt w:val="bullet"/>
      <w:start w:val="1"/>
    </w:lvl>
  </w:abstractNum>
  <w:abstractNum w:abstractNumId="40">
    <w:nsid w:val="7055A5F5"/>
    <w:multiLevelType w:val="hybridMultilevel"/>
    <w:lvl w:ilvl="0">
      <w:lvlJc w:val="left"/>
      <w:lvlText w:val="●"/>
      <w:numFmt w:val="bullet"/>
      <w:start w:val="1"/>
    </w:lvl>
  </w:abstractNum>
  <w:abstractNum w:abstractNumId="41">
    <w:nsid w:val="5FB8370B"/>
    <w:multiLevelType w:val="hybridMultilevel"/>
    <w:lvl w:ilvl="0">
      <w:lvlJc w:val="left"/>
      <w:lvlText w:val="●"/>
      <w:numFmt w:val="bullet"/>
      <w:start w:val="1"/>
    </w:lvl>
  </w:abstractNum>
  <w:abstractNum w:abstractNumId="42">
    <w:nsid w:val="50801EE1"/>
    <w:multiLevelType w:val="hybridMultilevel"/>
    <w:lvl w:ilvl="0">
      <w:lvlJc w:val="left"/>
      <w:lvlText w:val="●"/>
      <w:numFmt w:val="bullet"/>
      <w:start w:val="1"/>
    </w:lvl>
  </w:abstractNum>
  <w:abstractNum w:abstractNumId="43">
    <w:nsid w:val="488AC1A"/>
    <w:multiLevelType w:val="hybridMultilevel"/>
    <w:lvl w:ilvl="0">
      <w:lvlJc w:val="left"/>
      <w:lvlText w:val="●"/>
      <w:numFmt w:val="bullet"/>
      <w:start w:val="1"/>
    </w:lvl>
  </w:abstractNum>
  <w:abstractNum w:abstractNumId="44">
    <w:nsid w:val="5FB8011C"/>
    <w:multiLevelType w:val="hybridMultilevel"/>
    <w:lvl w:ilvl="0">
      <w:lvlJc w:val="left"/>
      <w:lvlText w:val="●"/>
      <w:numFmt w:val="bullet"/>
      <w:start w:val="1"/>
    </w:lvl>
  </w:abstractNum>
  <w:abstractNum w:abstractNumId="45">
    <w:nsid w:val="6AA78F7F"/>
    <w:multiLevelType w:val="hybridMultilevel"/>
    <w:lvl w:ilvl="0">
      <w:lvlJc w:val="left"/>
      <w:lvlText w:val="●"/>
      <w:numFmt w:val="bullet"/>
      <w:start w:val="1"/>
    </w:lvl>
  </w:abstractNum>
  <w:abstractNum w:abstractNumId="46">
    <w:nsid w:val="7672BD23"/>
    <w:multiLevelType w:val="hybridMultilevel"/>
    <w:lvl w:ilvl="0">
      <w:lvlJc w:val="left"/>
      <w:lvlText w:val="●"/>
      <w:numFmt w:val="bullet"/>
      <w:start w:val="1"/>
    </w:lvl>
  </w:abstractNum>
  <w:abstractNum w:abstractNumId="47">
    <w:nsid w:val="6FC75AF8"/>
    <w:multiLevelType w:val="hybridMultilevel"/>
    <w:lvl w:ilvl="0">
      <w:lvlJc w:val="left"/>
      <w:lvlText w:val="●"/>
      <w:numFmt w:val="bullet"/>
      <w:start w:val="1"/>
    </w:lvl>
  </w:abstractNum>
  <w:abstractNum w:abstractNumId="48">
    <w:nsid w:val="6A5F7029"/>
    <w:multiLevelType w:val="hybridMultilevel"/>
    <w:lvl w:ilvl="0">
      <w:lvlJc w:val="left"/>
      <w:lvlText w:val="•"/>
      <w:numFmt w:val="bullet"/>
      <w:start w:val="1"/>
    </w:lvl>
  </w:abstractNum>
  <w:abstractNum w:abstractNumId="49">
    <w:nsid w:val="7D5E18F8"/>
    <w:multiLevelType w:val="hybridMultilevel"/>
    <w:lvl w:ilvl="0">
      <w:lvlJc w:val="left"/>
      <w:lvlText w:val="•"/>
      <w:numFmt w:val="bullet"/>
      <w:start w:val="1"/>
    </w:lvl>
  </w:abstractNum>
  <w:abstractNum w:abstractNumId="50">
    <w:nsid w:val="5F3534A4"/>
    <w:multiLevelType w:val="hybridMultilevel"/>
    <w:lvl w:ilvl="0">
      <w:lvlJc w:val="left"/>
      <w:lvlText w:val="4"/>
      <w:numFmt w:val="bullet"/>
      <w:start w:val="1"/>
    </w:lvl>
  </w:abstractNum>
  <w:abstractNum w:abstractNumId="51">
    <w:nsid w:val="73A1821B"/>
    <w:multiLevelType w:val="hybridMultilevel"/>
    <w:lvl w:ilvl="0">
      <w:lvlJc w:val="left"/>
      <w:lvlText w:val="5"/>
      <w:numFmt w:val="bullet"/>
      <w:start w:val="1"/>
    </w:lvl>
  </w:abstractNum>
  <w:abstractNum w:abstractNumId="52">
    <w:nsid w:val="7DE67713"/>
    <w:multiLevelType w:val="hybridMultilevel"/>
    <w:lvl w:ilvl="0">
      <w:lvlJc w:val="left"/>
      <w:lvlText w:val="•"/>
      <w:numFmt w:val="bullet"/>
      <w:start w:val="1"/>
    </w:lvl>
  </w:abstractNum>
  <w:abstractNum w:abstractNumId="53">
    <w:nsid w:val="555C55B5"/>
    <w:multiLevelType w:val="hybridMultilevel"/>
    <w:lvl w:ilvl="0">
      <w:lvlJc w:val="left"/>
      <w:lvlText w:val="•"/>
      <w:numFmt w:val="bullet"/>
      <w:start w:val="1"/>
    </w:lvl>
  </w:abstractNum>
  <w:abstractNum w:abstractNumId="54">
    <w:nsid w:val="3FA62ACA"/>
    <w:multiLevelType w:val="hybridMultilevel"/>
    <w:lvl w:ilvl="0">
      <w:lvlJc w:val="left"/>
      <w:lvlText w:val="(%1)"/>
      <w:numFmt w:val="decimal"/>
      <w:start w:val="1"/>
    </w:lvl>
  </w:abstractNum>
  <w:abstractNum w:abstractNumId="55">
    <w:nsid w:val="14FCE74E"/>
    <w:multiLevelType w:val="hybridMultilevel"/>
    <w:lvl w:ilvl="0">
      <w:lvlJc w:val="left"/>
      <w:lvlText w:val="*"/>
      <w:numFmt w:val="bullet"/>
      <w:start w:val="1"/>
    </w:lvl>
  </w:abstractNum>
  <w:abstractNum w:abstractNumId="56">
    <w:nsid w:val="6A3DD3E8"/>
    <w:multiLevelType w:val="hybridMultilevel"/>
    <w:lvl w:ilvl="0">
      <w:lvlJc w:val="left"/>
      <w:lvlText w:val="•"/>
      <w:numFmt w:val="bullet"/>
      <w:start w:val="1"/>
    </w:lvl>
  </w:abstractNum>
  <w:abstractNum w:abstractNumId="57">
    <w:nsid w:val="71C91298"/>
    <w:multiLevelType w:val="hybridMultilevel"/>
    <w:lvl w:ilvl="0">
      <w:lvlJc w:val="left"/>
      <w:lvlText w:val="•"/>
      <w:numFmt w:val="bullet"/>
      <w:start w:val="1"/>
    </w:lvl>
  </w:abstractNum>
  <w:abstractNum w:abstractNumId="58">
    <w:nsid w:val="9DAF632"/>
    <w:multiLevelType w:val="hybridMultilevel"/>
    <w:lvl w:ilvl="0">
      <w:lvlJc w:val="left"/>
      <w:lvlText w:val="•"/>
      <w:numFmt w:val="bullet"/>
      <w:start w:val="1"/>
    </w:lvl>
  </w:abstractNum>
  <w:abstractNum w:abstractNumId="59">
    <w:nsid w:val="53299938"/>
    <w:multiLevelType w:val="hybridMultilevel"/>
    <w:lvl w:ilvl="0">
      <w:lvlJc w:val="left"/>
      <w:lvlText w:val="•"/>
      <w:numFmt w:val="bullet"/>
      <w:start w:val="1"/>
    </w:lvl>
  </w:abstractNum>
  <w:abstractNum w:abstractNumId="60">
    <w:nsid w:val="1FBFE8E0"/>
    <w:multiLevelType w:val="hybridMultilevel"/>
    <w:lvl w:ilvl="0">
      <w:lvlJc w:val="left"/>
      <w:lvlText w:val="(%1)"/>
      <w:numFmt w:val="lowerRoman"/>
      <w:start w:val="3"/>
    </w:lvl>
  </w:abstractNum>
  <w:abstractNum w:abstractNumId="61">
    <w:nsid w:val="5092CA79"/>
    <w:multiLevelType w:val="hybridMultilevel"/>
    <w:lvl w:ilvl="0">
      <w:lvlJc w:val="left"/>
      <w:lvlText w:val="•"/>
      <w:numFmt w:val="bullet"/>
      <w:start w:val="1"/>
    </w:lvl>
  </w:abstractNum>
  <w:abstractNum w:abstractNumId="62">
    <w:nsid w:val="1D545C4D"/>
    <w:multiLevelType w:val="hybridMultilevel"/>
    <w:lvl w:ilvl="0">
      <w:lvlJc w:val="left"/>
      <w:lvlText w:val="•"/>
      <w:numFmt w:val="bullet"/>
      <w:start w:val="1"/>
    </w:lvl>
  </w:abstractNum>
  <w:abstractNum w:abstractNumId="63">
    <w:nsid w:val="59ADEA3D"/>
    <w:multiLevelType w:val="hybridMultilevel"/>
    <w:lvl w:ilvl="0">
      <w:lvlJc w:val="left"/>
      <w:lvlText w:val="•"/>
      <w:numFmt w:val="bullet"/>
      <w:start w:val="1"/>
    </w:lvl>
  </w:abstractNum>
  <w:abstractNum w:abstractNumId="64">
    <w:nsid w:val="288F1A34"/>
    <w:multiLevelType w:val="hybridMultilevel"/>
    <w:lvl w:ilvl="0">
      <w:lvlJc w:val="left"/>
      <w:lvlText w:val="•"/>
      <w:numFmt w:val="bullet"/>
      <w:start w:val="1"/>
    </w:lvl>
  </w:abstractNum>
  <w:abstractNum w:abstractNumId="65">
    <w:nsid w:val="2A155DBC"/>
    <w:multiLevelType w:val="hybridMultilevel"/>
    <w:lvl w:ilvl="0">
      <w:lvlJc w:val="left"/>
      <w:lvlText w:val="•"/>
      <w:numFmt w:val="bullet"/>
      <w:start w:val="1"/>
    </w:lvl>
  </w:abstractNum>
  <w:abstractNum w:abstractNumId="66">
    <w:nsid w:val="1D9F6E5F"/>
    <w:multiLevelType w:val="hybridMultilevel"/>
    <w:lvl w:ilvl="0">
      <w:lvlJc w:val="left"/>
      <w:lvlText w:val="•"/>
      <w:numFmt w:val="bullet"/>
      <w:start w:val="1"/>
    </w:lvl>
  </w:abstractNum>
  <w:abstractNum w:abstractNumId="67">
    <w:nsid w:val="97E1B4E"/>
    <w:multiLevelType w:val="hybridMultilevel"/>
    <w:lvl w:ilvl="0">
      <w:lvlJc w:val="left"/>
      <w:lvlText w:val="•"/>
      <w:numFmt w:val="bullet"/>
      <w:start w:val="1"/>
    </w:lvl>
  </w:abstractNum>
  <w:abstractNum w:abstractNumId="68">
    <w:nsid w:val="51088277"/>
    <w:multiLevelType w:val="hybridMultilevel"/>
    <w:lvl w:ilvl="0">
      <w:lvlJc w:val="left"/>
      <w:lvlText w:val="•"/>
      <w:numFmt w:val="bullet"/>
      <w:start w:val="1"/>
    </w:lvl>
  </w:abstractNum>
  <w:abstractNum w:abstractNumId="69">
    <w:nsid w:val="1CA0C5FA"/>
    <w:multiLevelType w:val="hybridMultilevel"/>
    <w:lvl w:ilvl="0">
      <w:lvlJc w:val="left"/>
      <w:lvlText w:val="•"/>
      <w:numFmt w:val="bullet"/>
      <w:start w:val="1"/>
    </w:lvl>
  </w:abstractNum>
  <w:abstractNum w:abstractNumId="70">
    <w:nsid w:val="53584BCB"/>
    <w:multiLevelType w:val="hybridMultilevel"/>
    <w:lvl w:ilvl="0">
      <w:lvlJc w:val="left"/>
      <w:lvlText w:val="•"/>
      <w:numFmt w:val="bullet"/>
      <w:start w:val="1"/>
    </w:lvl>
  </w:abstractNum>
  <w:abstractNum w:abstractNumId="71">
    <w:nsid w:val="415E286C"/>
    <w:multiLevelType w:val="hybridMultilevel"/>
    <w:lvl w:ilvl="0">
      <w:lvlJc w:val="left"/>
      <w:lvlText w:val="•"/>
      <w:numFmt w:val="bullet"/>
      <w:start w:val="1"/>
    </w:lvl>
  </w:abstractNum>
  <w:abstractNum w:abstractNumId="72">
    <w:nsid w:val="7C58FD05"/>
    <w:multiLevelType w:val="hybridMultilevel"/>
    <w:lvl w:ilvl="0">
      <w:lvlJc w:val="left"/>
      <w:lvlText w:val="•"/>
      <w:numFmt w:val="bullet"/>
      <w:start w:val="1"/>
    </w:lvl>
  </w:abstractNum>
  <w:abstractNum w:abstractNumId="73">
    <w:nsid w:val="23D86AAC"/>
    <w:multiLevelType w:val="hybridMultilevel"/>
    <w:lvl w:ilvl="0">
      <w:lvlJc w:val="left"/>
      <w:lvlText w:val="•"/>
      <w:numFmt w:val="bullet"/>
      <w:start w:val="1"/>
    </w:lvl>
  </w:abstractNum>
  <w:abstractNum w:abstractNumId="74">
    <w:nsid w:val="45E6D486"/>
    <w:multiLevelType w:val="hybridMultilevel"/>
    <w:lvl w:ilvl="0">
      <w:lvlJc w:val="left"/>
      <w:lvlText w:val="●"/>
      <w:numFmt w:val="bullet"/>
      <w:start w:val="1"/>
    </w:lvl>
  </w:abstractNum>
  <w:abstractNum w:abstractNumId="75">
    <w:nsid w:val="5C10FE21"/>
    <w:multiLevelType w:val="hybridMultilevel"/>
    <w:lvl w:ilvl="0">
      <w:lvlJc w:val="left"/>
      <w:lvlText w:val="●"/>
      <w:numFmt w:val="bullet"/>
      <w:start w:val="1"/>
    </w:lvl>
  </w:abstractNum>
  <w:abstractNum w:abstractNumId="76">
    <w:nsid w:val="E7FFA2B"/>
    <w:multiLevelType w:val="hybridMultilevel"/>
    <w:lvl w:ilvl="0">
      <w:lvlJc w:val="left"/>
      <w:lvlText w:val="●"/>
      <w:numFmt w:val="bullet"/>
      <w:start w:val="1"/>
    </w:lvl>
  </w:abstractNum>
  <w:abstractNum w:abstractNumId="77">
    <w:nsid w:val="3C5991AA"/>
    <w:multiLevelType w:val="hybridMultilevel"/>
    <w:lvl w:ilvl="0">
      <w:lvlJc w:val="left"/>
      <w:lvlText w:val="●"/>
      <w:numFmt w:val="bullet"/>
      <w:start w:val="1"/>
    </w:lvl>
  </w:abstractNum>
  <w:abstractNum w:abstractNumId="78">
    <w:nsid w:val="4BD8591A"/>
    <w:multiLevelType w:val="hybridMultilevel"/>
    <w:lvl w:ilvl="0">
      <w:lvlJc w:val="left"/>
      <w:lvlText w:val="●"/>
      <w:numFmt w:val="bullet"/>
      <w:start w:val="1"/>
    </w:lvl>
  </w:abstractNum>
  <w:abstractNum w:abstractNumId="79">
    <w:nsid w:val="78DF6A55"/>
    <w:multiLevelType w:val="hybridMultilevel"/>
    <w:lvl w:ilvl="0">
      <w:lvlJc w:val="left"/>
      <w:lvlText w:val="●"/>
      <w:numFmt w:val="bullet"/>
      <w:start w:val="1"/>
    </w:lvl>
  </w:abstractNum>
  <w:abstractNum w:abstractNumId="80">
    <w:nsid w:val="39B7AAA2"/>
    <w:multiLevelType w:val="hybridMultilevel"/>
    <w:lvl w:ilvl="0">
      <w:lvlJc w:val="left"/>
      <w:lvlText w:val="●"/>
      <w:numFmt w:val="bullet"/>
      <w:start w:val="1"/>
    </w:lvl>
  </w:abstractNum>
  <w:abstractNum w:abstractNumId="81">
    <w:nsid w:val="2B0D8DBE"/>
    <w:multiLevelType w:val="hybridMultilevel"/>
    <w:lvl w:ilvl="0">
      <w:lvlJc w:val="left"/>
      <w:lvlText w:val="●"/>
      <w:numFmt w:val="bullet"/>
      <w:start w:val="1"/>
    </w:lvl>
  </w:abstractNum>
  <w:abstractNum w:abstractNumId="82">
    <w:nsid w:val="6C80EC70"/>
    <w:multiLevelType w:val="hybridMultilevel"/>
    <w:lvl w:ilvl="0">
      <w:lvlJc w:val="left"/>
      <w:lvlText w:val="●"/>
      <w:numFmt w:val="bullet"/>
      <w:start w:val="1"/>
    </w:lvl>
  </w:abstractNum>
  <w:abstractNum w:abstractNumId="83">
    <w:nsid w:val="379E21B5"/>
    <w:multiLevelType w:val="hybridMultilevel"/>
    <w:lvl w:ilvl="0">
      <w:lvlJc w:val="left"/>
      <w:lvlText w:val="1"/>
      <w:numFmt w:val="bullet"/>
      <w:start w:val="1"/>
    </w:lvl>
  </w:abstractNum>
  <w:abstractNum w:abstractNumId="84">
    <w:nsid w:val="69E373"/>
    <w:multiLevelType w:val="hybridMultilevel"/>
    <w:lvl w:ilvl="0">
      <w:lvlJc w:val="left"/>
      <w:lvlText w:val="•"/>
      <w:numFmt w:val="bullet"/>
      <w:start w:val="1"/>
    </w:lvl>
  </w:abstractNum>
  <w:abstractNum w:abstractNumId="85">
    <w:nsid w:val="2C27173B"/>
    <w:multiLevelType w:val="hybridMultilevel"/>
    <w:lvl w:ilvl="0">
      <w:lvlJc w:val="left"/>
      <w:lvlText w:val="•"/>
      <w:numFmt w:val="bullet"/>
      <w:start w:val="1"/>
    </w:lvl>
  </w:abstractNum>
  <w:abstractNum w:abstractNumId="86">
    <w:nsid w:val="4C9B0904"/>
    <w:multiLevelType w:val="hybridMultilevel"/>
    <w:lvl w:ilvl="0">
      <w:lvlJc w:val="left"/>
      <w:lvlText w:val="1"/>
      <w:numFmt w:val="bullet"/>
      <w:start w:val="1"/>
    </w:lvl>
  </w:abstractNum>
  <w:abstractNum w:abstractNumId="87">
    <w:nsid w:val="6AA7B75C"/>
    <w:multiLevelType w:val="hybridMultilevel"/>
    <w:lvl w:ilvl="0">
      <w:lvlJc w:val="left"/>
      <w:lvlText w:val="2"/>
      <w:numFmt w:val="bullet"/>
      <w:start w:val="1"/>
    </w:lvl>
  </w:abstractNum>
  <w:abstractNum w:abstractNumId="88">
    <w:nsid w:val="1DF029D3"/>
    <w:multiLevelType w:val="hybridMultilevel"/>
    <w:lvl w:ilvl="0">
      <w:lvlJc w:val="left"/>
      <w:lvlText w:val="3"/>
      <w:numFmt w:val="bullet"/>
      <w:start w:val="1"/>
    </w:lvl>
  </w:abstractNum>
  <w:abstractNum w:abstractNumId="89">
    <w:nsid w:val="5675FF36"/>
    <w:multiLevelType w:val="hybridMultilevel"/>
    <w:lvl w:ilvl="0">
      <w:lvlJc w:val="left"/>
      <w:lvlText w:val="4"/>
      <w:numFmt w:val="bullet"/>
      <w:start w:val="1"/>
    </w:lvl>
  </w:abstractNum>
  <w:abstractNum w:abstractNumId="90">
    <w:nsid w:val="3DD15094"/>
    <w:multiLevelType w:val="hybridMultilevel"/>
    <w:lvl w:ilvl="0">
      <w:lvlJc w:val="left"/>
      <w:lvlText w:val="5"/>
      <w:numFmt w:val="bullet"/>
      <w:start w:val="1"/>
    </w:lvl>
  </w:abstractNum>
  <w:abstractNum w:abstractNumId="91">
    <w:nsid w:val="3DB012B3"/>
    <w:multiLevelType w:val="hybridMultilevel"/>
    <w:lvl w:ilvl="0">
      <w:lvlJc w:val="left"/>
      <w:lvlText w:val="a"/>
      <w:numFmt w:val="bullet"/>
      <w:start w:val="1"/>
    </w:lvl>
  </w:abstractNum>
  <w:abstractNum w:abstractNumId="92">
    <w:nsid w:val="2708C9AF"/>
    <w:multiLevelType w:val="hybridMultilevel"/>
    <w:lvl w:ilvl="0">
      <w:lvlJc w:val="left"/>
      <w:lvlText w:val="b"/>
      <w:numFmt w:val="bullet"/>
      <w:start w:val="1"/>
    </w:lvl>
  </w:abstractNum>
  <w:abstractNum w:abstractNumId="93">
    <w:nsid w:val="5B25ACE2"/>
    <w:multiLevelType w:val="hybridMultilevel"/>
    <w:lvl w:ilvl="0">
      <w:lvlJc w:val="left"/>
      <w:lvlText w:val="c"/>
      <w:numFmt w:val="bullet"/>
      <w:start w:val="1"/>
    </w:lvl>
  </w:abstractNum>
  <w:abstractNum w:abstractNumId="94">
    <w:nsid w:val="175DFCF0"/>
    <w:multiLevelType w:val="hybridMultilevel"/>
    <w:lvl w:ilvl="0">
      <w:lvlJc w:val="left"/>
      <w:lvlText w:val="d"/>
      <w:numFmt w:val="bullet"/>
      <w:start w:val="1"/>
    </w:lvl>
  </w:abstractNum>
  <w:abstractNum w:abstractNumId="95">
    <w:nsid w:val="4F97E3E4"/>
    <w:multiLevelType w:val="hybridMultilevel"/>
    <w:lvl w:ilvl="0">
      <w:lvlJc w:val="left"/>
      <w:lvlText w:val="1"/>
      <w:numFmt w:val="bullet"/>
      <w:start w:val="1"/>
    </w:lvl>
  </w:abstractNum>
  <w:abstractNum w:abstractNumId="96">
    <w:nsid w:val="53B0A9E"/>
    <w:multiLevelType w:val="hybridMultilevel"/>
    <w:lvl w:ilvl="0">
      <w:lvlJc w:val="left"/>
      <w:lvlText w:val="2"/>
      <w:numFmt w:val="bullet"/>
      <w:start w:val="1"/>
    </w:lvl>
  </w:abstractNum>
  <w:abstractNum w:abstractNumId="97">
    <w:nsid w:val="34FD6B4F"/>
    <w:multiLevelType w:val="hybridMultilevel"/>
    <w:lvl w:ilvl="0">
      <w:lvlJc w:val="left"/>
      <w:lvlText w:val="3"/>
      <w:numFmt w:val="bullet"/>
      <w:start w:val="1"/>
    </w:lvl>
  </w:abstractNum>
  <w:abstractNum w:abstractNumId="98">
    <w:nsid w:val="5915FF32"/>
    <w:multiLevelType w:val="hybridMultilevel"/>
    <w:lvl w:ilvl="0">
      <w:lvlJc w:val="left"/>
      <w:lvlText w:val="4"/>
      <w:numFmt w:val="bullet"/>
      <w:start w:val="1"/>
    </w:lvl>
  </w:abstractNum>
  <w:abstractNum w:abstractNumId="99">
    <w:nsid w:val="56438D15"/>
    <w:multiLevelType w:val="hybridMultilevel"/>
    <w:lvl w:ilvl="0">
      <w:lvlJc w:val="left"/>
      <w:lvlText w:val="5"/>
      <w:numFmt w:val="bullet"/>
      <w:start w:val="1"/>
    </w:lvl>
  </w:abstractNum>
  <w:abstractNum w:abstractNumId="100">
    <w:nsid w:val="519E3149"/>
    <w:multiLevelType w:val="hybridMultilevel"/>
    <w:lvl w:ilvl="0">
      <w:lvlJc w:val="left"/>
      <w:lvlText w:val="1"/>
      <w:numFmt w:val="bullet"/>
      <w:start w:val="1"/>
    </w:lvl>
  </w:abstractNum>
  <w:abstractNum w:abstractNumId="101">
    <w:nsid w:val="2C6E4AFD"/>
    <w:multiLevelType w:val="hybridMultilevel"/>
    <w:lvl w:ilvl="0">
      <w:lvlJc w:val="left"/>
      <w:lvlText w:val="2"/>
      <w:numFmt w:val="bullet"/>
      <w:start w:val="1"/>
    </w:lvl>
  </w:abstractNum>
  <w:abstractNum w:abstractNumId="102">
    <w:nsid w:val="17A1B582"/>
    <w:multiLevelType w:val="hybridMultilevel"/>
    <w:lvl w:ilvl="0">
      <w:lvlJc w:val="left"/>
      <w:lvlText w:val="3"/>
      <w:numFmt w:val="bullet"/>
      <w:start w:val="1"/>
    </w:lvl>
  </w:abstractNum>
  <w:abstractNum w:abstractNumId="103">
    <w:nsid w:val="4DF72E4E"/>
    <w:multiLevelType w:val="hybridMultilevel"/>
    <w:lvl w:ilvl="0">
      <w:lvlJc w:val="left"/>
      <w:lvlText w:val="4"/>
      <w:numFmt w:val="bullet"/>
      <w:start w:val="1"/>
    </w:lvl>
  </w:abstractNum>
  <w:abstractNum w:abstractNumId="104">
    <w:nsid w:val="5046B5A9"/>
    <w:multiLevelType w:val="hybridMultilevel"/>
    <w:lvl w:ilvl="0">
      <w:lvlJc w:val="left"/>
      <w:lvlText w:val="5"/>
      <w:numFmt w:val="bullet"/>
      <w:start w:val="1"/>
    </w:lvl>
  </w:abstractNum>
  <w:abstractNum w:abstractNumId="105">
    <w:nsid w:val="5D888A08"/>
    <w:multiLevelType w:val="hybridMultilevel"/>
    <w:lvl w:ilvl="0">
      <w:lvlJc w:val="left"/>
      <w:lvlText w:val="1"/>
      <w:numFmt w:val="bullet"/>
      <w:start w:val="1"/>
    </w:lvl>
  </w:abstractNum>
  <w:abstractNum w:abstractNumId="106">
    <w:nsid w:val="2A082C70"/>
    <w:multiLevelType w:val="hybridMultilevel"/>
    <w:lvl w:ilvl="0">
      <w:lvlJc w:val="left"/>
      <w:lvlText w:val="2"/>
      <w:numFmt w:val="bullet"/>
      <w:start w:val="1"/>
    </w:lvl>
  </w:abstractNum>
  <w:abstractNum w:abstractNumId="107">
    <w:nsid w:val="5EC6AFD4"/>
    <w:multiLevelType w:val="hybridMultilevel"/>
    <w:lvl w:ilvl="0">
      <w:lvlJc w:val="left"/>
      <w:lvlText w:val="3"/>
      <w:numFmt w:val="bullet"/>
      <w:start w:val="1"/>
    </w:lvl>
  </w:abstractNum>
  <w:abstractNum w:abstractNumId="108">
    <w:nsid w:val="19E21BB2"/>
    <w:multiLevelType w:val="hybridMultilevel"/>
    <w:lvl w:ilvl="0">
      <w:lvlJc w:val="left"/>
      <w:lvlText w:val="4"/>
      <w:numFmt w:val="bullet"/>
      <w:start w:val="1"/>
    </w:lvl>
  </w:abstractNum>
  <w:abstractNum w:abstractNumId="109">
    <w:nsid w:val="75E0858A"/>
    <w:multiLevelType w:val="hybridMultilevel"/>
    <w:lvl w:ilvl="0">
      <w:lvlJc w:val="left"/>
      <w:lvlText w:val="5"/>
      <w:numFmt w:val="bullet"/>
      <w:start w:val="1"/>
    </w:lvl>
  </w:abstractNum>
  <w:abstractNum w:abstractNumId="110">
    <w:nsid w:val="57A61A29"/>
    <w:multiLevelType w:val="hybridMultilevel"/>
    <w:lvl w:ilvl="0">
      <w:lvlJc w:val="left"/>
      <w:lvlText w:val="6"/>
      <w:numFmt w:val="bullet"/>
      <w:start w:val="1"/>
    </w:lvl>
  </w:abstractNum>
  <w:abstractNum w:abstractNumId="111">
    <w:nsid w:val="5399C654"/>
    <w:multiLevelType w:val="hybridMultilevel"/>
    <w:lvl w:ilvl="0">
      <w:lvlJc w:val="left"/>
      <w:lvlText w:val="1"/>
      <w:numFmt w:val="bullet"/>
      <w:start w:val="1"/>
    </w:lvl>
  </w:abstractNum>
  <w:abstractNum w:abstractNumId="112">
    <w:nsid w:val="20EE1348"/>
    <w:multiLevelType w:val="hybridMultilevel"/>
    <w:lvl w:ilvl="0">
      <w:lvlJc w:val="left"/>
      <w:lvlText w:val="2"/>
      <w:numFmt w:val="bullet"/>
      <w:start w:val="1"/>
    </w:lvl>
  </w:abstractNum>
  <w:abstractNum w:abstractNumId="113">
    <w:nsid w:val="4427069A"/>
    <w:multiLevelType w:val="hybridMultilevel"/>
    <w:lvl w:ilvl="0">
      <w:lvlJc w:val="left"/>
      <w:lvlText w:val="3"/>
      <w:numFmt w:val="bullet"/>
      <w:start w:val="1"/>
    </w:lvl>
  </w:abstractNum>
  <w:abstractNum w:abstractNumId="114">
    <w:nsid w:val="B37E80A"/>
    <w:multiLevelType w:val="hybridMultilevel"/>
    <w:lvl w:ilvl="0">
      <w:lvlJc w:val="left"/>
      <w:lvlText w:val="4"/>
      <w:numFmt w:val="bullet"/>
      <w:start w:val="1"/>
    </w:lvl>
  </w:abstractNum>
  <w:abstractNum w:abstractNumId="115">
    <w:nsid w:val="2157F6BC"/>
    <w:multiLevelType w:val="hybridMultilevel"/>
    <w:lvl w:ilvl="0">
      <w:lvlJc w:val="left"/>
      <w:lvlText w:val="*"/>
      <w:numFmt w:val="bullet"/>
      <w:start w:val="1"/>
    </w:lvl>
  </w:abstractNum>
  <w:abstractNum w:abstractNumId="116">
    <w:nsid w:val="704E1DD5"/>
    <w:multiLevelType w:val="hybridMultilevel"/>
    <w:lvl w:ilvl="0">
      <w:lvlJc w:val="left"/>
      <w:lvlText w:val="1"/>
      <w:numFmt w:val="bullet"/>
      <w:start w:val="1"/>
    </w:lvl>
  </w:abstractNum>
  <w:abstractNum w:abstractNumId="117">
    <w:nsid w:val="57D2F10E"/>
    <w:multiLevelType w:val="hybridMultilevel"/>
    <w:lvl w:ilvl="0">
      <w:lvlJc w:val="left"/>
      <w:lvlText w:val="a"/>
      <w:numFmt w:val="bullet"/>
      <w:start w:val="1"/>
    </w:lvl>
  </w:abstractNum>
  <w:abstractNum w:abstractNumId="118">
    <w:nsid w:val="BFFAE18"/>
    <w:multiLevelType w:val="hybridMultilevel"/>
    <w:lvl w:ilvl="0">
      <w:lvlJc w:val="left"/>
      <w:lvlText w:val="b"/>
      <w:numFmt w:val="bullet"/>
      <w:start w:val="1"/>
    </w:lvl>
  </w:abstractNum>
  <w:abstractNum w:abstractNumId="119">
    <w:nsid w:val="E3E47A8"/>
    <w:multiLevelType w:val="hybridMultilevel"/>
    <w:lvl w:ilvl="0">
      <w:lvlJc w:val="left"/>
      <w:lvlText w:val="c"/>
      <w:numFmt w:val="bullet"/>
      <w:start w:val="1"/>
    </w:lvl>
  </w:abstractNum>
  <w:abstractNum w:abstractNumId="120">
    <w:nsid w:val="2E48F044"/>
    <w:multiLevelType w:val="hybridMultilevel"/>
    <w:lvl w:ilvl="0">
      <w:lvlJc w:val="left"/>
      <w:lvlText w:val="d"/>
      <w:numFmt w:val="bullet"/>
      <w:start w:val="1"/>
    </w:lvl>
  </w:abstractNum>
  <w:abstractNum w:abstractNumId="121">
    <w:nsid w:val="49D0FEAC"/>
    <w:multiLevelType w:val="hybridMultilevel"/>
    <w:lvl w:ilvl="0">
      <w:lvlJc w:val="left"/>
      <w:lvlText w:val="e"/>
      <w:numFmt w:val="bullet"/>
      <w:start w:val="1"/>
    </w:lvl>
  </w:abstractNum>
  <w:abstractNum w:abstractNumId="122">
    <w:nsid w:val="4BEE5A5B"/>
    <w:multiLevelType w:val="hybridMultilevel"/>
    <w:lvl w:ilvl="0">
      <w:lvlJc w:val="left"/>
      <w:lvlText w:val="f"/>
      <w:numFmt w:val="bullet"/>
      <w:start w:val="1"/>
    </w:lvl>
  </w:abstractNum>
  <w:abstractNum w:abstractNumId="123">
    <w:nsid w:val="5551B9F3"/>
    <w:multiLevelType w:val="hybridMultilevel"/>
    <w:lvl w:ilvl="0">
      <w:lvlJc w:val="left"/>
      <w:lvlText w:val="1"/>
      <w:numFmt w:val="bullet"/>
      <w:start w:val="1"/>
    </w:lvl>
  </w:abstractNum>
  <w:abstractNum w:abstractNumId="124">
    <w:nsid w:val="24F6AB8E"/>
    <w:multiLevelType w:val="hybridMultilevel"/>
    <w:lvl w:ilvl="0">
      <w:lvlJc w:val="left"/>
      <w:lvlText w:val="2"/>
      <w:numFmt w:val="bullet"/>
      <w:start w:val="1"/>
    </w:lvl>
  </w:abstractNum>
  <w:abstractNum w:abstractNumId="125">
    <w:nsid w:val="634C574C"/>
    <w:multiLevelType w:val="hybridMultilevel"/>
    <w:lvl w:ilvl="0">
      <w:lvlJc w:val="left"/>
      <w:lvlText w:val="3"/>
      <w:numFmt w:val="bullet"/>
      <w:start w:val="1"/>
    </w:lvl>
  </w:abstractNum>
  <w:abstractNum w:abstractNumId="126">
    <w:nsid w:val="24E99DD7"/>
    <w:multiLevelType w:val="hybridMultilevel"/>
    <w:lvl w:ilvl="0">
      <w:lvlJc w:val="left"/>
      <w:lvlText w:val="4"/>
      <w:numFmt w:val="bullet"/>
      <w:start w:val="1"/>
    </w:lvl>
  </w:abstractNum>
  <w:abstractNum w:abstractNumId="127">
    <w:nsid w:val="2A31B62D"/>
    <w:multiLevelType w:val="hybridMultilevel"/>
    <w:lvl w:ilvl="0">
      <w:lvlJc w:val="left"/>
      <w:lvlText w:val="5"/>
      <w:numFmt w:val="bullet"/>
      <w:start w:val="1"/>
    </w:lvl>
  </w:abstractNum>
  <w:abstractNum w:abstractNumId="128">
    <w:nsid w:val="1849C29B"/>
    <w:multiLevelType w:val="hybridMultilevel"/>
    <w:lvl w:ilvl="0">
      <w:lvlJc w:val="left"/>
      <w:lvlText w:val="•"/>
      <w:numFmt w:val="bullet"/>
      <w:start w:val="1"/>
    </w:lvl>
  </w:abstractNum>
  <w:abstractNum w:abstractNumId="129">
    <w:nsid w:val="7DFF9D09"/>
    <w:multiLevelType w:val="hybridMultilevel"/>
    <w:lvl w:ilvl="0">
      <w:lvlJc w:val="left"/>
      <w:lvlText w:val="1"/>
      <w:numFmt w:val="bullet"/>
      <w:start w:val="1"/>
    </w:lvl>
  </w:abstractNum>
  <w:abstractNum w:abstractNumId="130">
    <w:nsid w:val="754342"/>
    <w:multiLevelType w:val="hybridMultilevel"/>
    <w:lvl w:ilvl="0">
      <w:lvlJc w:val="left"/>
      <w:lvlText w:val="2"/>
      <w:numFmt w:val="bullet"/>
      <w:start w:val="1"/>
    </w:lvl>
  </w:abstractNum>
  <w:abstractNum w:abstractNumId="131">
    <w:nsid w:val="69E7F3E5"/>
    <w:multiLevelType w:val="hybridMultilevel"/>
    <w:lvl w:ilvl="0">
      <w:lvlJc w:val="left"/>
      <w:lvlText w:val="1"/>
      <w:numFmt w:val="bullet"/>
      <w:start w:val="1"/>
    </w:lvl>
  </w:abstractNum>
  <w:abstractNum w:abstractNumId="132">
    <w:nsid w:val="2A6DE806"/>
    <w:multiLevelType w:val="hybridMultilevel"/>
    <w:lvl w:ilvl="0">
      <w:lvlJc w:val="left"/>
      <w:lvlText w:val="2"/>
      <w:numFmt w:val="bullet"/>
      <w:start w:val="1"/>
    </w:lvl>
  </w:abstractNum>
  <w:abstractNum w:abstractNumId="133">
    <w:nsid w:val="1816F8C4"/>
    <w:multiLevelType w:val="hybridMultilevel"/>
    <w:lvl w:ilvl="0">
      <w:lvlJc w:val="left"/>
      <w:lvlText w:val="3"/>
      <w:numFmt w:val="bullet"/>
      <w:start w:val="1"/>
    </w:lvl>
  </w:abstractNum>
  <w:abstractNum w:abstractNumId="134">
    <w:nsid w:val="37DF2233"/>
    <w:multiLevelType w:val="hybridMultilevel"/>
    <w:lvl w:ilvl="0">
      <w:lvlJc w:val="left"/>
      <w:lvlText w:val="1"/>
      <w:numFmt w:val="bullet"/>
      <w:start w:val="1"/>
    </w:lvl>
  </w:abstractNum>
  <w:abstractNum w:abstractNumId="135">
    <w:nsid w:val="7AB49DAF"/>
    <w:multiLevelType w:val="hybridMultilevel"/>
    <w:lvl w:ilvl="0">
      <w:lvlJc w:val="left"/>
      <w:lvlText w:val="2"/>
      <w:numFmt w:val="bullet"/>
      <w:start w:val="1"/>
    </w:lvl>
  </w:abstractNum>
  <w:abstractNum w:abstractNumId="136">
    <w:nsid w:val="759F82CD"/>
    <w:multiLevelType w:val="hybridMultilevel"/>
    <w:lvl w:ilvl="0">
      <w:lvlJc w:val="left"/>
      <w:lvlText w:val="3"/>
      <w:numFmt w:val="bullet"/>
      <w:start w:val="1"/>
    </w:lvl>
  </w:abstractNum>
  <w:abstractNum w:abstractNumId="137">
    <w:nsid w:val="61E74EA3"/>
    <w:multiLevelType w:val="hybridMultilevel"/>
    <w:lvl w:ilvl="0">
      <w:lvlJc w:val="left"/>
      <w:lvlText w:val="4"/>
      <w:numFmt w:val="bullet"/>
      <w:start w:val="1"/>
    </w:lvl>
  </w:abstractNum>
  <w:abstractNum w:abstractNumId="138">
    <w:nsid w:val="597B4D84"/>
    <w:multiLevelType w:val="hybridMultilevel"/>
    <w:lvl w:ilvl="0">
      <w:lvlJc w:val="left"/>
      <w:lvlText w:val="5"/>
      <w:numFmt w:val="bullet"/>
      <w:start w:val="1"/>
    </w:lvl>
  </w:abstractNum>
  <w:abstractNum w:abstractNumId="139">
    <w:nsid w:val="F819E7F"/>
    <w:multiLevelType w:val="hybridMultilevel"/>
    <w:lvl w:ilvl="0">
      <w:lvlJc w:val="left"/>
      <w:lvlText w:val="6"/>
      <w:numFmt w:val="bullet"/>
      <w:start w:val="1"/>
    </w:lvl>
  </w:abstractNum>
  <w:abstractNum w:abstractNumId="140">
    <w:nsid w:val="57C7D42D"/>
    <w:multiLevelType w:val="hybridMultilevel"/>
    <w:lvl w:ilvl="0">
      <w:lvlJc w:val="left"/>
      <w:lvlText w:val="7"/>
      <w:numFmt w:val="bullet"/>
      <w:start w:val="1"/>
    </w:lvl>
  </w:abstractNum>
  <w:abstractNum w:abstractNumId="141">
    <w:nsid w:val="312167AD"/>
    <w:multiLevelType w:val="hybridMultilevel"/>
    <w:lvl w:ilvl="0">
      <w:lvlJc w:val="left"/>
      <w:lvlText w:val="8"/>
      <w:numFmt w:val="bullet"/>
      <w:start w:val="1"/>
    </w:lvl>
  </w:abstractNum>
  <w:abstractNum w:abstractNumId="142">
    <w:nsid w:val="631B64D4"/>
    <w:multiLevelType w:val="hybridMultilevel"/>
    <w:lvl w:ilvl="0">
      <w:lvlJc w:val="left"/>
      <w:lvlText w:val="9"/>
      <w:numFmt w:val="bullet"/>
      <w:start w:val="1"/>
    </w:lvl>
  </w:abstractNum>
  <w:abstractNum w:abstractNumId="143">
    <w:nsid w:val="78B5E776"/>
    <w:multiLevelType w:val="hybridMultilevel"/>
    <w:lvl w:ilvl="0">
      <w:lvlJc w:val="left"/>
      <w:lvlText w:val="%1"/>
      <w:numFmt w:val="decimal"/>
      <w:start w:val="10"/>
    </w:lvl>
  </w:abstractNum>
  <w:abstractNum w:abstractNumId="144">
    <w:nsid w:val="75486E47"/>
    <w:multiLevelType w:val="hybridMultilevel"/>
    <w:lvl w:ilvl="0">
      <w:lvlJc w:val="left"/>
      <w:lvlText w:val="%1"/>
      <w:numFmt w:val="decimal"/>
      <w:start w:val="12"/>
    </w:lvl>
  </w:abstractNum>
  <w:abstractNum w:abstractNumId="145">
    <w:nsid w:val="6E534CDE"/>
    <w:multiLevelType w:val="hybridMultilevel"/>
    <w:lvl w:ilvl="0">
      <w:lvlJc w:val="left"/>
      <w:lvlText w:val="1"/>
      <w:numFmt w:val="bullet"/>
      <w:start w:val="1"/>
    </w:lvl>
  </w:abstractNum>
  <w:abstractNum w:abstractNumId="146">
    <w:nsid w:val="1A0DDE32"/>
    <w:multiLevelType w:val="hybridMultilevel"/>
    <w:lvl w:ilvl="0">
      <w:lvlJc w:val="left"/>
      <w:lvlText w:val="•"/>
      <w:numFmt w:val="bullet"/>
      <w:start w:val="1"/>
    </w:lvl>
  </w:abstractNum>
  <w:abstractNum w:abstractNumId="147">
    <w:nsid w:val="65968C1C"/>
    <w:multiLevelType w:val="hybridMultilevel"/>
    <w:lvl w:ilvl="0">
      <w:lvlJc w:val="left"/>
      <w:lvlText w:val="•"/>
      <w:numFmt w:val="bullet"/>
      <w:start w:val="1"/>
    </w:lvl>
  </w:abstractNum>
  <w:abstractNum w:abstractNumId="148">
    <w:nsid w:val="46263DEC"/>
    <w:multiLevelType w:val="hybridMultilevel"/>
    <w:lvl w:ilvl="0">
      <w:lvlJc w:val="left"/>
      <w:lvlText w:val="•"/>
      <w:numFmt w:val="bullet"/>
      <w:start w:val="1"/>
    </w:lvl>
  </w:abstractNum>
  <w:abstractNum w:abstractNumId="149">
    <w:nsid w:val="260D8C4A"/>
    <w:multiLevelType w:val="hybridMultilevel"/>
    <w:lvl w:ilvl="0">
      <w:lvlJc w:val="left"/>
      <w:lvlText w:val="•"/>
      <w:numFmt w:val="bullet"/>
      <w:start w:val="1"/>
    </w:lvl>
  </w:abstractNum>
  <w:abstractNum w:abstractNumId="150">
    <w:nsid w:val="73D4D3C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jpe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jpe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jpeg"/><Relationship Id="rId478" Type="http://schemas.openxmlformats.org/officeDocument/2006/relationships/image" Target="media/image471.png"/><Relationship Id="rId479" Type="http://schemas.openxmlformats.org/officeDocument/2006/relationships/image" Target="media/image472.jpeg"/><Relationship Id="rId480" Type="http://schemas.openxmlformats.org/officeDocument/2006/relationships/image" Target="media/image473.png"/><Relationship Id="rId481" Type="http://schemas.openxmlformats.org/officeDocument/2006/relationships/image" Target="media/image474.jpeg"/><Relationship Id="rId482" Type="http://schemas.openxmlformats.org/officeDocument/2006/relationships/image" Target="media/image475.png"/><Relationship Id="rId483" Type="http://schemas.openxmlformats.org/officeDocument/2006/relationships/image" Target="media/image476.jpeg"/><Relationship Id="rId484" Type="http://schemas.openxmlformats.org/officeDocument/2006/relationships/image" Target="media/image477.jpeg"/><Relationship Id="rId485" Type="http://schemas.openxmlformats.org/officeDocument/2006/relationships/image" Target="media/image478.jpe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jpeg"/><Relationship Id="rId493" Type="http://schemas.openxmlformats.org/officeDocument/2006/relationships/image" Target="media/image486.png"/><Relationship Id="rId494" Type="http://schemas.openxmlformats.org/officeDocument/2006/relationships/image" Target="media/image487.jpeg"/><Relationship Id="rId495" Type="http://schemas.openxmlformats.org/officeDocument/2006/relationships/image" Target="media/image488.png"/><Relationship Id="rId496" Type="http://schemas.openxmlformats.org/officeDocument/2006/relationships/image" Target="media/image4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2024-03-18T13:40:00Z</dcterms:created>
  <dcterms:modified xsi:type="dcterms:W3CDTF">2024-03-18T13:40:00Z</dcterms:modified>
</cp:coreProperties>
</file>