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___________________________</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of the Securities Exchange Act of 1934</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9"/>
          <w:szCs w:val="19"/>
          <w:b w:val="1"/>
          <w:bCs w:val="1"/>
          <w:color w:val="auto"/>
        </w:rPr>
        <w:t>April 30, 2026</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T. Rowe Price Group,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4" w:lineRule="exact"/>
        <w:rPr>
          <w:sz w:val="24"/>
          <w:szCs w:val="24"/>
          <w:color w:val="auto"/>
        </w:rPr>
      </w:pPr>
    </w:p>
    <w:tbl>
      <w:tblPr>
        <w:tblLayout w:type="fixed"/>
        <w:tblInd w:w="2580" w:type="dxa"/>
        <w:tblCellMar>
          <w:top w:w="0" w:type="dxa"/>
          <w:left w:w="0" w:type="dxa"/>
          <w:bottom w:w="0" w:type="dxa"/>
          <w:right w:w="0" w:type="dxa"/>
        </w:tblCellMar>
      </w:tblPr>
      <w:tr>
        <w:trPr>
          <w:trHeight w:val="253"/>
        </w:trPr>
        <w:tc>
          <w:tcPr>
            <w:tcW w:w="60" w:type="dxa"/>
            <w:vAlign w:val="bottom"/>
          </w:tcPr>
          <w:p>
            <w:pPr>
              <w:spacing w:after="0"/>
              <w:rPr>
                <w:sz w:val="22"/>
                <w:szCs w:val="2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Maryland</w:t>
            </w:r>
          </w:p>
        </w:tc>
        <w:tc>
          <w:tcPr>
            <w:tcW w:w="980" w:type="dxa"/>
            <w:vAlign w:val="bottom"/>
          </w:tcPr>
          <w:p>
            <w:pPr>
              <w:spacing w:after="0"/>
              <w:rPr>
                <w:sz w:val="22"/>
                <w:szCs w:val="22"/>
                <w:color w:val="auto"/>
              </w:rPr>
            </w:pPr>
          </w:p>
        </w:tc>
        <w:tc>
          <w:tcPr>
            <w:tcW w:w="1900" w:type="dxa"/>
            <w:vAlign w:val="bottom"/>
            <w:gridSpan w:val="2"/>
          </w:tcPr>
          <w:p>
            <w:pPr>
              <w:jc w:val="center"/>
              <w:ind w:left="884"/>
              <w:spacing w:after="0"/>
              <w:rPr>
                <w:sz w:val="20"/>
                <w:szCs w:val="20"/>
                <w:color w:val="auto"/>
              </w:rPr>
            </w:pPr>
            <w:r>
              <w:rPr>
                <w:rFonts w:ascii="Times New Roman" w:cs="Times New Roman" w:eastAsia="Times New Roman" w:hAnsi="Times New Roman"/>
                <w:sz w:val="22"/>
                <w:szCs w:val="22"/>
                <w:b w:val="1"/>
                <w:bCs w:val="1"/>
                <w:color w:val="auto"/>
                <w:w w:val="96"/>
              </w:rPr>
              <w:t>000-32191</w:t>
            </w:r>
          </w:p>
        </w:tc>
        <w:tc>
          <w:tcPr>
            <w:tcW w:w="500" w:type="dxa"/>
            <w:vAlign w:val="bottom"/>
          </w:tcPr>
          <w:p>
            <w:pPr>
              <w:spacing w:after="0"/>
              <w:rPr>
                <w:sz w:val="22"/>
                <w:szCs w:val="22"/>
                <w:color w:val="auto"/>
              </w:rPr>
            </w:pPr>
          </w:p>
        </w:tc>
        <w:tc>
          <w:tcPr>
            <w:tcW w:w="2100" w:type="dxa"/>
            <w:vAlign w:val="bottom"/>
            <w:gridSpan w:val="3"/>
          </w:tcPr>
          <w:p>
            <w:pPr>
              <w:jc w:val="center"/>
              <w:ind w:left="964"/>
              <w:spacing w:after="0"/>
              <w:rPr>
                <w:sz w:val="20"/>
                <w:szCs w:val="20"/>
                <w:color w:val="auto"/>
              </w:rPr>
            </w:pPr>
            <w:r>
              <w:rPr>
                <w:rFonts w:ascii="Times New Roman" w:cs="Times New Roman" w:eastAsia="Times New Roman" w:hAnsi="Times New Roman"/>
                <w:sz w:val="22"/>
                <w:szCs w:val="22"/>
                <w:b w:val="1"/>
                <w:bCs w:val="1"/>
                <w:color w:val="auto"/>
                <w:w w:val="97"/>
              </w:rPr>
              <w:t>52-2264646</w:t>
            </w:r>
          </w:p>
        </w:tc>
        <w:tc>
          <w:tcPr>
            <w:tcW w:w="14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(State of</w:t>
            </w:r>
          </w:p>
        </w:tc>
        <w:tc>
          <w:tcPr>
            <w:tcW w:w="980" w:type="dxa"/>
            <w:vAlign w:val="bottom"/>
          </w:tcPr>
          <w:p>
            <w:pPr>
              <w:spacing w:after="0"/>
              <w:rPr>
                <w:sz w:val="19"/>
                <w:szCs w:val="19"/>
                <w:color w:val="auto"/>
              </w:rPr>
            </w:pPr>
          </w:p>
        </w:tc>
        <w:tc>
          <w:tcPr>
            <w:tcW w:w="2400" w:type="dxa"/>
            <w:vAlign w:val="bottom"/>
            <w:gridSpan w:val="3"/>
          </w:tcPr>
          <w:p>
            <w:pPr>
              <w:jc w:val="center"/>
              <w:ind w:left="344"/>
              <w:spacing w:after="0"/>
              <w:rPr>
                <w:sz w:val="20"/>
                <w:szCs w:val="20"/>
                <w:color w:val="auto"/>
              </w:rPr>
            </w:pPr>
            <w:r>
              <w:rPr>
                <w:rFonts w:ascii="Times New Roman" w:cs="Times New Roman" w:eastAsia="Times New Roman" w:hAnsi="Times New Roman"/>
                <w:sz w:val="18"/>
                <w:szCs w:val="18"/>
                <w:color w:val="auto"/>
                <w:w w:val="98"/>
              </w:rPr>
              <w:t>(Commission</w:t>
            </w:r>
          </w:p>
        </w:tc>
        <w:tc>
          <w:tcPr>
            <w:tcW w:w="98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9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9"/>
              </w:rPr>
              <w:t>incorporation)</w:t>
            </w:r>
          </w:p>
        </w:tc>
        <w:tc>
          <w:tcPr>
            <w:tcW w:w="2400" w:type="dxa"/>
            <w:vAlign w:val="bottom"/>
            <w:gridSpan w:val="3"/>
          </w:tcPr>
          <w:p>
            <w:pPr>
              <w:jc w:val="center"/>
              <w:ind w:left="384"/>
              <w:spacing w:after="0"/>
              <w:rPr>
                <w:sz w:val="20"/>
                <w:szCs w:val="20"/>
                <w:color w:val="auto"/>
              </w:rPr>
            </w:pPr>
            <w:r>
              <w:rPr>
                <w:rFonts w:ascii="Times New Roman" w:cs="Times New Roman" w:eastAsia="Times New Roman" w:hAnsi="Times New Roman"/>
                <w:sz w:val="18"/>
                <w:szCs w:val="18"/>
                <w:color w:val="auto"/>
                <w:w w:val="98"/>
              </w:rPr>
              <w:t>File Number)</w:t>
            </w:r>
          </w:p>
        </w:tc>
        <w:tc>
          <w:tcPr>
            <w:tcW w:w="2240" w:type="dxa"/>
            <w:vAlign w:val="bottom"/>
            <w:gridSpan w:val="4"/>
          </w:tcPr>
          <w:p>
            <w:pPr>
              <w:jc w:val="center"/>
              <w:ind w:left="80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3"/>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60" w:type="dxa"/>
            <w:vAlign w:val="bottom"/>
            <w:gridSpan w:val="9"/>
          </w:tcPr>
          <w:p>
            <w:pPr>
              <w:spacing w:after="0"/>
              <w:rPr>
                <w:sz w:val="20"/>
                <w:szCs w:val="20"/>
                <w:color w:val="auto"/>
              </w:rPr>
            </w:pPr>
            <w:r>
              <w:rPr>
                <w:rFonts w:ascii="Arial" w:cs="Arial" w:eastAsia="Arial" w:hAnsi="Arial"/>
                <w:sz w:val="22"/>
                <w:szCs w:val="22"/>
                <w:b w:val="1"/>
                <w:bCs w:val="1"/>
                <w:color w:val="auto"/>
              </w:rPr>
              <w:t>1307 Point Street, Baltimore, Maryland 21231</w:t>
            </w:r>
          </w:p>
        </w:tc>
      </w:tr>
      <w:tr>
        <w:trPr>
          <w:trHeight w:val="20"/>
        </w:trPr>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gridSpan w:val="5"/>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r>
      <w:tr>
        <w:trPr>
          <w:trHeight w:val="385"/>
        </w:trPr>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b w:val="1"/>
          <w:bCs w:val="1"/>
          <w:u w:val="single" w:color="auto"/>
          <w:color w:val="auto"/>
        </w:rPr>
        <w:t>(410) 345-2000</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of Former Address, if Changed Since Last Report)</w:t>
      </w:r>
    </w:p>
    <w:p>
      <w:pPr>
        <w:spacing w:after="0" w:line="234"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8" w:lineRule="exact"/>
        <w:rPr>
          <w:sz w:val="24"/>
          <w:szCs w:val="24"/>
          <w:color w:val="auto"/>
        </w:rPr>
      </w:pPr>
    </w:p>
    <w:tbl>
      <w:tblPr>
        <w:tblLayout w:type="fixed"/>
        <w:tblInd w:w="1300" w:type="dxa"/>
        <w:tblCellMar>
          <w:top w:w="0" w:type="dxa"/>
          <w:left w:w="0" w:type="dxa"/>
          <w:bottom w:w="0" w:type="dxa"/>
          <w:right w:w="0" w:type="dxa"/>
        </w:tblCellMar>
      </w:tblPr>
      <w:tr>
        <w:trPr>
          <w:trHeight w:val="247"/>
        </w:trPr>
        <w:tc>
          <w:tcPr>
            <w:tcW w:w="28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Title of each class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404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1"/>
        </w:trPr>
        <w:tc>
          <w:tcPr>
            <w:tcW w:w="2820" w:type="dxa"/>
            <w:vAlign w:val="bottom"/>
            <w:vMerge w:val="restart"/>
          </w:tcPr>
          <w:p>
            <w:pPr>
              <w:jc w:val="center"/>
              <w:ind w:right="150"/>
              <w:spacing w:after="0"/>
              <w:rPr>
                <w:sz w:val="20"/>
                <w:szCs w:val="20"/>
                <w:color w:val="auto"/>
              </w:rPr>
            </w:pPr>
            <w:r>
              <w:rPr>
                <w:rFonts w:ascii="Arial" w:cs="Arial" w:eastAsia="Arial" w:hAnsi="Arial"/>
                <w:sz w:val="18"/>
                <w:szCs w:val="18"/>
                <w:color w:val="auto"/>
              </w:rPr>
              <w:t>Common Stock, par value $0.20</w:t>
            </w:r>
          </w:p>
        </w:tc>
        <w:tc>
          <w:tcPr>
            <w:tcW w:w="1820" w:type="dxa"/>
            <w:vAlign w:val="bottom"/>
            <w:vMerge w:val="restart"/>
          </w:tcPr>
          <w:p>
            <w:pPr>
              <w:jc w:val="center"/>
              <w:spacing w:after="0"/>
              <w:rPr>
                <w:sz w:val="20"/>
                <w:szCs w:val="20"/>
                <w:color w:val="auto"/>
              </w:rPr>
            </w:pPr>
            <w:r>
              <w:rPr>
                <w:rFonts w:ascii="Arial" w:cs="Arial" w:eastAsia="Arial" w:hAnsi="Arial"/>
                <w:sz w:val="18"/>
                <w:szCs w:val="18"/>
                <w:color w:val="auto"/>
              </w:rPr>
              <w:t>TROW</w:t>
            </w:r>
          </w:p>
        </w:tc>
        <w:tc>
          <w:tcPr>
            <w:tcW w:w="4040" w:type="dxa"/>
            <w:vAlign w:val="bottom"/>
          </w:tcPr>
          <w:p>
            <w:pPr>
              <w:jc w:val="center"/>
              <w:ind w:left="150"/>
              <w:spacing w:after="0" w:line="190" w:lineRule="exact"/>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39"/>
        </w:trPr>
        <w:tc>
          <w:tcPr>
            <w:tcW w:w="28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4040" w:type="dxa"/>
            <w:vAlign w:val="bottom"/>
            <w:vMerge w:val="restart"/>
          </w:tcPr>
          <w:p>
            <w:pPr>
              <w:jc w:val="center"/>
              <w:ind w:left="170"/>
              <w:spacing w:after="0"/>
              <w:rPr>
                <w:sz w:val="20"/>
                <w:szCs w:val="20"/>
                <w:color w:val="auto"/>
              </w:rPr>
            </w:pPr>
            <w:r>
              <w:rPr>
                <w:rFonts w:ascii="Arial" w:cs="Arial" w:eastAsia="Arial" w:hAnsi="Arial"/>
                <w:sz w:val="18"/>
                <w:szCs w:val="18"/>
                <w:color w:val="auto"/>
                <w:w w:val="99"/>
              </w:rPr>
              <w:t>(Nasdaq Global Select Market)</w:t>
            </w:r>
          </w:p>
        </w:tc>
        <w:tc>
          <w:tcPr>
            <w:tcW w:w="0" w:type="dxa"/>
            <w:vAlign w:val="bottom"/>
          </w:tcPr>
          <w:p>
            <w:pPr>
              <w:spacing w:after="0"/>
              <w:rPr>
                <w:sz w:val="1"/>
                <w:szCs w:val="1"/>
                <w:color w:val="auto"/>
              </w:rPr>
            </w:pPr>
          </w:p>
        </w:tc>
      </w:tr>
      <w:tr>
        <w:trPr>
          <w:trHeight w:val="100"/>
        </w:trPr>
        <w:tc>
          <w:tcPr>
            <w:tcW w:w="2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4"/>
          <w:szCs w:val="24"/>
          <w:color w:val="auto"/>
        </w:rPr>
      </w:pPr>
    </w:p>
    <w:p>
      <w:pPr>
        <w:ind w:right="10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(§240.12-2 of this chapter).</w:t>
      </w:r>
    </w:p>
    <w:p>
      <w:pPr>
        <w:spacing w:after="0" w:line="1" w:lineRule="exact"/>
        <w:rPr>
          <w:sz w:val="24"/>
          <w:szCs w:val="24"/>
          <w:color w:val="auto"/>
        </w:rPr>
      </w:pPr>
    </w:p>
    <w:p>
      <w:pPr>
        <w:ind w:left="20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2 -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On April 30, 2026 we issued an earnings release reporting our results of operations for the three months ended March 31, 2026. A copy of this earnings release is attached hereto as Exhibit 99.1 and is incorporated by reference.</w:t>
      </w:r>
    </w:p>
    <w:p>
      <w:pPr>
        <w:spacing w:after="0" w:line="180"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information in this Current Report on Form 8-K and the Exhibit attached hereto shall not be deemed to be “filed” for the purposes of Section 18 of the Securities Exchange Act of 1934, as amended, nor shall it be deemed incorporated by reference in any filing under the Securities Act of 1933, except as shall be expressly set forth by specific reference in such filing.</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 Financial Statements and Exhibits.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99.1 Earnings Release dated April 30, 2026</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 Rowe Price Group, Inc.</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w:t>
      </w:r>
      <w:r>
        <w:rPr>
          <w:rFonts w:ascii="Times New Roman" w:cs="Times New Roman" w:eastAsia="Times New Roman" w:hAnsi="Times New Roman"/>
          <w:sz w:val="18"/>
          <w:szCs w:val="18"/>
          <w:u w:val="single" w:color="auto"/>
          <w:color w:val="auto"/>
        </w:rPr>
        <w:t>s</w:t>
      </w:r>
      <w:r>
        <w:rPr>
          <w:rFonts w:ascii="Arial" w:cs="Arial" w:eastAsia="Arial" w:hAnsi="Arial"/>
          <w:sz w:val="18"/>
          <w:szCs w:val="18"/>
          <w:u w:val="single" w:color="auto"/>
          <w:color w:val="auto"/>
        </w:rPr>
        <w:t>/ Jennifer B. Dardis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Jennifer B. Dardis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2026</w:t>
      </w:r>
    </w:p>
    <w:p>
      <w:pPr>
        <w:sectPr>
          <w:pgSz w:w="11900" w:h="16838" w:orient="portrait"/>
          <w:cols w:equalWidth="0" w:num="1">
            <w:col w:w="11200"/>
          </w:cols>
          <w:pgMar w:left="320" w:top="989"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279463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94635" cy="5486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FIRST QUARTER 2026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BALTIMORE (April 30, 2026) - T. Rowe Price Group, Inc. (NASDAQ-GS: TROW) today reported its results for the first quarter of 2026.</w:t>
      </w:r>
    </w:p>
    <w:p>
      <w:pPr>
        <w:spacing w:after="0" w:line="216"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b w:val="1"/>
          <w:bCs w:val="1"/>
          <w:color w:val="40AEFF"/>
        </w:rPr>
      </w:pPr>
      <w:r>
        <w:rPr>
          <w:rFonts w:ascii="Arial" w:cs="Arial" w:eastAsia="Arial" w:hAnsi="Arial"/>
          <w:sz w:val="16"/>
          <w:szCs w:val="16"/>
          <w:b w:val="1"/>
          <w:bCs w:val="1"/>
          <w:color w:val="auto"/>
        </w:rPr>
        <w:t>Assets under management (AUM) of $1.7 trillion</w:t>
      </w:r>
    </w:p>
    <w:p>
      <w:pPr>
        <w:spacing w:after="0" w:line="99" w:lineRule="exact"/>
        <w:rPr>
          <w:rFonts w:ascii="Arial" w:cs="Arial" w:eastAsia="Arial" w:hAnsi="Arial"/>
          <w:sz w:val="16"/>
          <w:szCs w:val="16"/>
          <w:b w:val="1"/>
          <w:b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Net client outflows of $13.7 billion</w:t>
      </w:r>
    </w:p>
    <w:p>
      <w:pPr>
        <w:spacing w:after="0" w:line="99" w:lineRule="exact"/>
        <w:rPr>
          <w:rFonts w:ascii="Arial" w:cs="Arial" w:eastAsia="Arial" w:hAnsi="Arial"/>
          <w:sz w:val="16"/>
          <w:szCs w:val="16"/>
          <w:b w:val="1"/>
          <w:bCs w:val="1"/>
          <w:i w:val="1"/>
          <w:i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Diluted earnings per common share (EPS) of $2.23</w:t>
      </w:r>
    </w:p>
    <w:p>
      <w:pPr>
        <w:spacing w:after="0" w:line="99" w:lineRule="exact"/>
        <w:rPr>
          <w:rFonts w:ascii="Arial" w:cs="Arial" w:eastAsia="Arial" w:hAnsi="Arial"/>
          <w:sz w:val="16"/>
          <w:szCs w:val="16"/>
          <w:b w:val="1"/>
          <w:bCs w:val="1"/>
          <w:i w:val="1"/>
          <w:i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i w:val="1"/>
          <w:iCs w:val="1"/>
          <w:color w:val="40AEFF"/>
        </w:rPr>
      </w:pPr>
      <w:r>
        <w:rPr>
          <w:rFonts w:ascii="Arial" w:cs="Arial" w:eastAsia="Arial" w:hAnsi="Arial"/>
          <w:sz w:val="16"/>
          <w:szCs w:val="16"/>
          <w:b w:val="1"/>
          <w:bCs w:val="1"/>
          <w:color w:val="auto"/>
        </w:rPr>
        <w:t>Adjusted diluted EPS of $2.52</w:t>
      </w:r>
    </w:p>
    <w:p>
      <w:pPr>
        <w:spacing w:after="0" w:line="126" w:lineRule="exact"/>
        <w:rPr>
          <w:rFonts w:ascii="Arial" w:cs="Arial" w:eastAsia="Arial" w:hAnsi="Arial"/>
          <w:sz w:val="16"/>
          <w:szCs w:val="16"/>
          <w:b w:val="1"/>
          <w:bCs w:val="1"/>
          <w:i w:val="1"/>
          <w:iCs w:val="1"/>
          <w:color w:val="40AEFF"/>
        </w:rPr>
      </w:pPr>
    </w:p>
    <w:p>
      <w:pPr>
        <w:ind w:left="640" w:hanging="308"/>
        <w:spacing w:after="0"/>
        <w:tabs>
          <w:tab w:leader="none" w:pos="640" w:val="left"/>
        </w:tabs>
        <w:numPr>
          <w:ilvl w:val="0"/>
          <w:numId w:val="2"/>
        </w:numPr>
        <w:rPr>
          <w:rFonts w:ascii="Arial" w:cs="Arial" w:eastAsia="Arial" w:hAnsi="Arial"/>
          <w:sz w:val="16"/>
          <w:szCs w:val="16"/>
          <w:b w:val="1"/>
          <w:bCs w:val="1"/>
          <w:color w:val="00CFEC"/>
        </w:rPr>
      </w:pPr>
      <w:r>
        <w:rPr>
          <w:rFonts w:ascii="Arial" w:cs="Arial" w:eastAsia="Arial" w:hAnsi="Arial"/>
          <w:sz w:val="16"/>
          <w:szCs w:val="16"/>
          <w:b w:val="1"/>
          <w:bCs w:val="1"/>
          <w:color w:val="auto"/>
        </w:rPr>
        <w:t>Returned $629 million to stockholders from the recurring quarterly dividend and stock repurchases</w:t>
      </w:r>
    </w:p>
    <w:p>
      <w:pPr>
        <w:spacing w:after="0" w:line="351" w:lineRule="exact"/>
        <w:rPr>
          <w:sz w:val="20"/>
          <w:szCs w:val="20"/>
          <w:color w:val="auto"/>
        </w:rPr>
      </w:pPr>
    </w:p>
    <w:p>
      <w:pPr>
        <w:ind w:right="80"/>
        <w:spacing w:after="0" w:line="378" w:lineRule="auto"/>
        <w:rPr>
          <w:sz w:val="20"/>
          <w:szCs w:val="20"/>
          <w:color w:val="auto"/>
        </w:rPr>
      </w:pPr>
      <w:r>
        <w:rPr>
          <w:rFonts w:ascii="Arial" w:cs="Arial" w:eastAsia="Arial" w:hAnsi="Arial"/>
          <w:sz w:val="18"/>
          <w:szCs w:val="18"/>
          <w:color w:val="auto"/>
        </w:rPr>
        <w:t>Rob Sharps, chair, CEO, and president, commented, “With the recent volatility and broadening of markets, our active management approach positions us to take advantage of the opportunities this climate brings. Our teams are advancing innovative strategies, new vehicles, and compelling solutions to meet the evolving needs of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140" w:type="dxa"/>
            <w:vAlign w:val="bottom"/>
            <w:tcBorders>
              <w:top w:val="single" w:sz="8" w:color="auto"/>
              <w:bottom w:val="single" w:sz="8" w:color="auto"/>
              <w:right w:val="single" w:sz="8" w:color="CCEEFF"/>
            </w:tcBorders>
            <w:gridSpan w:val="4"/>
            <w:shd w:val="clear" w:color="auto" w:fill="CCEEFF"/>
          </w:tcPr>
          <w:p>
            <w:pPr>
              <w:ind w:left="800"/>
              <w:spacing w:after="0"/>
              <w:rPr>
                <w:sz w:val="20"/>
                <w:szCs w:val="20"/>
                <w:color w:val="auto"/>
              </w:rPr>
            </w:pPr>
            <w:r>
              <w:rPr>
                <w:rFonts w:ascii="Arial" w:cs="Arial" w:eastAsia="Arial" w:hAnsi="Arial"/>
                <w:sz w:val="13"/>
                <w:szCs w:val="13"/>
                <w:color w:val="auto"/>
              </w:rPr>
              <w:t>Three months ended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217"/>
        </w:trPr>
        <w:tc>
          <w:tcPr>
            <w:tcW w:w="57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(in millions, except per-share data)</w:t>
            </w:r>
          </w:p>
        </w:tc>
        <w:tc>
          <w:tcPr>
            <w:tcW w:w="18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3"/>
                <w:szCs w:val="13"/>
                <w:color w:val="auto"/>
              </w:rPr>
              <w:t>3/31/2026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3"/>
              <w:spacing w:after="0"/>
              <w:rPr>
                <w:sz w:val="20"/>
                <w:szCs w:val="20"/>
                <w:color w:val="auto"/>
              </w:rPr>
            </w:pPr>
            <w:r>
              <w:rPr>
                <w:rFonts w:ascii="Arial" w:cs="Arial" w:eastAsia="Arial" w:hAnsi="Arial"/>
                <w:sz w:val="13"/>
                <w:szCs w:val="13"/>
                <w:color w:val="auto"/>
              </w:rPr>
              <w:t>3/31/2025</w:t>
            </w:r>
          </w:p>
        </w:tc>
        <w:tc>
          <w:tcPr>
            <w:tcW w:w="80" w:type="dxa"/>
            <w:vAlign w:val="bottom"/>
          </w:tcPr>
          <w:p>
            <w:pPr>
              <w:spacing w:after="0"/>
              <w:rPr>
                <w:sz w:val="18"/>
                <w:szCs w:val="18"/>
                <w:color w:val="auto"/>
              </w:rPr>
            </w:pPr>
          </w:p>
        </w:tc>
        <w:tc>
          <w:tcPr>
            <w:tcW w:w="1120" w:type="dxa"/>
            <w:vAlign w:val="bottom"/>
            <w:tcBorders>
              <w:right w:val="single" w:sz="8" w:color="auto"/>
            </w:tcBorders>
            <w:gridSpan w:val="2"/>
          </w:tcPr>
          <w:p>
            <w:pPr>
              <w:ind w:left="240"/>
              <w:spacing w:after="0" w:line="183" w:lineRule="exact"/>
              <w:rPr>
                <w:sz w:val="20"/>
                <w:szCs w:val="20"/>
                <w:color w:val="auto"/>
              </w:rPr>
            </w:pPr>
            <w:r>
              <w:rPr>
                <w:rFonts w:ascii="Arial" w:cs="Arial" w:eastAsia="Arial" w:hAnsi="Arial"/>
                <w:sz w:val="13"/>
                <w:szCs w:val="13"/>
                <w:color w:val="auto"/>
              </w:rPr>
              <w:t>Change</w:t>
            </w:r>
            <w:r>
              <w:rPr>
                <w:rFonts w:ascii="Arial" w:cs="Arial" w:eastAsia="Arial" w:hAnsi="Arial"/>
                <w:sz w:val="17"/>
                <w:szCs w:val="17"/>
                <w:color w:val="auto"/>
                <w:vertAlign w:val="superscript"/>
              </w:rPr>
              <w:t>(1)</w:t>
            </w:r>
          </w:p>
        </w:tc>
        <w:tc>
          <w:tcPr>
            <w:tcW w:w="120" w:type="dxa"/>
            <w:vAlign w:val="bottom"/>
          </w:tcPr>
          <w:p>
            <w:pPr>
              <w:spacing w:after="0"/>
              <w:rPr>
                <w:sz w:val="18"/>
                <w:szCs w:val="18"/>
                <w:color w:val="auto"/>
              </w:rPr>
            </w:pP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12/31/2025</w:t>
            </w:r>
          </w:p>
        </w:tc>
        <w:tc>
          <w:tcPr>
            <w:tcW w:w="80" w:type="dxa"/>
            <w:vAlign w:val="bottom"/>
          </w:tcPr>
          <w:p>
            <w:pPr>
              <w:spacing w:after="0"/>
              <w:rPr>
                <w:sz w:val="18"/>
                <w:szCs w:val="18"/>
                <w:color w:val="auto"/>
              </w:rPr>
            </w:pPr>
          </w:p>
        </w:tc>
        <w:tc>
          <w:tcPr>
            <w:tcW w:w="1040" w:type="dxa"/>
            <w:vAlign w:val="bottom"/>
            <w:tcBorders>
              <w:right w:val="single" w:sz="8" w:color="auto"/>
            </w:tcBorders>
          </w:tcPr>
          <w:p>
            <w:pPr>
              <w:jc w:val="right"/>
              <w:ind w:right="173"/>
              <w:spacing w:after="0" w:line="183" w:lineRule="exact"/>
              <w:rPr>
                <w:sz w:val="20"/>
                <w:szCs w:val="20"/>
                <w:color w:val="auto"/>
              </w:rPr>
            </w:pPr>
            <w:r>
              <w:rPr>
                <w:rFonts w:ascii="Arial" w:cs="Arial" w:eastAsia="Arial" w:hAnsi="Arial"/>
                <w:sz w:val="13"/>
                <w:szCs w:val="13"/>
                <w:color w:val="auto"/>
              </w:rPr>
              <w:t>Change</w:t>
            </w:r>
            <w:r>
              <w:rPr>
                <w:rFonts w:ascii="Arial" w:cs="Arial" w:eastAsia="Arial" w:hAnsi="Arial"/>
                <w:sz w:val="17"/>
                <w:szCs w:val="17"/>
                <w:color w:val="auto"/>
                <w:vertAlign w:val="superscript"/>
              </w:rPr>
              <w:t>(1)</w:t>
            </w:r>
          </w:p>
        </w:tc>
      </w:tr>
      <w:tr>
        <w:trPr>
          <w:trHeight w:val="148"/>
        </w:trPr>
        <w:tc>
          <w:tcPr>
            <w:tcW w:w="5700" w:type="dxa"/>
            <w:vAlign w:val="bottom"/>
            <w:tcBorders>
              <w:top w:val="single" w:sz="8" w:color="CCEEFF"/>
              <w:left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U.S. GAAP basis</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189"/>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Investment advisory fees</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1,598.4</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1,737.6</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89"/>
        </w:trPr>
        <w:tc>
          <w:tcPr>
            <w:tcW w:w="5700" w:type="dxa"/>
            <w:vAlign w:val="bottom"/>
            <w:tcBorders>
              <w:left w:val="single" w:sz="8" w:color="auto"/>
            </w:tcBorders>
            <w:gridSpan w:val="6"/>
          </w:tcPr>
          <w:p>
            <w:pPr>
              <w:ind w:left="40"/>
              <w:spacing w:after="0" w:line="189" w:lineRule="exact"/>
              <w:rPr>
                <w:sz w:val="20"/>
                <w:szCs w:val="20"/>
                <w:color w:val="auto"/>
              </w:rPr>
            </w:pPr>
            <w:r>
              <w:rPr>
                <w:rFonts w:ascii="Arial" w:cs="Arial" w:eastAsia="Arial" w:hAnsi="Arial"/>
                <w:sz w:val="13"/>
                <w:szCs w:val="13"/>
                <w:color w:val="auto"/>
              </w:rPr>
              <w:t>Capital allocation-based income</w:t>
            </w:r>
            <w:r>
              <w:rPr>
                <w:rFonts w:ascii="Arial" w:cs="Arial" w:eastAsia="Arial" w:hAnsi="Arial"/>
                <w:sz w:val="17"/>
                <w:szCs w:val="17"/>
                <w:color w:val="auto"/>
                <w:vertAlign w:val="superscript"/>
              </w:rPr>
              <w:t>(2)</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6"/>
                <w:szCs w:val="16"/>
                <w:color w:val="auto"/>
              </w:rPr>
            </w:pPr>
          </w:p>
        </w:tc>
        <w:tc>
          <w:tcPr>
            <w:tcW w:w="1120" w:type="dxa"/>
            <w:vAlign w:val="bottom"/>
            <w:tcBorders>
              <w:right w:val="single" w:sz="8" w:color="auto"/>
            </w:tcBorders>
            <w:gridSpan w:val="2"/>
          </w:tcPr>
          <w:p>
            <w:pPr>
              <w:ind w:left="760"/>
              <w:spacing w:after="0"/>
              <w:rPr>
                <w:sz w:val="20"/>
                <w:szCs w:val="20"/>
                <w:color w:val="auto"/>
              </w:rPr>
            </w:pPr>
            <w:r>
              <w:rPr>
                <w:rFonts w:ascii="Arial" w:cs="Arial" w:eastAsia="Arial" w:hAnsi="Arial"/>
                <w:sz w:val="13"/>
                <w:szCs w:val="13"/>
                <w:color w:val="auto"/>
              </w:rPr>
              <w:t>n/m</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40.8</w:t>
            </w:r>
          </w:p>
        </w:tc>
        <w:tc>
          <w:tcPr>
            <w:tcW w:w="80" w:type="dxa"/>
            <w:vAlign w:val="bottom"/>
          </w:tcPr>
          <w:p>
            <w:pPr>
              <w:spacing w:after="0"/>
              <w:rPr>
                <w:sz w:val="16"/>
                <w:szCs w:val="16"/>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n/m</w:t>
            </w:r>
          </w:p>
        </w:tc>
      </w:tr>
      <w:tr>
        <w:trPr>
          <w:trHeight w:val="189"/>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revenues</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1,763.9</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1,934.1</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83"/>
        </w:trPr>
        <w:tc>
          <w:tcPr>
            <w:tcW w:w="57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Operating expenses</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1,176.5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1,167.6</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0.8 %</w:t>
            </w:r>
          </w:p>
        </w:tc>
        <w:tc>
          <w:tcPr>
            <w:tcW w:w="120" w:type="dxa"/>
            <w:vAlign w:val="bottom"/>
            <w:tcBorders>
              <w:right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1,463.1</w:t>
            </w:r>
          </w:p>
        </w:tc>
        <w:tc>
          <w:tcPr>
            <w:tcW w:w="80" w:type="dxa"/>
            <w:vAlign w:val="bottom"/>
          </w:tcPr>
          <w:p>
            <w:pPr>
              <w:spacing w:after="0"/>
              <w:rPr>
                <w:sz w:val="15"/>
                <w:szCs w:val="15"/>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(19.6)%</w:t>
            </w:r>
          </w:p>
        </w:tc>
      </w:tr>
      <w:tr>
        <w:trPr>
          <w:trHeight w:val="195"/>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operating income</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596.3</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471.0</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44.5 %</w:t>
            </w:r>
          </w:p>
        </w:tc>
      </w:tr>
      <w:tr>
        <w:trPr>
          <w:trHeight w:val="183"/>
        </w:trPr>
        <w:tc>
          <w:tcPr>
            <w:tcW w:w="57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Non-operating income (loss)</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70.7</w:t>
            </w:r>
          </w:p>
        </w:tc>
        <w:tc>
          <w:tcPr>
            <w:tcW w:w="80" w:type="dxa"/>
            <w:vAlign w:val="bottom"/>
          </w:tcPr>
          <w:p>
            <w:pPr>
              <w:spacing w:after="0"/>
              <w:rPr>
                <w:sz w:val="15"/>
                <w:szCs w:val="15"/>
                <w:color w:val="auto"/>
              </w:rPr>
            </w:pPr>
          </w:p>
        </w:tc>
        <w:tc>
          <w:tcPr>
            <w:tcW w:w="1120" w:type="dxa"/>
            <w:vAlign w:val="bottom"/>
            <w:tcBorders>
              <w:right w:val="single" w:sz="8" w:color="auto"/>
            </w:tcBorders>
            <w:gridSpan w:val="2"/>
          </w:tcPr>
          <w:p>
            <w:pPr>
              <w:ind w:left="760"/>
              <w:spacing w:after="0"/>
              <w:rPr>
                <w:sz w:val="20"/>
                <w:szCs w:val="20"/>
                <w:color w:val="auto"/>
              </w:rPr>
            </w:pPr>
            <w:r>
              <w:rPr>
                <w:rFonts w:ascii="Arial" w:cs="Arial" w:eastAsia="Arial" w:hAnsi="Arial"/>
                <w:sz w:val="13"/>
                <w:szCs w:val="13"/>
                <w:color w:val="auto"/>
              </w:rPr>
              <w:t>n/m</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142.1</w:t>
            </w:r>
          </w:p>
        </w:tc>
        <w:tc>
          <w:tcPr>
            <w:tcW w:w="80" w:type="dxa"/>
            <w:vAlign w:val="bottom"/>
          </w:tcPr>
          <w:p>
            <w:pPr>
              <w:spacing w:after="0"/>
              <w:rPr>
                <w:sz w:val="15"/>
                <w:szCs w:val="15"/>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n/m</w:t>
            </w:r>
          </w:p>
        </w:tc>
      </w:tr>
      <w:tr>
        <w:trPr>
          <w:trHeight w:val="195"/>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income - T. Rowe Price Group, Inc.</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490.5</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445.3</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11.9 %</w:t>
            </w:r>
          </w:p>
        </w:tc>
      </w:tr>
      <w:tr>
        <w:trPr>
          <w:trHeight w:val="223"/>
        </w:trPr>
        <w:tc>
          <w:tcPr>
            <w:tcW w:w="5700" w:type="dxa"/>
            <w:vAlign w:val="bottom"/>
            <w:tcBorders>
              <w:left w:val="single" w:sz="8" w:color="auto"/>
              <w:bottom w:val="single" w:sz="8" w:color="CCEEFF"/>
            </w:tcBorders>
            <w:gridSpan w:val="6"/>
          </w:tcPr>
          <w:p>
            <w:pPr>
              <w:ind w:left="40"/>
              <w:spacing w:after="0"/>
              <w:rPr>
                <w:sz w:val="20"/>
                <w:szCs w:val="20"/>
                <w:color w:val="auto"/>
              </w:rPr>
            </w:pPr>
            <w:r>
              <w:rPr>
                <w:rFonts w:ascii="Arial" w:cs="Arial" w:eastAsia="Arial" w:hAnsi="Arial"/>
                <w:sz w:val="13"/>
                <w:szCs w:val="13"/>
                <w:color w:val="auto"/>
              </w:rPr>
              <w:t>Diluted earnings per common share</w:t>
            </w:r>
          </w:p>
        </w:tc>
        <w:tc>
          <w:tcPr>
            <w:tcW w:w="18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2.15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3.7 %</w:t>
            </w:r>
          </w:p>
        </w:tc>
        <w:tc>
          <w:tcPr>
            <w:tcW w:w="12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1.99</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3"/>
                <w:szCs w:val="13"/>
                <w:color w:val="auto"/>
              </w:rPr>
              <w:t>12.1 %</w:t>
            </w:r>
          </w:p>
        </w:tc>
      </w:tr>
      <w:tr>
        <w:trPr>
          <w:trHeight w:val="148"/>
        </w:trPr>
        <w:tc>
          <w:tcPr>
            <w:tcW w:w="5700" w:type="dxa"/>
            <w:vAlign w:val="bottom"/>
            <w:tcBorders>
              <w:left w:val="single" w:sz="8" w:color="auto"/>
            </w:tcBorders>
            <w:gridSpan w:val="6"/>
          </w:tcPr>
          <w:p>
            <w:pPr>
              <w:ind w:left="40"/>
              <w:spacing w:after="0" w:line="149" w:lineRule="exact"/>
              <w:rPr>
                <w:sz w:val="20"/>
                <w:szCs w:val="20"/>
                <w:color w:val="auto"/>
              </w:rPr>
            </w:pPr>
            <w:r>
              <w:rPr>
                <w:rFonts w:ascii="Arial" w:cs="Arial" w:eastAsia="Arial" w:hAnsi="Arial"/>
                <w:sz w:val="13"/>
                <w:szCs w:val="13"/>
                <w:b w:val="1"/>
                <w:bCs w:val="1"/>
                <w:color w:val="auto"/>
              </w:rPr>
              <w:t>Adjusted basis</w:t>
            </w:r>
            <w:r>
              <w:rPr>
                <w:rFonts w:ascii="Arial" w:cs="Arial" w:eastAsia="Arial" w:hAnsi="Arial"/>
                <w:sz w:val="17"/>
                <w:szCs w:val="17"/>
                <w:b w:val="1"/>
                <w:bCs w:val="1"/>
                <w:color w:val="auto"/>
                <w:vertAlign w:val="superscript"/>
              </w:rPr>
              <w:t>(3)</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189"/>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Operating expenses</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1,135.1</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1,249.8</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83"/>
        </w:trPr>
        <w:tc>
          <w:tcPr>
            <w:tcW w:w="57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Operating expenses, excluding accrued carried interest related compensation</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1,142.3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1,131.2</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1.0 %</w:t>
            </w:r>
          </w:p>
        </w:tc>
        <w:tc>
          <w:tcPr>
            <w:tcW w:w="120" w:type="dxa"/>
            <w:vAlign w:val="bottom"/>
            <w:tcBorders>
              <w:right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1,231.1</w:t>
            </w:r>
          </w:p>
        </w:tc>
        <w:tc>
          <w:tcPr>
            <w:tcW w:w="80" w:type="dxa"/>
            <w:vAlign w:val="bottom"/>
          </w:tcPr>
          <w:p>
            <w:pPr>
              <w:spacing w:after="0"/>
              <w:rPr>
                <w:sz w:val="15"/>
                <w:szCs w:val="15"/>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(7.2)%</w:t>
            </w:r>
          </w:p>
        </w:tc>
      </w:tr>
      <w:tr>
        <w:trPr>
          <w:trHeight w:val="195"/>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operating income</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640.6</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691.7</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r>
      <w:tr>
        <w:trPr>
          <w:trHeight w:val="183"/>
        </w:trPr>
        <w:tc>
          <w:tcPr>
            <w:tcW w:w="57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Non-operating income (loss)</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Borders>
              <w:right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44.7</w:t>
            </w:r>
          </w:p>
        </w:tc>
        <w:tc>
          <w:tcPr>
            <w:tcW w:w="80" w:type="dxa"/>
            <w:vAlign w:val="bottom"/>
          </w:tcPr>
          <w:p>
            <w:pPr>
              <w:spacing w:after="0"/>
              <w:rPr>
                <w:sz w:val="15"/>
                <w:szCs w:val="15"/>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(30.9)%</w:t>
            </w:r>
          </w:p>
        </w:tc>
      </w:tr>
      <w:tr>
        <w:trPr>
          <w:trHeight w:val="195"/>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Net income - T. Rowe Price Group, Inc.</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509.3</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547.1</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2.7 %</w:t>
            </w:r>
          </w:p>
        </w:tc>
      </w:tr>
      <w:tr>
        <w:trPr>
          <w:trHeight w:val="223"/>
        </w:trPr>
        <w:tc>
          <w:tcPr>
            <w:tcW w:w="5700" w:type="dxa"/>
            <w:vAlign w:val="bottom"/>
            <w:tcBorders>
              <w:left w:val="single" w:sz="8" w:color="auto"/>
              <w:bottom w:val="single" w:sz="8" w:color="CCEEFF"/>
            </w:tcBorders>
            <w:gridSpan w:val="6"/>
          </w:tcPr>
          <w:p>
            <w:pPr>
              <w:ind w:left="40"/>
              <w:spacing w:after="0"/>
              <w:rPr>
                <w:sz w:val="20"/>
                <w:szCs w:val="20"/>
                <w:color w:val="auto"/>
              </w:rPr>
            </w:pPr>
            <w:r>
              <w:rPr>
                <w:rFonts w:ascii="Arial" w:cs="Arial" w:eastAsia="Arial" w:hAnsi="Arial"/>
                <w:sz w:val="13"/>
                <w:szCs w:val="13"/>
                <w:color w:val="auto"/>
              </w:rPr>
              <w:t>Diluted earnings per common share</w:t>
            </w:r>
          </w:p>
        </w:tc>
        <w:tc>
          <w:tcPr>
            <w:tcW w:w="18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2.23</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13.0 %</w:t>
            </w:r>
          </w:p>
        </w:tc>
        <w:tc>
          <w:tcPr>
            <w:tcW w:w="12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2.44</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3"/>
                <w:szCs w:val="13"/>
                <w:color w:val="auto"/>
              </w:rPr>
              <w:t>3.3 %</w:t>
            </w:r>
          </w:p>
        </w:tc>
      </w:tr>
      <w:tr>
        <w:trPr>
          <w:trHeight w:val="149"/>
        </w:trPr>
        <w:tc>
          <w:tcPr>
            <w:tcW w:w="5700" w:type="dxa"/>
            <w:vAlign w:val="bottom"/>
            <w:tcBorders>
              <w:left w:val="single" w:sz="8" w:color="auto"/>
            </w:tcBorders>
            <w:gridSpan w:val="6"/>
          </w:tcPr>
          <w:p>
            <w:pPr>
              <w:ind w:left="40"/>
              <w:spacing w:after="0" w:line="149" w:lineRule="exact"/>
              <w:rPr>
                <w:sz w:val="20"/>
                <w:szCs w:val="20"/>
                <w:color w:val="auto"/>
              </w:rPr>
            </w:pPr>
            <w:r>
              <w:rPr>
                <w:rFonts w:ascii="Arial" w:cs="Arial" w:eastAsia="Arial" w:hAnsi="Arial"/>
                <w:sz w:val="13"/>
                <w:szCs w:val="13"/>
                <w:b w:val="1"/>
                <w:bCs w:val="1"/>
                <w:color w:val="auto"/>
              </w:rPr>
              <w:t xml:space="preserve">Assets under management </w:t>
            </w:r>
            <w:r>
              <w:rPr>
                <w:rFonts w:ascii="Arial" w:cs="Arial" w:eastAsia="Arial" w:hAnsi="Arial"/>
                <w:sz w:val="13"/>
                <w:szCs w:val="13"/>
                <w:color w:val="auto"/>
              </w:rPr>
              <w:t>(in billions)</w:t>
            </w:r>
            <w:r>
              <w:rPr>
                <w:rFonts w:ascii="Arial" w:cs="Arial" w:eastAsia="Arial" w:hAnsi="Arial"/>
                <w:sz w:val="17"/>
                <w:szCs w:val="17"/>
                <w:color w:val="auto"/>
                <w:vertAlign w:val="superscript"/>
              </w:rPr>
              <w:t>(4)</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189"/>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Average assets under management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1,620.3</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1,774.8</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0.1 %</w:t>
            </w:r>
          </w:p>
        </w:tc>
      </w:tr>
      <w:tr>
        <w:trPr>
          <w:trHeight w:val="223"/>
        </w:trPr>
        <w:tc>
          <w:tcPr>
            <w:tcW w:w="5700" w:type="dxa"/>
            <w:vAlign w:val="bottom"/>
            <w:tcBorders>
              <w:left w:val="single" w:sz="8" w:color="auto"/>
              <w:bottom w:val="single" w:sz="8" w:color="CCEEFF"/>
            </w:tcBorders>
            <w:gridSpan w:val="6"/>
          </w:tcPr>
          <w:p>
            <w:pPr>
              <w:ind w:left="40"/>
              <w:spacing w:after="0"/>
              <w:rPr>
                <w:sz w:val="20"/>
                <w:szCs w:val="20"/>
                <w:color w:val="auto"/>
              </w:rPr>
            </w:pPr>
            <w:r>
              <w:rPr>
                <w:rFonts w:ascii="Arial" w:cs="Arial" w:eastAsia="Arial" w:hAnsi="Arial"/>
                <w:sz w:val="13"/>
                <w:szCs w:val="13"/>
                <w:color w:val="auto"/>
              </w:rPr>
              <w:t>Ending assets under management</w:t>
            </w:r>
          </w:p>
        </w:tc>
        <w:tc>
          <w:tcPr>
            <w:tcW w:w="18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1,709.7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1,566.3</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9.2 %</w:t>
            </w:r>
          </w:p>
        </w:tc>
        <w:tc>
          <w:tcPr>
            <w:tcW w:w="12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tcPr>
          <w:p>
            <w:pPr>
              <w:jc w:val="right"/>
              <w:ind w:right="13"/>
              <w:spacing w:after="0"/>
              <w:rPr>
                <w:sz w:val="20"/>
                <w:szCs w:val="20"/>
                <w:color w:val="auto"/>
              </w:rPr>
            </w:pPr>
            <w:r>
              <w:rPr>
                <w:rFonts w:ascii="Arial" w:cs="Arial" w:eastAsia="Arial" w:hAnsi="Arial"/>
                <w:sz w:val="13"/>
                <w:szCs w:val="13"/>
                <w:color w:val="auto"/>
              </w:rPr>
              <w:t>1,775.6</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right w:val="single" w:sz="8" w:color="auto"/>
            </w:tcBorders>
          </w:tcPr>
          <w:p>
            <w:pPr>
              <w:jc w:val="right"/>
              <w:spacing w:after="0"/>
              <w:rPr>
                <w:sz w:val="20"/>
                <w:szCs w:val="20"/>
                <w:color w:val="auto"/>
              </w:rPr>
            </w:pPr>
            <w:r>
              <w:rPr>
                <w:rFonts w:ascii="Arial" w:cs="Arial" w:eastAsia="Arial" w:hAnsi="Arial"/>
                <w:sz w:val="13"/>
                <w:szCs w:val="13"/>
                <w:color w:val="auto"/>
              </w:rPr>
              <w:t>(3.7)%</w:t>
            </w:r>
          </w:p>
        </w:tc>
      </w:tr>
      <w:tr>
        <w:trPr>
          <w:trHeight w:val="149"/>
        </w:trPr>
        <w:tc>
          <w:tcPr>
            <w:tcW w:w="57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 xml:space="preserve">Investment advisory annualized effective fee rate (EFR) </w:t>
            </w:r>
            <w:r>
              <w:rPr>
                <w:rFonts w:ascii="Arial" w:cs="Arial" w:eastAsia="Arial" w:hAnsi="Arial"/>
                <w:sz w:val="13"/>
                <w:szCs w:val="13"/>
                <w:color w:val="auto"/>
              </w:rPr>
              <w:t>(in bps)</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189"/>
        </w:trPr>
        <w:tc>
          <w:tcPr>
            <w:tcW w:w="5700" w:type="dxa"/>
            <w:vAlign w:val="bottom"/>
            <w:tcBorders>
              <w:left w:val="single" w:sz="8" w:color="auto"/>
            </w:tcBorders>
            <w:gridSpan w:val="6"/>
            <w:shd w:val="clear" w:color="auto" w:fill="CCEEFF"/>
          </w:tcPr>
          <w:p>
            <w:pPr>
              <w:ind w:left="40"/>
              <w:spacing w:after="0"/>
              <w:rPr>
                <w:sz w:val="20"/>
                <w:szCs w:val="20"/>
                <w:color w:val="auto"/>
              </w:rPr>
            </w:pPr>
            <w:r>
              <w:rPr>
                <w:rFonts w:ascii="Arial" w:cs="Arial" w:eastAsia="Arial" w:hAnsi="Arial"/>
                <w:sz w:val="13"/>
                <w:szCs w:val="13"/>
                <w:color w:val="auto"/>
              </w:rPr>
              <w:t>EFR without performance-based fees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(1.6)</w:t>
            </w: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(0.4)</w:t>
            </w:r>
          </w:p>
        </w:tc>
      </w:tr>
      <w:tr>
        <w:trPr>
          <w:trHeight w:val="196"/>
        </w:trPr>
        <w:tc>
          <w:tcPr>
            <w:tcW w:w="5700" w:type="dxa"/>
            <w:vAlign w:val="bottom"/>
            <w:tcBorders>
              <w:left w:val="single" w:sz="8" w:color="auto"/>
              <w:bottom w:val="single" w:sz="8" w:color="auto"/>
            </w:tcBorders>
            <w:gridSpan w:val="6"/>
          </w:tcPr>
          <w:p>
            <w:pPr>
              <w:ind w:left="40"/>
              <w:spacing w:after="0"/>
              <w:rPr>
                <w:sz w:val="20"/>
                <w:szCs w:val="20"/>
                <w:color w:val="auto"/>
              </w:rPr>
            </w:pPr>
            <w:r>
              <w:rPr>
                <w:rFonts w:ascii="Arial" w:cs="Arial" w:eastAsia="Arial" w:hAnsi="Arial"/>
                <w:sz w:val="13"/>
                <w:szCs w:val="13"/>
                <w:color w:val="auto"/>
              </w:rPr>
              <w:t>EFR with performance-based fees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40.3</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39.2</w:t>
            </w: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113"/>
              <w:spacing w:after="0"/>
              <w:rPr>
                <w:sz w:val="20"/>
                <w:szCs w:val="20"/>
                <w:color w:val="auto"/>
              </w:rPr>
            </w:pPr>
            <w:r>
              <w:rPr>
                <w:rFonts w:ascii="Arial" w:cs="Arial" w:eastAsia="Arial" w:hAnsi="Arial"/>
                <w:sz w:val="13"/>
                <w:szCs w:val="13"/>
                <w:color w:val="auto"/>
              </w:rPr>
              <w:t>(0.6)</w:t>
            </w:r>
          </w:p>
        </w:tc>
      </w:tr>
    </w:tbl>
    <w:p>
      <w:pPr>
        <w:spacing w:after="0" w:line="65" w:lineRule="exact"/>
        <w:rPr>
          <w:sz w:val="20"/>
          <w:szCs w:val="20"/>
          <w:color w:val="auto"/>
        </w:rPr>
      </w:pPr>
    </w:p>
    <w:p>
      <w:pPr>
        <w:ind w:left="180" w:right="60" w:hanging="172"/>
        <w:spacing w:after="0" w:line="241" w:lineRule="auto"/>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 xml:space="preserve">n/m - the percentage change is not meaningful. </w:t>
      </w: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 xml:space="preserve"> Capital allocation-based income represents the change in accrued carried interest. </w:t>
      </w:r>
      <w:r>
        <w:rPr>
          <w:rFonts w:ascii="Arial" w:cs="Arial" w:eastAsia="Arial" w:hAnsi="Arial"/>
          <w:sz w:val="16"/>
          <w:szCs w:val="16"/>
          <w:i w:val="1"/>
          <w:iCs w:val="1"/>
          <w:color w:val="auto"/>
          <w:vertAlign w:val="superscript"/>
        </w:rPr>
        <w:t>(3)</w:t>
      </w:r>
      <w:r>
        <w:rPr>
          <w:rFonts w:ascii="Arial" w:cs="Arial" w:eastAsia="Arial" w:hAnsi="Arial"/>
          <w:sz w:val="13"/>
          <w:szCs w:val="13"/>
          <w:i w:val="1"/>
          <w:iCs w:val="1"/>
          <w:color w:val="auto"/>
        </w:rPr>
        <w:t xml:space="preserve"> See the reconciliation to the comparable U.S. GAAP measures at the end of this earnings release. </w:t>
      </w:r>
      <w:r>
        <w:rPr>
          <w:rFonts w:ascii="Arial" w:cs="Arial" w:eastAsia="Arial" w:hAnsi="Arial"/>
          <w:sz w:val="16"/>
          <w:szCs w:val="16"/>
          <w:i w:val="1"/>
          <w:iCs w:val="1"/>
          <w:color w:val="auto"/>
          <w:vertAlign w:val="superscript"/>
        </w:rPr>
        <w:t>(4)</w:t>
      </w:r>
      <w:r>
        <w:rPr>
          <w:rFonts w:ascii="Arial" w:cs="Arial" w:eastAsia="Arial" w:hAnsi="Arial"/>
          <w:sz w:val="13"/>
          <w:szCs w:val="13"/>
          <w:i w:val="1"/>
          <w:iCs w:val="1"/>
          <w:color w:val="auto"/>
        </w:rPr>
        <w:t xml:space="preserve"> Beginning July 1, 2025, managed account - model delivery assets are included in assets under management.</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320" w:top="1440"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Assets Under Management</w:t>
      </w:r>
      <w:r>
        <w:rPr>
          <w:rFonts w:ascii="Arial" w:cs="Arial" w:eastAsia="Arial" w:hAnsi="Arial"/>
          <w:sz w:val="23"/>
          <w:szCs w:val="23"/>
          <w:b w:val="1"/>
          <w:bCs w:val="1"/>
          <w:color w:val="auto"/>
          <w:vertAlign w:val="superscript"/>
        </w:rPr>
        <w:t>(1)</w:t>
      </w:r>
    </w:p>
    <w:p>
      <w:pPr>
        <w:spacing w:after="0" w:line="54" w:lineRule="exact"/>
        <w:rPr>
          <w:sz w:val="20"/>
          <w:szCs w:val="20"/>
          <w:color w:val="auto"/>
        </w:rPr>
      </w:pPr>
    </w:p>
    <w:p>
      <w:pPr>
        <w:ind w:right="100"/>
        <w:spacing w:after="0" w:line="392" w:lineRule="auto"/>
        <w:rPr>
          <w:sz w:val="20"/>
          <w:szCs w:val="20"/>
          <w:color w:val="auto"/>
        </w:rPr>
      </w:pPr>
      <w:r>
        <w:rPr>
          <w:rFonts w:ascii="Arial" w:cs="Arial" w:eastAsia="Arial" w:hAnsi="Arial"/>
          <w:sz w:val="18"/>
          <w:szCs w:val="18"/>
          <w:color w:val="auto"/>
        </w:rPr>
        <w:t>During Q1 2026, assets under management (AUM) decreased $65.9 billion to $1.7 trillion. The components of the change in AUM, by asset class, are shown in the table below.</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7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780" w:type="dxa"/>
            <w:vAlign w:val="bottom"/>
            <w:tcBorders>
              <w:bottom w:val="single" w:sz="8" w:color="auto"/>
            </w:tcBorders>
            <w:gridSpan w:val="8"/>
            <w:shd w:val="clear" w:color="auto" w:fill="CCEEFF"/>
          </w:tcPr>
          <w:p>
            <w:pPr>
              <w:jc w:val="center"/>
              <w:ind w:right="240"/>
              <w:spacing w:after="0"/>
              <w:rPr>
                <w:sz w:val="20"/>
                <w:szCs w:val="20"/>
                <w:color w:val="auto"/>
              </w:rPr>
            </w:pPr>
            <w:r>
              <w:rPr>
                <w:rFonts w:ascii="Arial" w:cs="Arial" w:eastAsia="Arial" w:hAnsi="Arial"/>
                <w:sz w:val="14"/>
                <w:szCs w:val="14"/>
                <w:color w:val="auto"/>
              </w:rPr>
              <w:t>Three months ended 3/31/2026</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7" w:lineRule="exact"/>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color w:val="auto"/>
              </w:rPr>
              <w:t>Equity</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including money</w:t>
            </w:r>
          </w:p>
        </w:tc>
        <w:tc>
          <w:tcPr>
            <w:tcW w:w="14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Multi-asset</w:t>
            </w:r>
            <w:r>
              <w:rPr>
                <w:rFonts w:ascii="Arial" w:cs="Arial" w:eastAsia="Arial" w:hAnsi="Arial"/>
                <w:sz w:val="9"/>
                <w:szCs w:val="9"/>
                <w:color w:val="auto"/>
              </w:rPr>
              <w:t>(2)</w:t>
            </w:r>
          </w:p>
        </w:tc>
        <w:tc>
          <w:tcPr>
            <w:tcW w:w="12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color w:val="auto"/>
              </w:rPr>
              <w:t>Alternatives</w:t>
            </w:r>
            <w:r>
              <w:rPr>
                <w:rFonts w:ascii="Arial" w:cs="Arial" w:eastAsia="Arial" w:hAnsi="Arial"/>
                <w:sz w:val="9"/>
                <w:szCs w:val="9"/>
                <w:color w:val="auto"/>
              </w:rPr>
              <w:t>(3)</w:t>
            </w:r>
          </w:p>
        </w:tc>
        <w:tc>
          <w:tcPr>
            <w:tcW w:w="260" w:type="dxa"/>
            <w:vAlign w:val="bottom"/>
          </w:tcPr>
          <w:p>
            <w:pPr>
              <w:spacing w:after="0"/>
              <w:rPr>
                <w:sz w:val="12"/>
                <w:szCs w:val="12"/>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rPr>
              <w:t>market</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management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1,775.6</w:t>
            </w:r>
          </w:p>
        </w:tc>
        <w:tc>
          <w:tcPr>
            <w:tcW w:w="0" w:type="dxa"/>
            <w:vAlign w:val="bottom"/>
          </w:tcPr>
          <w:p>
            <w:pPr>
              <w:spacing w:after="0"/>
              <w:rPr>
                <w:sz w:val="1"/>
                <w:szCs w:val="1"/>
                <w:color w:val="auto"/>
              </w:rPr>
            </w:pPr>
          </w:p>
        </w:tc>
      </w:tr>
      <w:tr>
        <w:trPr>
          <w:trHeight w:val="75"/>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flows prior to manager-driven distributions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Manager-driven distributions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Net market appreciation (depreciation) and income</w:t>
            </w:r>
            <w:r>
              <w:rPr>
                <w:rFonts w:ascii="Arial" w:cs="Arial" w:eastAsia="Arial" w:hAnsi="Arial"/>
                <w:sz w:val="21"/>
                <w:szCs w:val="21"/>
                <w:color w:val="auto"/>
                <w:vertAlign w:val="superscript"/>
              </w:rPr>
              <w:t>(4)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during the period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Assets under management at March 31, 2026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214.6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fee earning assets in which T. Rowe Price and its affiliates have full discretionary authority along with managed account - model delivery assets.</w:t>
      </w:r>
    </w:p>
    <w:p>
      <w:pPr>
        <w:ind w:left="220" w:hanging="212"/>
        <w:spacing w:after="0" w:line="193" w:lineRule="auto"/>
        <w:tabs>
          <w:tab w:leader="none" w:pos="22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AUM of the multi-asset portfolios have been aggregated and presented in this category and not reported in the equity and fixed income columns.</w:t>
      </w:r>
    </w:p>
    <w:p>
      <w:pPr>
        <w:ind w:left="180" w:right="140" w:hanging="172"/>
        <w:spacing w:after="0" w:line="230"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private equity or that have absolute return as its investment objective. Generally, only those strategies with longer than daily liquidity are included. Unfunded capital commitments were $20.9 billion at March 31, 2026 and $21.6 billion as of December 31, 2025, and are not reflected in fee basis AUM above.</w:t>
      </w:r>
    </w:p>
    <w:p>
      <w:pPr>
        <w:spacing w:after="0" w:line="1" w:lineRule="exact"/>
        <w:rPr>
          <w:rFonts w:ascii="Arial" w:cs="Arial" w:eastAsia="Arial" w:hAnsi="Arial"/>
          <w:sz w:val="16"/>
          <w:szCs w:val="16"/>
          <w:i w:val="1"/>
          <w:iCs w:val="1"/>
          <w:color w:val="auto"/>
          <w:vertAlign w:val="superscript"/>
        </w:rPr>
      </w:pPr>
    </w:p>
    <w:p>
      <w:pPr>
        <w:ind w:left="140" w:hanging="132"/>
        <w:spacing w:after="0" w:line="200"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of $0.6 billion.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Investors domiciled outside the United States accounted for 8.6% of the firm's AUM at March 31, 2026, and 8.8% at December 31, 2025.</w:t>
      </w:r>
    </w:p>
    <w:p>
      <w:pPr>
        <w:spacing w:after="0" w:line="347" w:lineRule="exact"/>
        <w:rPr>
          <w:sz w:val="20"/>
          <w:szCs w:val="20"/>
          <w:color w:val="auto"/>
        </w:rPr>
      </w:pPr>
    </w:p>
    <w:p>
      <w:pPr>
        <w:ind w:right="120"/>
        <w:spacing w:after="0" w:line="386" w:lineRule="auto"/>
        <w:rPr>
          <w:sz w:val="20"/>
          <w:szCs w:val="20"/>
          <w:color w:val="auto"/>
        </w:rPr>
      </w:pPr>
      <w:r>
        <w:rPr>
          <w:rFonts w:ascii="Arial" w:cs="Arial" w:eastAsia="Arial" w:hAnsi="Arial"/>
          <w:sz w:val="18"/>
          <w:szCs w:val="18"/>
          <w:color w:val="auto"/>
        </w:rPr>
        <w:t>The firm provides participant accounting and plan administration for retirement plans that primarily invest in the firm's U.S. mutual funds, collective investment trusts, and funds managed outside of the firm's complex. As of March 31, 2026, the firm's assets under administration were $314 billion, of which $176 billion were assets the firm manages.</w:t>
      </w:r>
    </w:p>
    <w:p>
      <w:pPr>
        <w:spacing w:after="0" w:line="189" w:lineRule="exact"/>
        <w:rPr>
          <w:sz w:val="20"/>
          <w:szCs w:val="20"/>
          <w:color w:val="auto"/>
        </w:rPr>
      </w:pPr>
    </w:p>
    <w:p>
      <w:pPr>
        <w:ind w:right="40"/>
        <w:spacing w:after="0" w:line="378" w:lineRule="auto"/>
        <w:rPr>
          <w:sz w:val="20"/>
          <w:szCs w:val="20"/>
          <w:color w:val="auto"/>
        </w:rPr>
      </w:pPr>
      <w:r>
        <w:rPr>
          <w:rFonts w:ascii="Arial" w:cs="Arial" w:eastAsia="Arial" w:hAnsi="Arial"/>
          <w:sz w:val="18"/>
          <w:szCs w:val="18"/>
          <w:color w:val="auto"/>
        </w:rPr>
        <w:t>The firm's multi-asset investment division provides advisory solutions including investment insights, strategic asset allocation design, tactical asset allocation recommendations, and portfolio rebalancing services. The assets in these portfolios, predominantly in the United States, were $27.8 billion at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061"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Results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740" w:type="dxa"/>
            <w:vAlign w:val="bottom"/>
            <w:tcBorders>
              <w:top w:val="single" w:sz="8" w:color="auto"/>
              <w:left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righ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3/31/2026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3/31/2025</w:t>
            </w:r>
          </w:p>
        </w:tc>
        <w:tc>
          <w:tcPr>
            <w:tcW w:w="100" w:type="dxa"/>
            <w:vAlign w:val="bottom"/>
          </w:tcPr>
          <w:p>
            <w:pPr>
              <w:spacing w:after="0"/>
              <w:rPr>
                <w:sz w:val="15"/>
                <w:szCs w:val="15"/>
                <w:color w:val="auto"/>
              </w:rPr>
            </w:pPr>
          </w:p>
        </w:tc>
        <w:tc>
          <w:tcPr>
            <w:tcW w:w="1380" w:type="dxa"/>
            <w:vAlign w:val="bottom"/>
            <w:tcBorders>
              <w:right w:val="single" w:sz="8" w:color="auto"/>
            </w:tcBorders>
            <w:gridSpan w:val="2"/>
          </w:tcPr>
          <w:p>
            <w:pPr>
              <w:ind w:left="380"/>
              <w:spacing w:after="0"/>
              <w:rPr>
                <w:sz w:val="20"/>
                <w:szCs w:val="20"/>
                <w:color w:val="auto"/>
              </w:rPr>
            </w:pPr>
            <w:r>
              <w:rPr>
                <w:rFonts w:ascii="Arial" w:cs="Arial" w:eastAsia="Arial" w:hAnsi="Arial"/>
                <w:sz w:val="14"/>
                <w:szCs w:val="14"/>
                <w:color w:val="auto"/>
              </w:rPr>
              <w:t>Change</w:t>
            </w:r>
          </w:p>
        </w:tc>
        <w:tc>
          <w:tcPr>
            <w:tcW w:w="160" w:type="dxa"/>
            <w:vAlign w:val="bottom"/>
          </w:tcPr>
          <w:p>
            <w:pPr>
              <w:spacing w:after="0"/>
              <w:rPr>
                <w:sz w:val="15"/>
                <w:szCs w:val="15"/>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12/31/2025</w:t>
            </w:r>
          </w:p>
        </w:tc>
        <w:tc>
          <w:tcPr>
            <w:tcW w:w="100" w:type="dxa"/>
            <w:vAlign w:val="bottom"/>
          </w:tcPr>
          <w:p>
            <w:pPr>
              <w:spacing w:after="0"/>
              <w:rPr>
                <w:sz w:val="15"/>
                <w:szCs w:val="15"/>
                <w:color w:val="auto"/>
              </w:rPr>
            </w:pPr>
          </w:p>
        </w:tc>
        <w:tc>
          <w:tcPr>
            <w:tcW w:w="132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7"/>
        </w:trPr>
        <w:tc>
          <w:tcPr>
            <w:tcW w:w="4740" w:type="dxa"/>
            <w:vAlign w:val="bottom"/>
            <w:tcBorders>
              <w:top w:val="single" w:sz="8" w:color="CCEEFF"/>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Investment advisory fees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4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974.7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959.2</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right w:val="single" w:sz="8" w:color="auto"/>
            </w:tcBorders>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1,029.1</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7"/>
        </w:trPr>
        <w:tc>
          <w:tcPr>
            <w:tcW w:w="47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8"/>
        </w:trPr>
        <w:tc>
          <w:tcPr>
            <w:tcW w:w="474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Multi-asset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454.7</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507.9</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0.2 %</w:t>
            </w:r>
          </w:p>
        </w:tc>
        <w:tc>
          <w:tcPr>
            <w:tcW w:w="0" w:type="dxa"/>
            <w:vAlign w:val="bottom"/>
          </w:tcPr>
          <w:p>
            <w:pPr>
              <w:spacing w:after="0"/>
              <w:rPr>
                <w:sz w:val="1"/>
                <w:szCs w:val="1"/>
                <w:color w:val="auto"/>
              </w:rPr>
            </w:pPr>
          </w:p>
        </w:tc>
      </w:tr>
      <w:tr>
        <w:trPr>
          <w:trHeight w:val="207"/>
        </w:trPr>
        <w:tc>
          <w:tcPr>
            <w:tcW w:w="47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Alternatives</w:t>
            </w: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92"/>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Total investment advisory fees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1,598.4</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1,737.6</w:t>
            </w:r>
          </w:p>
        </w:tc>
        <w:tc>
          <w:tcPr>
            <w:tcW w:w="100" w:type="dxa"/>
            <w:vAlign w:val="bottom"/>
          </w:tcPr>
          <w:p>
            <w:pPr>
              <w:spacing w:after="0"/>
              <w:rPr>
                <w:sz w:val="16"/>
                <w:szCs w:val="16"/>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7"/>
        </w:trPr>
        <w:tc>
          <w:tcPr>
            <w:tcW w:w="4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Performance-based advisory fees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03"/>
        </w:trPr>
        <w:tc>
          <w:tcPr>
            <w:tcW w:w="474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4"/>
                <w:szCs w:val="14"/>
                <w:color w:val="auto"/>
              </w:rPr>
              <w:t>Capital allocation-based income</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380" w:type="dxa"/>
            <w:vAlign w:val="bottom"/>
            <w:tcBorders>
              <w:right w:val="single" w:sz="8" w:color="auto"/>
            </w:tcBorders>
            <w:gridSpan w:val="2"/>
          </w:tcPr>
          <w:p>
            <w:pPr>
              <w:ind w:left="1020"/>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4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Administrative, distribution, servicing, and other fees</w:t>
            </w: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0"/>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Net revenues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1,763.9</w:t>
            </w: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Borders>
              <w:right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1,934.1</w:t>
            </w:r>
          </w:p>
        </w:tc>
        <w:tc>
          <w:tcPr>
            <w:tcW w:w="1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4740" w:type="dxa"/>
            <w:vAlign w:val="bottom"/>
            <w:tcBorders>
              <w:left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lef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Average AUM (in billions):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826.3</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886.1</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9"/>
        </w:trPr>
        <w:tc>
          <w:tcPr>
            <w:tcW w:w="474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Fixed income, including money market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191.6</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11.5 %</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06"/>
        </w:trPr>
        <w:tc>
          <w:tcPr>
            <w:tcW w:w="474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Multi-asset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549.7</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621.9</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99"/>
        </w:trPr>
        <w:tc>
          <w:tcPr>
            <w:tcW w:w="4740" w:type="dxa"/>
            <w:vAlign w:val="bottom"/>
            <w:tcBorders>
              <w:left w:val="single" w:sz="8" w:color="auto"/>
              <w:bottom w:val="single" w:sz="8" w:color="CCEEFF"/>
            </w:tcBorders>
          </w:tcPr>
          <w:p>
            <w:pPr>
              <w:ind w:left="120"/>
              <w:spacing w:after="0"/>
              <w:rPr>
                <w:sz w:val="20"/>
                <w:szCs w:val="20"/>
                <w:color w:val="auto"/>
              </w:rPr>
            </w:pPr>
            <w:r>
              <w:rPr>
                <w:rFonts w:ascii="Arial" w:cs="Arial" w:eastAsia="Arial" w:hAnsi="Arial"/>
                <w:sz w:val="14"/>
                <w:szCs w:val="14"/>
                <w:color w:val="auto"/>
              </w:rPr>
              <w:t>Alternatives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12.1 %</w:t>
            </w:r>
          </w:p>
        </w:tc>
        <w:tc>
          <w:tcPr>
            <w:tcW w:w="10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225"/>
        </w:trPr>
        <w:tc>
          <w:tcPr>
            <w:tcW w:w="47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Average AUM</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1,620.3</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1,774.8</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61"/>
        </w:trPr>
        <w:tc>
          <w:tcPr>
            <w:tcW w:w="4740" w:type="dxa"/>
            <w:vAlign w:val="bottom"/>
            <w:tcBorders>
              <w:top w:val="single" w:sz="8" w:color="CCEEFF"/>
              <w:left w:val="single" w:sz="8" w:color="auto"/>
            </w:tcBorders>
          </w:tcPr>
          <w:p>
            <w:pPr>
              <w:spacing w:after="0"/>
              <w:rPr>
                <w:sz w:val="5"/>
                <w:szCs w:val="5"/>
                <w:color w:val="auto"/>
              </w:rPr>
            </w:pPr>
          </w:p>
        </w:tc>
        <w:tc>
          <w:tcPr>
            <w:tcW w:w="180" w:type="dxa"/>
            <w:vAlign w:val="bottom"/>
            <w:tcBorders>
              <w:top w:val="single" w:sz="8" w:color="CCEEFF"/>
              <w:bottom w:val="single" w:sz="8" w:color="auto"/>
            </w:tcBorders>
          </w:tcPr>
          <w:p>
            <w:pPr>
              <w:spacing w:after="0"/>
              <w:rPr>
                <w:sz w:val="5"/>
                <w:szCs w:val="5"/>
                <w:color w:val="auto"/>
              </w:rPr>
            </w:pPr>
          </w:p>
        </w:tc>
        <w:tc>
          <w:tcPr>
            <w:tcW w:w="980" w:type="dxa"/>
            <w:vAlign w:val="bottom"/>
            <w:tcBorders>
              <w:top w:val="single" w:sz="8" w:color="CCEEFF"/>
              <w:bottom w:val="single" w:sz="8" w:color="auto"/>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80" w:type="dxa"/>
            <w:vAlign w:val="bottom"/>
            <w:tcBorders>
              <w:top w:val="single" w:sz="8" w:color="CCEEFF"/>
              <w:bottom w:val="single" w:sz="8" w:color="auto"/>
            </w:tcBorders>
          </w:tcPr>
          <w:p>
            <w:pPr>
              <w:spacing w:after="0"/>
              <w:rPr>
                <w:sz w:val="5"/>
                <w:szCs w:val="5"/>
                <w:color w:val="auto"/>
              </w:rPr>
            </w:pPr>
          </w:p>
        </w:tc>
        <w:tc>
          <w:tcPr>
            <w:tcW w:w="1000" w:type="dxa"/>
            <w:vAlign w:val="bottom"/>
            <w:tcBorders>
              <w:top w:val="single" w:sz="8" w:color="CCEEFF"/>
              <w:bottom w:val="single" w:sz="8" w:color="auto"/>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280" w:type="dxa"/>
            <w:vAlign w:val="bottom"/>
            <w:tcBorders>
              <w:top w:val="single" w:sz="8" w:color="CCEEFF"/>
              <w:bottom w:val="single" w:sz="8" w:color="auto"/>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60" w:type="dxa"/>
            <w:vAlign w:val="bottom"/>
            <w:tcBorders>
              <w:top w:val="single" w:sz="8" w:color="CCEEFF"/>
              <w:bottom w:val="single" w:sz="8" w:color="auto"/>
            </w:tcBorders>
          </w:tcPr>
          <w:p>
            <w:pPr>
              <w:spacing w:after="0"/>
              <w:rPr>
                <w:sz w:val="5"/>
                <w:szCs w:val="5"/>
                <w:color w:val="auto"/>
              </w:rPr>
            </w:pPr>
          </w:p>
        </w:tc>
        <w:tc>
          <w:tcPr>
            <w:tcW w:w="1020" w:type="dxa"/>
            <w:vAlign w:val="bottom"/>
            <w:tcBorders>
              <w:top w:val="single" w:sz="8" w:color="CCEEFF"/>
              <w:bottom w:val="single" w:sz="8" w:color="auto"/>
            </w:tcBorders>
          </w:tcPr>
          <w:p>
            <w:pPr>
              <w:spacing w:after="0"/>
              <w:rPr>
                <w:sz w:val="5"/>
                <w:szCs w:val="5"/>
                <w:color w:val="auto"/>
              </w:rPr>
            </w:pPr>
          </w:p>
        </w:tc>
        <w:tc>
          <w:tcPr>
            <w:tcW w:w="100" w:type="dxa"/>
            <w:vAlign w:val="bottom"/>
            <w:tcBorders>
              <w:top w:val="single" w:sz="8" w:color="CCEEFF"/>
            </w:tcBorders>
          </w:tcPr>
          <w:p>
            <w:pPr>
              <w:spacing w:after="0"/>
              <w:rPr>
                <w:sz w:val="5"/>
                <w:szCs w:val="5"/>
                <w:color w:val="auto"/>
              </w:rPr>
            </w:pPr>
          </w:p>
        </w:tc>
        <w:tc>
          <w:tcPr>
            <w:tcW w:w="1320" w:type="dxa"/>
            <w:vAlign w:val="bottom"/>
            <w:tcBorders>
              <w:top w:val="single" w:sz="8" w:color="CCEEFF"/>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Investment advisory annualized effective fee rate (bps)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54"/>
        </w:trPr>
        <w:tc>
          <w:tcPr>
            <w:tcW w:w="4740" w:type="dxa"/>
            <w:vAlign w:val="bottom"/>
            <w:tcBorders>
              <w:lef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740" w:type="dxa"/>
            <w:vAlign w:val="bottom"/>
            <w:tcBorders>
              <w:left w:val="single" w:sz="8" w:color="auto"/>
            </w:tcBorders>
            <w:shd w:val="clear" w:color="auto" w:fill="CCEEFF"/>
          </w:tcPr>
          <w:p>
            <w:pPr>
              <w:ind w:left="40"/>
              <w:spacing w:after="0" w:line="153" w:lineRule="exact"/>
              <w:rPr>
                <w:sz w:val="20"/>
                <w:szCs w:val="20"/>
                <w:color w:val="auto"/>
              </w:rPr>
            </w:pPr>
            <w:r>
              <w:rPr>
                <w:rFonts w:ascii="Arial" w:cs="Arial" w:eastAsia="Arial" w:hAnsi="Arial"/>
                <w:sz w:val="14"/>
                <w:szCs w:val="14"/>
                <w:color w:val="auto"/>
              </w:rPr>
              <w:t>Investment advisory annualized effective fee rate, including performance-</w:t>
            </w: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tcBorders>
              <w:right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3"/>
                <w:szCs w:val="13"/>
                <w:color w:val="auto"/>
              </w:rPr>
            </w:pPr>
          </w:p>
        </w:tc>
        <w:tc>
          <w:tcPr>
            <w:tcW w:w="132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5"/>
        </w:trPr>
        <w:tc>
          <w:tcPr>
            <w:tcW w:w="47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based fees (bps)</w:t>
            </w:r>
          </w:p>
        </w:tc>
        <w:tc>
          <w:tcPr>
            <w:tcW w:w="1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740" w:type="dxa"/>
            <w:vAlign w:val="bottom"/>
            <w:tcBorders>
              <w:left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Capital allocation-based income represents the change in accrued carried interest. The percentage change is not meaningful (n/m).</w:t>
      </w:r>
    </w:p>
    <w:p>
      <w:pPr>
        <w:spacing w:after="0" w:line="306" w:lineRule="exact"/>
        <w:rPr>
          <w:sz w:val="20"/>
          <w:szCs w:val="20"/>
          <w:color w:val="auto"/>
        </w:rPr>
      </w:pPr>
    </w:p>
    <w:p>
      <w:pPr>
        <w:jc w:val="both"/>
        <w:ind w:right="120"/>
        <w:spacing w:after="0" w:line="378"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in Q1 2026 were nearly $1.9 billion, an increase of 5.3% from Q1 2025 and a decrease of 4.0% from Q4 2025. Performance-based fees earned in Q1 2026 and Q4 2025 were primarily in alternatives strategies, while Q1 2025 was across both alternatives and equity strategies.</w:t>
      </w:r>
    </w:p>
    <w:p>
      <w:pPr>
        <w:spacing w:after="0" w:line="237" w:lineRule="exact"/>
        <w:rPr>
          <w:sz w:val="20"/>
          <w:szCs w:val="20"/>
          <w:color w:val="auto"/>
        </w:rPr>
      </w:pPr>
    </w:p>
    <w:p>
      <w:pPr>
        <w:ind w:left="660" w:right="20" w:hanging="328"/>
        <w:spacing w:after="0" w:line="361" w:lineRule="auto"/>
        <w:tabs>
          <w:tab w:leader="none" w:pos="656" w:val="left"/>
        </w:tabs>
        <w:numPr>
          <w:ilvl w:val="0"/>
          <w:numId w:val="6"/>
        </w:numPr>
        <w:rPr>
          <w:rFonts w:ascii="Arial" w:cs="Arial" w:eastAsia="Arial" w:hAnsi="Arial"/>
          <w:sz w:val="22"/>
          <w:szCs w:val="22"/>
          <w:b w:val="1"/>
          <w:bCs w:val="1"/>
          <w:i w:val="1"/>
          <w:iCs w:val="1"/>
          <w:color w:val="40AEFF"/>
        </w:rPr>
      </w:pPr>
      <w:r>
        <w:rPr>
          <w:rFonts w:ascii="Arial" w:cs="Arial" w:eastAsia="Arial" w:hAnsi="Arial"/>
          <w:sz w:val="18"/>
          <w:szCs w:val="18"/>
          <w:color w:val="auto"/>
        </w:rPr>
        <w:t>The investment advisory annualized effective fee rate, excluding performance-based fees, of 38.4 basis points in Q1 2026 decreased from 40.0 basis points earned in Q1 2025 and 38.8 basis points earned in Q4 2025. In comparison to prior periods, client flows and transfers drove a mix shift in assets under management toward lower fee products and asset classes, partially offset by market appreciation.</w:t>
      </w:r>
    </w:p>
    <w:p>
      <w:pPr>
        <w:spacing w:after="0" w:line="251" w:lineRule="exact"/>
        <w:rPr>
          <w:rFonts w:ascii="Arial" w:cs="Arial" w:eastAsia="Arial" w:hAnsi="Arial"/>
          <w:sz w:val="22"/>
          <w:szCs w:val="22"/>
          <w:b w:val="1"/>
          <w:bCs w:val="1"/>
          <w:i w:val="1"/>
          <w:iCs w:val="1"/>
          <w:color w:val="40AEFF"/>
        </w:rPr>
      </w:pPr>
    </w:p>
    <w:p>
      <w:pPr>
        <w:ind w:left="660" w:right="160" w:hanging="328"/>
        <w:spacing w:after="0" w:line="356" w:lineRule="auto"/>
        <w:tabs>
          <w:tab w:leader="none" w:pos="656" w:val="left"/>
        </w:tabs>
        <w:numPr>
          <w:ilvl w:val="0"/>
          <w:numId w:val="6"/>
        </w:numPr>
        <w:rPr>
          <w:rFonts w:ascii="Arial" w:cs="Arial" w:eastAsia="Arial" w:hAnsi="Arial"/>
          <w:sz w:val="22"/>
          <w:szCs w:val="22"/>
          <w:color w:val="00CFEC"/>
        </w:rPr>
      </w:pPr>
      <w:r>
        <w:rPr>
          <w:rFonts w:ascii="Arial" w:cs="Arial" w:eastAsia="Arial" w:hAnsi="Arial"/>
          <w:sz w:val="18"/>
          <w:szCs w:val="18"/>
          <w:color w:val="auto"/>
        </w:rPr>
        <w:t>Administrative, distribution, servicing, and other fees in Q1 2026 were $138.4 million, a decrease of $17.9 million from Q1 2025 and $3.1 million from Q4 2025. The decrease from Q1 2025 primarily reflects the reporting change implemented in Q3 2025, in which revenue earned from managed account - model delivery assets and certain other advisory services began being reported within investment advisory fees, as well as the timing of cost reimbursements from the firm's U.S. mutual funds.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012" w:right="319" w:bottom="1440" w:gutter="0" w:footer="0" w:header="0"/>
        </w:sectPr>
      </w:pPr>
    </w:p>
    <w:bookmarkStart w:id="5" w:name="page6"/>
    <w:bookmarkEnd w:id="5"/>
    <w:p>
      <w:pPr>
        <w:ind w:left="660" w:hanging="328"/>
        <w:spacing w:after="0"/>
        <w:tabs>
          <w:tab w:leader="none" w:pos="660" w:val="left"/>
        </w:tabs>
        <w:numPr>
          <w:ilvl w:val="0"/>
          <w:numId w:val="7"/>
        </w:numPr>
        <w:rPr>
          <w:rFonts w:ascii="Arial" w:cs="Arial" w:eastAsia="Arial" w:hAnsi="Arial"/>
          <w:sz w:val="22"/>
          <w:szCs w:val="22"/>
          <w:b w:val="1"/>
          <w:bCs w:val="1"/>
          <w:i w:val="1"/>
          <w:iCs w:val="1"/>
          <w:color w:val="40AEFF"/>
        </w:rPr>
      </w:pPr>
      <w:r>
        <w:rPr>
          <w:rFonts w:ascii="Arial" w:cs="Arial" w:eastAsia="Arial" w:hAnsi="Arial"/>
          <w:sz w:val="18"/>
          <w:szCs w:val="18"/>
          <w:color w:val="auto"/>
        </w:rPr>
        <w:t>Capital allocation-based income impacted net revenues as follows:</w:t>
      </w:r>
    </w:p>
    <w:p>
      <w:pPr>
        <w:spacing w:after="0" w:line="70" w:lineRule="exact"/>
        <w:rPr>
          <w:sz w:val="20"/>
          <w:szCs w:val="20"/>
          <w:color w:val="auto"/>
        </w:rPr>
      </w:pPr>
    </w:p>
    <w:tbl>
      <w:tblPr>
        <w:tblLayout w:type="fixed"/>
        <w:tblInd w:w="670" w:type="dxa"/>
        <w:tblCellMar>
          <w:top w:w="0" w:type="dxa"/>
          <w:left w:w="0" w:type="dxa"/>
          <w:bottom w:w="0" w:type="dxa"/>
          <w:right w:w="0" w:type="dxa"/>
        </w:tblCellMar>
      </w:tblPr>
      <w:tr>
        <w:trPr>
          <w:trHeight w:val="212"/>
        </w:trPr>
        <w:tc>
          <w:tcPr>
            <w:tcW w:w="4620" w:type="dxa"/>
            <w:vAlign w:val="bottom"/>
            <w:tcBorders>
              <w:top w:val="single" w:sz="8" w:color="auto"/>
              <w:left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26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196"/>
        </w:trPr>
        <w:tc>
          <w:tcPr>
            <w:tcW w:w="46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7"/>
                <w:szCs w:val="17"/>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3/31/2026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3/31/2025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12/31/2025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Change</w:t>
            </w:r>
          </w:p>
        </w:tc>
      </w:tr>
      <w:tr>
        <w:trPr>
          <w:trHeight w:val="200"/>
        </w:trPr>
        <w:tc>
          <w:tcPr>
            <w:tcW w:w="4620" w:type="dxa"/>
            <w:vAlign w:val="bottom"/>
            <w:tcBorders>
              <w:top w:val="single" w:sz="8" w:color="CCEEFF"/>
              <w:lef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Change in accrued carried interest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98"/>
        </w:trPr>
        <w:tc>
          <w:tcPr>
            <w:tcW w:w="462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4"/>
                <w:szCs w:val="14"/>
                <w:color w:val="auto"/>
              </w:rPr>
              <w:t>Acquisition-related amortization and impairments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r>
      <w:tr>
        <w:trPr>
          <w:trHeight w:val="225"/>
        </w:trPr>
        <w:tc>
          <w:tcPr>
            <w:tcW w:w="462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 allocation-based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95"/>
        </w:trPr>
        <w:tc>
          <w:tcPr>
            <w:tcW w:w="4620" w:type="dxa"/>
            <w:vAlign w:val="bottom"/>
            <w:tcBorders>
              <w:top w:val="single" w:sz="8" w:color="CCEEFF"/>
              <w:left w:val="single" w:sz="8" w:color="auto"/>
              <w:bottom w:val="single" w:sz="8" w:color="auto"/>
            </w:tcBorders>
          </w:tcPr>
          <w:p>
            <w:pPr>
              <w:spacing w:after="0"/>
              <w:rPr>
                <w:sz w:val="8"/>
                <w:szCs w:val="8"/>
                <w:color w:val="auto"/>
              </w:rPr>
            </w:pPr>
          </w:p>
        </w:tc>
        <w:tc>
          <w:tcPr>
            <w:tcW w:w="160" w:type="dxa"/>
            <w:vAlign w:val="bottom"/>
            <w:tcBorders>
              <w:top w:val="single" w:sz="8" w:color="CCEEFF"/>
              <w:bottom w:val="single" w:sz="8" w:color="auto"/>
            </w:tcBorders>
          </w:tcPr>
          <w:p>
            <w:pPr>
              <w:spacing w:after="0"/>
              <w:rPr>
                <w:sz w:val="8"/>
                <w:szCs w:val="8"/>
                <w:color w:val="auto"/>
              </w:rPr>
            </w:pPr>
          </w:p>
        </w:tc>
        <w:tc>
          <w:tcPr>
            <w:tcW w:w="920" w:type="dxa"/>
            <w:vAlign w:val="bottom"/>
            <w:tcBorders>
              <w:top w:val="single" w:sz="8" w:color="CCEEFF"/>
              <w:bottom w:val="single" w:sz="8" w:color="auto"/>
            </w:tcBorders>
          </w:tcPr>
          <w:p>
            <w:pPr>
              <w:spacing w:after="0"/>
              <w:rPr>
                <w:sz w:val="8"/>
                <w:szCs w:val="8"/>
                <w:color w:val="auto"/>
              </w:rPr>
            </w:pPr>
          </w:p>
        </w:tc>
        <w:tc>
          <w:tcPr>
            <w:tcW w:w="100" w:type="dxa"/>
            <w:vAlign w:val="bottom"/>
            <w:tcBorders>
              <w:top w:val="single" w:sz="8" w:color="CCEEFF"/>
              <w:bottom w:val="single" w:sz="8" w:color="auto"/>
            </w:tcBorders>
          </w:tcPr>
          <w:p>
            <w:pPr>
              <w:spacing w:after="0"/>
              <w:rPr>
                <w:sz w:val="8"/>
                <w:szCs w:val="8"/>
                <w:color w:val="auto"/>
              </w:rPr>
            </w:pPr>
          </w:p>
        </w:tc>
        <w:tc>
          <w:tcPr>
            <w:tcW w:w="160" w:type="dxa"/>
            <w:vAlign w:val="bottom"/>
            <w:tcBorders>
              <w:top w:val="single" w:sz="8" w:color="CCEEFF"/>
              <w:bottom w:val="single" w:sz="8" w:color="auto"/>
            </w:tcBorders>
          </w:tcPr>
          <w:p>
            <w:pPr>
              <w:spacing w:after="0"/>
              <w:rPr>
                <w:sz w:val="8"/>
                <w:szCs w:val="8"/>
                <w:color w:val="auto"/>
              </w:rPr>
            </w:pPr>
          </w:p>
        </w:tc>
        <w:tc>
          <w:tcPr>
            <w:tcW w:w="940" w:type="dxa"/>
            <w:vAlign w:val="bottom"/>
            <w:tcBorders>
              <w:top w:val="single" w:sz="8" w:color="CCEEFF"/>
              <w:bottom w:val="single" w:sz="8" w:color="auto"/>
            </w:tcBorders>
          </w:tcPr>
          <w:p>
            <w:pPr>
              <w:spacing w:after="0"/>
              <w:rPr>
                <w:sz w:val="8"/>
                <w:szCs w:val="8"/>
                <w:color w:val="auto"/>
              </w:rPr>
            </w:pPr>
          </w:p>
        </w:tc>
        <w:tc>
          <w:tcPr>
            <w:tcW w:w="80" w:type="dxa"/>
            <w:vAlign w:val="bottom"/>
            <w:tcBorders>
              <w:top w:val="single" w:sz="8" w:color="CCEEFF"/>
              <w:bottom w:val="single" w:sz="8" w:color="auto"/>
            </w:tcBorders>
          </w:tcPr>
          <w:p>
            <w:pPr>
              <w:spacing w:after="0"/>
              <w:rPr>
                <w:sz w:val="8"/>
                <w:szCs w:val="8"/>
                <w:color w:val="auto"/>
              </w:rPr>
            </w:pPr>
          </w:p>
        </w:tc>
        <w:tc>
          <w:tcPr>
            <w:tcW w:w="180" w:type="dxa"/>
            <w:vAlign w:val="bottom"/>
            <w:tcBorders>
              <w:top w:val="single" w:sz="8" w:color="CCEEFF"/>
              <w:bottom w:val="single" w:sz="8" w:color="auto"/>
            </w:tcBorders>
          </w:tcPr>
          <w:p>
            <w:pPr>
              <w:spacing w:after="0"/>
              <w:rPr>
                <w:sz w:val="8"/>
                <w:szCs w:val="8"/>
                <w:color w:val="auto"/>
              </w:rPr>
            </w:pPr>
          </w:p>
        </w:tc>
        <w:tc>
          <w:tcPr>
            <w:tcW w:w="820" w:type="dxa"/>
            <w:vAlign w:val="bottom"/>
            <w:tcBorders>
              <w:top w:val="single" w:sz="8" w:color="CCEEFF"/>
              <w:bottom w:val="single" w:sz="8" w:color="auto"/>
            </w:tcBorders>
          </w:tcPr>
          <w:p>
            <w:pPr>
              <w:spacing w:after="0"/>
              <w:rPr>
                <w:sz w:val="8"/>
                <w:szCs w:val="8"/>
                <w:color w:val="auto"/>
              </w:rPr>
            </w:pPr>
          </w:p>
        </w:tc>
        <w:tc>
          <w:tcPr>
            <w:tcW w:w="100" w:type="dxa"/>
            <w:vAlign w:val="bottom"/>
            <w:tcBorders>
              <w:top w:val="single" w:sz="8" w:color="CCEEFF"/>
              <w:bottom w:val="single" w:sz="8" w:color="auto"/>
            </w:tcBorders>
          </w:tcPr>
          <w:p>
            <w:pPr>
              <w:spacing w:after="0"/>
              <w:rPr>
                <w:sz w:val="8"/>
                <w:szCs w:val="8"/>
                <w:color w:val="auto"/>
              </w:rPr>
            </w:pPr>
          </w:p>
        </w:tc>
        <w:tc>
          <w:tcPr>
            <w:tcW w:w="140" w:type="dxa"/>
            <w:vAlign w:val="bottom"/>
            <w:tcBorders>
              <w:top w:val="single" w:sz="8" w:color="CCEEFF"/>
              <w:bottom w:val="single" w:sz="8" w:color="auto"/>
            </w:tcBorders>
          </w:tcPr>
          <w:p>
            <w:pPr>
              <w:spacing w:after="0"/>
              <w:rPr>
                <w:sz w:val="8"/>
                <w:szCs w:val="8"/>
                <w:color w:val="auto"/>
              </w:rPr>
            </w:pPr>
          </w:p>
        </w:tc>
        <w:tc>
          <w:tcPr>
            <w:tcW w:w="960" w:type="dxa"/>
            <w:vAlign w:val="bottom"/>
            <w:tcBorders>
              <w:top w:val="single" w:sz="8" w:color="CCEEFF"/>
              <w:bottom w:val="single" w:sz="8" w:color="auto"/>
            </w:tcBorders>
          </w:tcPr>
          <w:p>
            <w:pPr>
              <w:spacing w:after="0"/>
              <w:rPr>
                <w:sz w:val="8"/>
                <w:szCs w:val="8"/>
                <w:color w:val="auto"/>
              </w:rPr>
            </w:pPr>
          </w:p>
        </w:tc>
        <w:tc>
          <w:tcPr>
            <w:tcW w:w="100" w:type="dxa"/>
            <w:vAlign w:val="bottom"/>
            <w:tcBorders>
              <w:top w:val="single" w:sz="8" w:color="CCEEFF"/>
              <w:bottom w:val="single" w:sz="8" w:color="auto"/>
            </w:tcBorders>
          </w:tcPr>
          <w:p>
            <w:pPr>
              <w:spacing w:after="0"/>
              <w:rPr>
                <w:sz w:val="8"/>
                <w:szCs w:val="8"/>
                <w:color w:val="auto"/>
              </w:rPr>
            </w:pPr>
          </w:p>
        </w:tc>
        <w:tc>
          <w:tcPr>
            <w:tcW w:w="200" w:type="dxa"/>
            <w:vAlign w:val="bottom"/>
            <w:tcBorders>
              <w:top w:val="single" w:sz="8" w:color="CCEEFF"/>
              <w:bottom w:val="single" w:sz="8" w:color="auto"/>
            </w:tcBorders>
          </w:tcPr>
          <w:p>
            <w:pPr>
              <w:spacing w:after="0"/>
              <w:rPr>
                <w:sz w:val="8"/>
                <w:szCs w:val="8"/>
                <w:color w:val="auto"/>
              </w:rPr>
            </w:pPr>
          </w:p>
        </w:tc>
        <w:tc>
          <w:tcPr>
            <w:tcW w:w="980" w:type="dxa"/>
            <w:vAlign w:val="bottom"/>
            <w:tcBorders>
              <w:top w:val="single" w:sz="8" w:color="CCEEFF"/>
              <w:bottom w:val="single" w:sz="8" w:color="auto"/>
            </w:tcBorders>
          </w:tcPr>
          <w:p>
            <w:pPr>
              <w:spacing w:after="0"/>
              <w:rPr>
                <w:sz w:val="8"/>
                <w:szCs w:val="8"/>
                <w:color w:val="auto"/>
              </w:rPr>
            </w:pPr>
          </w:p>
        </w:tc>
      </w:tr>
    </w:tbl>
    <w:p>
      <w:pPr>
        <w:spacing w:after="0" w:line="359" w:lineRule="exact"/>
        <w:rPr>
          <w:sz w:val="20"/>
          <w:szCs w:val="20"/>
          <w:color w:val="auto"/>
        </w:rPr>
      </w:pPr>
    </w:p>
    <w:p>
      <w:pPr>
        <w:ind w:left="660" w:right="220"/>
        <w:spacing w:after="0" w:line="370" w:lineRule="auto"/>
        <w:rPr>
          <w:sz w:val="20"/>
          <w:szCs w:val="20"/>
          <w:color w:val="auto"/>
        </w:rPr>
      </w:pPr>
      <w:r>
        <w:rPr>
          <w:rFonts w:ascii="Arial" w:cs="Arial" w:eastAsia="Arial" w:hAnsi="Arial"/>
          <w:sz w:val="18"/>
          <w:szCs w:val="18"/>
          <w:color w:val="auto"/>
        </w:rPr>
        <w:t>The changes in accrued carried interest from Q1 2026 and Q4 2025 were driven by relative performance. The decreases in acquisition-related amortization and impairments from Q1 2025 and Q4 2025 primarily reflect a reduction in the remaining carrying values of the related acquired-assets as the amortization and impairments are recognized over time. A portion of capital allocation-based income is passed through as compensation, with unpaid amounts reported as non-controlling interest on the consolidated balance sheet. For detail on the quarterly changes in accrued carried interest, which is reported as part of investments on the consolidated balance sheet, and related non-controlling interest, refer to the tables at the end of this release.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720" w:type="dxa"/>
            <w:vAlign w:val="bottom"/>
            <w:tcBorders>
              <w:top w:val="single" w:sz="8" w:color="auto"/>
              <w:left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196"/>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3/31/2026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3/31/2025</w:t>
            </w:r>
          </w:p>
        </w:tc>
        <w:tc>
          <w:tcPr>
            <w:tcW w:w="100" w:type="dxa"/>
            <w:vAlign w:val="bottom"/>
          </w:tcPr>
          <w:p>
            <w:pPr>
              <w:spacing w:after="0"/>
              <w:rPr>
                <w:sz w:val="17"/>
                <w:szCs w:val="17"/>
                <w:color w:val="auto"/>
              </w:rPr>
            </w:pPr>
          </w:p>
        </w:tc>
        <w:tc>
          <w:tcPr>
            <w:tcW w:w="1400" w:type="dxa"/>
            <w:vAlign w:val="bottom"/>
            <w:tcBorders>
              <w:right w:val="single" w:sz="8" w:color="auto"/>
            </w:tcBorders>
            <w:gridSpan w:val="2"/>
          </w:tcPr>
          <w:p>
            <w:pPr>
              <w:ind w:left="360"/>
              <w:spacing w:after="0" w:line="196" w:lineRule="exact"/>
              <w:rPr>
                <w:sz w:val="20"/>
                <w:szCs w:val="20"/>
                <w:color w:val="auto"/>
              </w:rPr>
            </w:pPr>
            <w:r>
              <w:rPr>
                <w:rFonts w:ascii="Arial" w:cs="Arial" w:eastAsia="Arial" w:hAnsi="Arial"/>
                <w:sz w:val="14"/>
                <w:szCs w:val="14"/>
                <w:color w:val="auto"/>
              </w:rPr>
              <w:t>Change</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12/31/2025</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ind w:right="268"/>
              <w:spacing w:after="0" w:line="196" w:lineRule="exact"/>
              <w:rPr>
                <w:sz w:val="20"/>
                <w:szCs w:val="20"/>
                <w:color w:val="auto"/>
              </w:rPr>
            </w:pPr>
            <w:r>
              <w:rPr>
                <w:rFonts w:ascii="Arial" w:cs="Arial" w:eastAsia="Arial" w:hAnsi="Arial"/>
                <w:sz w:val="14"/>
                <w:szCs w:val="14"/>
                <w:color w:val="auto"/>
              </w:rPr>
              <w:t>Change</w:t>
            </w:r>
            <w:r>
              <w:rPr>
                <w:rFonts w:ascii="Arial" w:cs="Arial" w:eastAsia="Arial" w:hAnsi="Arial"/>
                <w:sz w:val="18"/>
                <w:szCs w:val="18"/>
                <w:color w:val="auto"/>
                <w:vertAlign w:val="superscript"/>
              </w:rPr>
              <w:t>(1)</w:t>
            </w:r>
          </w:p>
        </w:tc>
      </w:tr>
      <w:tr>
        <w:trPr>
          <w:trHeight w:val="196"/>
        </w:trPr>
        <w:tc>
          <w:tcPr>
            <w:tcW w:w="4720" w:type="dxa"/>
            <w:vAlign w:val="bottom"/>
            <w:tcBorders>
              <w:top w:val="single" w:sz="8" w:color="CCEEFF"/>
              <w:lef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Compensation, benefits, and related costs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655.1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657.9</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705.1</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98"/>
        </w:trPr>
        <w:tc>
          <w:tcPr>
            <w:tcW w:w="47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Acquisition-related retention agreements</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14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07"/>
        </w:trPr>
        <w:tc>
          <w:tcPr>
            <w:tcW w:w="4720" w:type="dxa"/>
            <w:vAlign w:val="bottom"/>
            <w:tcBorders>
              <w:lef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Capital allocation-based income compensation</w:t>
            </w:r>
            <w:r>
              <w:rPr>
                <w:rFonts w:ascii="Arial" w:cs="Arial" w:eastAsia="Arial" w:hAnsi="Arial"/>
                <w:sz w:val="18"/>
                <w:szCs w:val="18"/>
                <w:color w:val="auto"/>
                <w:vertAlign w:val="superscript"/>
              </w:rPr>
              <w:t>(2)</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400" w:type="dxa"/>
            <w:vAlign w:val="bottom"/>
            <w:tcBorders>
              <w:right w:val="single" w:sz="8" w:color="auto"/>
            </w:tcBorders>
            <w:gridSpan w:val="2"/>
            <w:shd w:val="clear" w:color="auto" w:fill="CCEEFF"/>
          </w:tcPr>
          <w:p>
            <w:pPr>
              <w:ind w:left="1040"/>
              <w:spacing w:after="0"/>
              <w:rPr>
                <w:sz w:val="20"/>
                <w:szCs w:val="20"/>
                <w:color w:val="auto"/>
              </w:rPr>
            </w:pPr>
            <w:r>
              <w:rPr>
                <w:rFonts w:ascii="Arial" w:cs="Arial" w:eastAsia="Arial" w:hAnsi="Arial"/>
                <w:sz w:val="14"/>
                <w:szCs w:val="14"/>
                <w:color w:val="auto"/>
              </w:rPr>
              <w:t>n/m</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98"/>
        </w:trPr>
        <w:tc>
          <w:tcPr>
            <w:tcW w:w="47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Market-related change in deferred compensation liabilities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1400" w:type="dxa"/>
            <w:vAlign w:val="bottom"/>
            <w:tcBorders>
              <w:right w:val="single" w:sz="8" w:color="auto"/>
            </w:tcBorders>
            <w:gridSpan w:val="2"/>
          </w:tcPr>
          <w:p>
            <w:pPr>
              <w:ind w:left="1040"/>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00"/>
        </w:trPr>
        <w:tc>
          <w:tcPr>
            <w:tcW w:w="4720" w:type="dxa"/>
            <w:vAlign w:val="bottom"/>
            <w:tcBorders>
              <w:top w:val="single" w:sz="8" w:color="CCEEFF"/>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compensation and related costs</w:t>
            </w: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659.7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664.5</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761.6</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98"/>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Distribution and servicing</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7"/>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Advertising and promotion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198"/>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Product and recordkeeping related costs</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Technology, occupancy, and facility costs</w:t>
            </w:r>
            <w:r>
              <w:rPr>
                <w:rFonts w:ascii="Arial" w:cs="Arial" w:eastAsia="Arial" w:hAnsi="Arial"/>
                <w:sz w:val="18"/>
                <w:szCs w:val="18"/>
                <w:color w:val="auto"/>
                <w:vertAlign w:val="superscript"/>
              </w:rPr>
              <w:t>(3)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3"/>
        </w:trPr>
        <w:tc>
          <w:tcPr>
            <w:tcW w:w="472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4"/>
                <w:szCs w:val="14"/>
                <w:color w:val="auto"/>
              </w:rPr>
              <w:t>General, administrative, and other costs</w:t>
            </w:r>
            <w:r>
              <w:rPr>
                <w:rFonts w:ascii="Arial" w:cs="Arial" w:eastAsia="Arial" w:hAnsi="Arial"/>
                <w:sz w:val="18"/>
                <w:szCs w:val="18"/>
                <w:color w:val="auto"/>
                <w:vertAlign w:val="superscript"/>
              </w:rPr>
              <w:t>(3)</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203"/>
        </w:trPr>
        <w:tc>
          <w:tcPr>
            <w:tcW w:w="47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Acquisition-related amortization and impairment costs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198"/>
        </w:trPr>
        <w:tc>
          <w:tcPr>
            <w:tcW w:w="47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Restructuring charge</w:t>
            </w: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auto"/>
            </w:tcBorders>
            <w:gridSpan w:val="2"/>
          </w:tcPr>
          <w:p>
            <w:pPr>
              <w:ind w:left="1040"/>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148.8</w:t>
            </w:r>
          </w:p>
        </w:tc>
        <w:tc>
          <w:tcPr>
            <w:tcW w:w="100" w:type="dxa"/>
            <w:vAlign w:val="bottom"/>
          </w:tcPr>
          <w:p>
            <w:pPr>
              <w:spacing w:after="0"/>
              <w:rPr>
                <w:sz w:val="17"/>
                <w:szCs w:val="17"/>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25"/>
        </w:trPr>
        <w:tc>
          <w:tcPr>
            <w:tcW w:w="4720" w:type="dxa"/>
            <w:vAlign w:val="bottom"/>
            <w:tcBorders>
              <w:top w:val="single" w:sz="8" w:color="CCEEFF"/>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operating expenses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20"/>
        </w:trPr>
        <w:tc>
          <w:tcPr>
            <w:tcW w:w="4720" w:type="dxa"/>
            <w:vAlign w:val="bottom"/>
            <w:tcBorders>
              <w:top w:val="single" w:sz="8" w:color="CCEEFF"/>
              <w:left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68"/>
        </w:trPr>
        <w:tc>
          <w:tcPr>
            <w:tcW w:w="4720" w:type="dxa"/>
            <w:vAlign w:val="bottom"/>
            <w:tcBorders>
              <w:left w:val="single" w:sz="8" w:color="auto"/>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4"/>
                <w:szCs w:val="14"/>
                <w:b w:val="1"/>
                <w:bCs w:val="1"/>
                <w:color w:val="auto"/>
              </w:rPr>
              <w:t>Total adjusted operating expenses</w:t>
            </w:r>
            <w:r>
              <w:rPr>
                <w:rFonts w:ascii="Arial" w:cs="Arial" w:eastAsia="Arial" w:hAnsi="Arial"/>
                <w:sz w:val="18"/>
                <w:szCs w:val="18"/>
                <w:b w:val="1"/>
                <w:bCs w:val="1"/>
                <w:color w:val="auto"/>
                <w:vertAlign w:val="superscript"/>
              </w:rPr>
              <w:t>(4)</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1,155.2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0"/>
        </w:trPr>
        <w:tc>
          <w:tcPr>
            <w:tcW w:w="4720" w:type="dxa"/>
            <w:vAlign w:val="bottom"/>
            <w:tcBorders>
              <w:top w:val="single" w:sz="8" w:color="CCEEFF"/>
              <w:left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-25400</wp:posOffset>
            </wp:positionV>
            <wp:extent cx="82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pacing w:after="0" w:line="25"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n/m - the percentage change is not meaningful.</w:t>
      </w:r>
    </w:p>
    <w:p>
      <w:pPr>
        <w:spacing w:after="0" w:line="8" w:lineRule="exact"/>
        <w:rPr>
          <w:rFonts w:ascii="Arial" w:cs="Arial" w:eastAsia="Arial" w:hAnsi="Arial"/>
          <w:sz w:val="16"/>
          <w:szCs w:val="16"/>
          <w:i w:val="1"/>
          <w:iCs w:val="1"/>
          <w:color w:val="auto"/>
          <w:vertAlign w:val="superscript"/>
        </w:rPr>
      </w:pPr>
    </w:p>
    <w:p>
      <w:pPr>
        <w:ind w:left="140" w:hanging="132"/>
        <w:spacing w:after="0" w:line="193" w:lineRule="auto"/>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Capital allocation-based income compensation represents the change in accrued carried interest compensation along with acquisition-related, non-cash amortization and impairments.</w:t>
      </w:r>
    </w:p>
    <w:p>
      <w:pPr>
        <w:ind w:left="180" w:right="80" w:hanging="172"/>
        <w:spacing w:after="0" w:line="221" w:lineRule="auto"/>
        <w:tabs>
          <w:tab w:leader="none" w:pos="153"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 Q1 2026, we began reporting technology-related professional fees and servicing costs from general, administrative, and other costs to technology, occupancy, and facilities costs to better align with the nature of the expenses following the outsourcing and expansion of our technology capabilities through trusted vendor partnerships. Prior periods were recast to reflect this change. Amounts reclassified were $13.6M for Q1 2025 and $18.2M for Q4 2025.</w:t>
      </w:r>
    </w:p>
    <w:p>
      <w:pPr>
        <w:ind w:left="140" w:hanging="132"/>
        <w:spacing w:after="0" w:line="200" w:lineRule="auto"/>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this earnings release.</w:t>
      </w:r>
    </w:p>
    <w:p>
      <w:pPr>
        <w:spacing w:after="0" w:line="293" w:lineRule="exact"/>
        <w:rPr>
          <w:sz w:val="20"/>
          <w:szCs w:val="20"/>
          <w:color w:val="auto"/>
        </w:rPr>
      </w:pPr>
    </w:p>
    <w:p>
      <w:pPr>
        <w:ind w:right="200"/>
        <w:spacing w:after="0" w:line="40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$1,176.5 million, an increase of 0.8% from Q1 2025 and a decrease 19.6% from Q4 2025.</w:t>
      </w:r>
      <w:r>
        <w:rPr>
          <w:rFonts w:ascii="Arial" w:cs="Arial" w:eastAsia="Arial" w:hAnsi="Arial"/>
          <w:sz w:val="18"/>
          <w:szCs w:val="18"/>
          <w:b w:val="1"/>
          <w:bCs w:val="1"/>
          <w:color w:val="auto"/>
        </w:rPr>
        <w:t xml:space="preserve"> Adjusted operating expenses </w:t>
      </w:r>
      <w:r>
        <w:rPr>
          <w:rFonts w:ascii="Arial" w:cs="Arial" w:eastAsia="Arial" w:hAnsi="Arial"/>
          <w:sz w:val="18"/>
          <w:szCs w:val="18"/>
          <w:color w:val="auto"/>
        </w:rPr>
        <w:t>in Q1 2026 were $1,155.2 million, an increase of 1.8% from Q1 2025 and a decrease of 7.6% from Q4 2025.</w:t>
      </w:r>
    </w:p>
    <w:p>
      <w:pPr>
        <w:spacing w:after="0" w:line="204" w:lineRule="exact"/>
        <w:rPr>
          <w:sz w:val="20"/>
          <w:szCs w:val="20"/>
          <w:color w:val="auto"/>
        </w:rPr>
      </w:pPr>
    </w:p>
    <w:p>
      <w:pPr>
        <w:ind w:left="660" w:right="140" w:hanging="328"/>
        <w:spacing w:after="0" w:line="354" w:lineRule="auto"/>
        <w:tabs>
          <w:tab w:leader="none" w:pos="656" w:val="left"/>
        </w:tabs>
        <w:numPr>
          <w:ilvl w:val="0"/>
          <w:numId w:val="9"/>
        </w:numPr>
        <w:rPr>
          <w:rFonts w:ascii="Arial" w:cs="Arial" w:eastAsia="Arial" w:hAnsi="Arial"/>
          <w:sz w:val="22"/>
          <w:szCs w:val="22"/>
          <w:b w:val="1"/>
          <w:bCs w:val="1"/>
          <w:i w:val="1"/>
          <w:iCs w:val="1"/>
          <w:color w:val="40AEFF"/>
        </w:rPr>
      </w:pPr>
      <w:r>
        <w:rPr>
          <w:rFonts w:ascii="Arial" w:cs="Arial" w:eastAsia="Arial" w:hAnsi="Arial"/>
          <w:sz w:val="18"/>
          <w:szCs w:val="18"/>
          <w:color w:val="auto"/>
        </w:rPr>
        <w:t>Compensation, benefits, and related costs in Q1 2026 of $655.1 million decreased $2.8 million from Q1 2025 and $50.0 million from Q4 2025. The decrease from Q1 2025 was primarily due to lower salaries and related benefits, partially offset by higher long-term incentive compensation. Compared to Q4 2025, the</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1092" w:right="319" w:bottom="1440" w:gutter="0" w:footer="0" w:header="0"/>
        </w:sectPr>
      </w:pPr>
    </w:p>
    <w:bookmarkStart w:id="6" w:name="page7"/>
    <w:bookmarkEnd w:id="6"/>
    <w:p>
      <w:pPr>
        <w:jc w:val="both"/>
        <w:ind w:left="328" w:right="80"/>
        <w:spacing w:after="0" w:line="378" w:lineRule="auto"/>
        <w:rPr>
          <w:sz w:val="20"/>
          <w:szCs w:val="20"/>
          <w:color w:val="auto"/>
        </w:rPr>
      </w:pPr>
      <w:r>
        <w:rPr>
          <w:rFonts w:ascii="Arial" w:cs="Arial" w:eastAsia="Arial" w:hAnsi="Arial"/>
          <w:sz w:val="18"/>
          <w:szCs w:val="18"/>
          <w:color w:val="auto"/>
        </w:rPr>
        <w:t>decrease was primarily driven by lower costs related to the timing of firm's annual long-term incentive grant, a lower bonus accrual, and lower other employee-related costs. The firm employed 7,507 associates as of March 31, 2026, a decrease of 7.1% from 8,084 associates as of March 31, 2025, and 3.4% from 7,773 associates as of December 31, 2025.</w:t>
      </w:r>
    </w:p>
    <w:p>
      <w:pPr>
        <w:spacing w:after="0" w:line="251" w:lineRule="exact"/>
        <w:rPr>
          <w:sz w:val="20"/>
          <w:szCs w:val="20"/>
          <w:color w:val="auto"/>
        </w:rPr>
      </w:pPr>
    </w:p>
    <w:p>
      <w:pPr>
        <w:ind w:left="328" w:right="20" w:hanging="328"/>
        <w:spacing w:after="0" w:line="354" w:lineRule="auto"/>
        <w:tabs>
          <w:tab w:leader="none" w:pos="324" w:val="left"/>
        </w:tabs>
        <w:numPr>
          <w:ilvl w:val="0"/>
          <w:numId w:val="10"/>
        </w:numPr>
        <w:rPr>
          <w:rFonts w:ascii="Arial" w:cs="Arial" w:eastAsia="Arial" w:hAnsi="Arial"/>
          <w:sz w:val="22"/>
          <w:szCs w:val="22"/>
          <w:b w:val="1"/>
          <w:bCs w:val="1"/>
          <w:i w:val="1"/>
          <w:iCs w:val="1"/>
          <w:color w:val="40AEFF"/>
        </w:rPr>
      </w:pPr>
      <w:r>
        <w:rPr>
          <w:rFonts w:ascii="Arial" w:cs="Arial" w:eastAsia="Arial" w:hAnsi="Arial"/>
          <w:sz w:val="18"/>
          <w:szCs w:val="18"/>
          <w:color w:val="auto"/>
        </w:rPr>
        <w:t>Distribution and servicing costs in Q1 2026 of $99.3 million increased $5.7 million from Q1 2025 and decreased $2.3 million from Q4 2025. The increase from Q1 2025 was primarily driven by higher average assets under management distributed through third-party intermediaries.</w:t>
      </w:r>
    </w:p>
    <w:p>
      <w:pPr>
        <w:spacing w:after="0" w:line="258" w:lineRule="exact"/>
        <w:rPr>
          <w:rFonts w:ascii="Arial" w:cs="Arial" w:eastAsia="Arial" w:hAnsi="Arial"/>
          <w:sz w:val="22"/>
          <w:szCs w:val="22"/>
          <w:b w:val="1"/>
          <w:bCs w:val="1"/>
          <w:i w:val="1"/>
          <w:iCs w:val="1"/>
          <w:color w:val="40AEFF"/>
        </w:rPr>
      </w:pPr>
    </w:p>
    <w:p>
      <w:pPr>
        <w:ind w:left="328" w:right="80" w:hanging="328"/>
        <w:spacing w:after="0" w:line="354" w:lineRule="auto"/>
        <w:tabs>
          <w:tab w:leader="none" w:pos="324" w:val="left"/>
        </w:tabs>
        <w:numPr>
          <w:ilvl w:val="0"/>
          <w:numId w:val="10"/>
        </w:numPr>
        <w:rPr>
          <w:rFonts w:ascii="Arial" w:cs="Arial" w:eastAsia="Arial" w:hAnsi="Arial"/>
          <w:sz w:val="22"/>
          <w:szCs w:val="22"/>
          <w:b w:val="1"/>
          <w:bCs w:val="1"/>
          <w:i w:val="1"/>
          <w:iCs w:val="1"/>
          <w:color w:val="40AEFF"/>
        </w:rPr>
      </w:pPr>
      <w:r>
        <w:rPr>
          <w:rFonts w:ascii="Arial" w:cs="Arial" w:eastAsia="Arial" w:hAnsi="Arial"/>
          <w:sz w:val="18"/>
          <w:szCs w:val="18"/>
          <w:color w:val="auto"/>
        </w:rPr>
        <w:t>Advertising and promotion expenses in Q1 2026 of $18.4 million decreased $7.7 million from Q1 2025 and $11.7 million from Q4 2025. The decreases from prior periods were primarily due to reduced media spend and events. The fourth quarter typically has the highest spend due to seasonality.</w:t>
      </w:r>
    </w:p>
    <w:p>
      <w:pPr>
        <w:spacing w:after="0" w:line="258" w:lineRule="exact"/>
        <w:rPr>
          <w:rFonts w:ascii="Arial" w:cs="Arial" w:eastAsia="Arial" w:hAnsi="Arial"/>
          <w:sz w:val="22"/>
          <w:szCs w:val="22"/>
          <w:b w:val="1"/>
          <w:bCs w:val="1"/>
          <w:i w:val="1"/>
          <w:iCs w:val="1"/>
          <w:color w:val="40AEFF"/>
        </w:rPr>
      </w:pPr>
    </w:p>
    <w:p>
      <w:pPr>
        <w:ind w:left="328" w:hanging="328"/>
        <w:spacing w:after="0" w:line="354" w:lineRule="auto"/>
        <w:tabs>
          <w:tab w:leader="none" w:pos="324" w:val="left"/>
        </w:tabs>
        <w:numPr>
          <w:ilvl w:val="0"/>
          <w:numId w:val="10"/>
        </w:numPr>
        <w:rPr>
          <w:rFonts w:ascii="Arial" w:cs="Arial" w:eastAsia="Arial" w:hAnsi="Arial"/>
          <w:sz w:val="22"/>
          <w:szCs w:val="22"/>
          <w:b w:val="1"/>
          <w:bCs w:val="1"/>
          <w:i w:val="1"/>
          <w:iCs w:val="1"/>
          <w:color w:val="40AEFF"/>
        </w:rPr>
      </w:pPr>
      <w:r>
        <w:rPr>
          <w:rFonts w:ascii="Arial" w:cs="Arial" w:eastAsia="Arial" w:hAnsi="Arial"/>
          <w:sz w:val="18"/>
          <w:szCs w:val="18"/>
          <w:color w:val="auto"/>
        </w:rPr>
        <w:t>Product and recordkeeping related costs in Q1 2026 of $74.3 million decreased $9.5 million from Q1 2025 and $1.3 million from Q4 2025. The decrease from Q1 2025 was primarily due to the timing of costs reimbursed by the firm's U.S. mutual funds. The offsetting reimbursement is recognized in administrative, distribution, servicing, and other fees revenue.</w:t>
      </w:r>
    </w:p>
    <w:p>
      <w:pPr>
        <w:spacing w:after="0" w:line="258" w:lineRule="exact"/>
        <w:rPr>
          <w:rFonts w:ascii="Arial" w:cs="Arial" w:eastAsia="Arial" w:hAnsi="Arial"/>
          <w:sz w:val="22"/>
          <w:szCs w:val="22"/>
          <w:b w:val="1"/>
          <w:bCs w:val="1"/>
          <w:i w:val="1"/>
          <w:iCs w:val="1"/>
          <w:color w:val="40AEFF"/>
        </w:rPr>
      </w:pPr>
    </w:p>
    <w:p>
      <w:pPr>
        <w:ind w:left="328" w:right="300" w:hanging="328"/>
        <w:spacing w:after="0" w:line="356" w:lineRule="auto"/>
        <w:tabs>
          <w:tab w:leader="none" w:pos="324" w:val="left"/>
        </w:tabs>
        <w:numPr>
          <w:ilvl w:val="0"/>
          <w:numId w:val="10"/>
        </w:numPr>
        <w:rPr>
          <w:rFonts w:ascii="Arial" w:cs="Arial" w:eastAsia="Arial" w:hAnsi="Arial"/>
          <w:sz w:val="22"/>
          <w:szCs w:val="22"/>
          <w:b w:val="1"/>
          <w:bCs w:val="1"/>
          <w:i w:val="1"/>
          <w:iCs w:val="1"/>
          <w:color w:val="40AEFF"/>
        </w:rPr>
      </w:pPr>
      <w:r>
        <w:rPr>
          <w:rFonts w:ascii="Arial" w:cs="Arial" w:eastAsia="Arial" w:hAnsi="Arial"/>
          <w:sz w:val="18"/>
          <w:szCs w:val="18"/>
          <w:color w:val="auto"/>
        </w:rPr>
        <w:t>Technology, occupancy, and facility costs in Q1 2026 of $204.4 million increased $23.2 million from Q1 2025 and decreased $7.2 million from Q4 2025. The increase from Q1 2025 was primarily due to higher technology costs, including cloud services, depreciation and the firm's decision in prior year to outsource certain technology capabilities. The decrease from Q4 2025 was primarily due to lower deprecation costs and lower occupancy costs.</w:t>
      </w:r>
    </w:p>
    <w:p>
      <w:pPr>
        <w:spacing w:after="0" w:line="269" w:lineRule="exact"/>
        <w:rPr>
          <w:rFonts w:ascii="Arial" w:cs="Arial" w:eastAsia="Arial" w:hAnsi="Arial"/>
          <w:sz w:val="22"/>
          <w:szCs w:val="22"/>
          <w:b w:val="1"/>
          <w:bCs w:val="1"/>
          <w:i w:val="1"/>
          <w:iCs w:val="1"/>
          <w:color w:val="40AEFF"/>
        </w:rPr>
      </w:pPr>
    </w:p>
    <w:p>
      <w:pPr>
        <w:ind w:left="328" w:right="220" w:hanging="328"/>
        <w:spacing w:after="0" w:line="354" w:lineRule="auto"/>
        <w:tabs>
          <w:tab w:leader="none" w:pos="324" w:val="left"/>
        </w:tabs>
        <w:numPr>
          <w:ilvl w:val="0"/>
          <w:numId w:val="10"/>
        </w:numPr>
        <w:rPr>
          <w:rFonts w:ascii="Arial" w:cs="Arial" w:eastAsia="Arial" w:hAnsi="Arial"/>
          <w:sz w:val="22"/>
          <w:szCs w:val="22"/>
          <w:b w:val="1"/>
          <w:bCs w:val="1"/>
          <w:i w:val="1"/>
          <w:iCs w:val="1"/>
          <w:color w:val="40AEFF"/>
        </w:rPr>
      </w:pPr>
      <w:r>
        <w:rPr>
          <w:rFonts w:ascii="Arial" w:cs="Arial" w:eastAsia="Arial" w:hAnsi="Arial"/>
          <w:sz w:val="18"/>
          <w:szCs w:val="18"/>
          <w:color w:val="auto"/>
        </w:rPr>
        <w:t>General, administrative, and other costs in Q1 2026 of $92.4 million increased $2.7 million from Q1 2025 and decreased $16.8 million from Q4 2025. The decrease from Q4 2025 was primarily due to lower professional fees, charitable contributions and other administrative costs.</w:t>
      </w:r>
    </w:p>
    <w:p>
      <w:pPr>
        <w:spacing w:after="0" w:line="244" w:lineRule="exact"/>
        <w:rPr>
          <w:rFonts w:ascii="Arial" w:cs="Arial" w:eastAsia="Arial" w:hAnsi="Arial"/>
          <w:sz w:val="22"/>
          <w:szCs w:val="22"/>
          <w:b w:val="1"/>
          <w:bCs w:val="1"/>
          <w:i w:val="1"/>
          <w:iCs w:val="1"/>
          <w:color w:val="40AEFF"/>
        </w:rPr>
      </w:pPr>
    </w:p>
    <w:p>
      <w:pPr>
        <w:ind w:left="328" w:hanging="328"/>
        <w:spacing w:after="0"/>
        <w:tabs>
          <w:tab w:leader="none" w:pos="328" w:val="left"/>
        </w:tabs>
        <w:numPr>
          <w:ilvl w:val="0"/>
          <w:numId w:val="10"/>
        </w:numPr>
        <w:rPr>
          <w:rFonts w:ascii="Arial" w:cs="Arial" w:eastAsia="Arial" w:hAnsi="Arial"/>
          <w:sz w:val="22"/>
          <w:szCs w:val="22"/>
          <w:b w:val="1"/>
          <w:bCs w:val="1"/>
          <w:i w:val="1"/>
          <w:iCs w:val="1"/>
          <w:color w:val="40AEFF"/>
        </w:rPr>
      </w:pPr>
      <w:r>
        <w:rPr>
          <w:rFonts w:ascii="Arial" w:cs="Arial" w:eastAsia="Arial" w:hAnsi="Arial"/>
          <w:sz w:val="18"/>
          <w:szCs w:val="18"/>
          <w:color w:val="auto"/>
        </w:rPr>
        <w:t>Restructuring charge in Q1 2026 of $10.0 million relates to actions taken under the previously announced broad and ongoing</w:t>
      </w:r>
    </w:p>
    <w:p>
      <w:pPr>
        <w:spacing w:after="0" w:line="98" w:lineRule="exact"/>
        <w:rPr>
          <w:rFonts w:ascii="Arial" w:cs="Arial" w:eastAsia="Arial" w:hAnsi="Arial"/>
          <w:sz w:val="22"/>
          <w:szCs w:val="22"/>
          <w:b w:val="1"/>
          <w:bCs w:val="1"/>
          <w:i w:val="1"/>
          <w:iCs w:val="1"/>
          <w:color w:val="40AEFF"/>
        </w:rPr>
      </w:pPr>
    </w:p>
    <w:p>
      <w:pPr>
        <w:ind w:left="328" w:right="200"/>
        <w:spacing w:after="0" w:line="287" w:lineRule="exact"/>
        <w:rPr>
          <w:rFonts w:ascii="Arial" w:cs="Arial" w:eastAsia="Arial" w:hAnsi="Arial"/>
          <w:sz w:val="22"/>
          <w:szCs w:val="22"/>
          <w:b w:val="1"/>
          <w:bCs w:val="1"/>
          <w:i w:val="1"/>
          <w:iCs w:val="1"/>
          <w:color w:val="40AEFF"/>
        </w:rPr>
      </w:pPr>
      <w:r>
        <w:rPr>
          <w:rFonts w:ascii="Arial" w:cs="Arial" w:eastAsia="Arial" w:hAnsi="Arial"/>
          <w:sz w:val="18"/>
          <w:szCs w:val="18"/>
          <w:color w:val="auto"/>
        </w:rPr>
        <w:t>expense management program, which will allow the firm to reduce expense growth and realign resources to support investment in existing and future capabilities. The charge reflects compensation</w:t>
      </w:r>
      <w:r>
        <w:rPr>
          <w:rFonts w:ascii="MS PGothic" w:cs="MS PGothic" w:eastAsia="MS PGothic" w:hAnsi="MS PGothic"/>
          <w:sz w:val="18"/>
          <w:szCs w:val="18"/>
          <w:color w:val="auto"/>
        </w:rPr>
        <w:t>‑</w:t>
      </w:r>
      <w:r>
        <w:rPr>
          <w:rFonts w:ascii="Arial" w:cs="Arial" w:eastAsia="Arial" w:hAnsi="Arial"/>
          <w:sz w:val="18"/>
          <w:szCs w:val="18"/>
          <w:color w:val="auto"/>
        </w:rPr>
        <w:t>related costs, primarily severance.</w:t>
      </w:r>
    </w:p>
    <w:p>
      <w:pPr>
        <w:spacing w:after="0" w:line="264"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8"/>
          </w:cols>
          <w:pgMar w:left="652" w:top="1066"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7440" w:type="dxa"/>
            <w:vAlign w:val="bottom"/>
            <w:tcBorders>
              <w:top w:val="single" w:sz="8" w:color="auto"/>
              <w:lef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r>
      <w:tr>
        <w:trPr>
          <w:trHeight w:val="193"/>
        </w:trPr>
        <w:tc>
          <w:tcPr>
            <w:tcW w:w="7440" w:type="dxa"/>
            <w:vAlign w:val="bottom"/>
            <w:tcBorders>
              <w:left w:val="single" w:sz="8" w:color="auto"/>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3/31/2026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3/31/2025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12/31/2025</w:t>
            </w:r>
          </w:p>
        </w:tc>
      </w:tr>
      <w:tr>
        <w:trPr>
          <w:trHeight w:val="187"/>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r>
      <w:tr>
        <w:trPr>
          <w:trHeight w:val="198"/>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Cash and discretionary investments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7"/>
        </w:trPr>
        <w:tc>
          <w:tcPr>
            <w:tcW w:w="744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w:t>
            </w:r>
          </w:p>
        </w:tc>
      </w:tr>
      <w:tr>
        <w:trPr>
          <w:trHeight w:val="198"/>
        </w:trPr>
        <w:tc>
          <w:tcPr>
            <w:tcW w:w="7440" w:type="dxa"/>
            <w:vAlign w:val="bottom"/>
            <w:tcBorders>
              <w:left w:val="single" w:sz="8" w:color="auto"/>
              <w:bottom w:val="single" w:sz="8" w:color="CCEEFF"/>
            </w:tcBorders>
          </w:tcPr>
          <w:p>
            <w:pPr>
              <w:ind w:left="240"/>
              <w:spacing w:after="0"/>
              <w:rPr>
                <w:sz w:val="20"/>
                <w:szCs w:val="20"/>
                <w:color w:val="auto"/>
              </w:rPr>
            </w:pPr>
            <w:r>
              <w:rPr>
                <w:rFonts w:ascii="Arial" w:cs="Arial" w:eastAsia="Arial" w:hAnsi="Arial"/>
                <w:sz w:val="14"/>
                <w:szCs w:val="14"/>
                <w:color w:val="auto"/>
              </w:rPr>
              <w:t>Market-related gains (losses) and equity in earnings (losses)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r>
      <w:tr>
        <w:trPr>
          <w:trHeight w:val="200"/>
        </w:trPr>
        <w:tc>
          <w:tcPr>
            <w:tcW w:w="7440" w:type="dxa"/>
            <w:vAlign w:val="bottom"/>
            <w:tcBorders>
              <w:lef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net gains (losses) from cash and discretionary investments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44.7</w:t>
            </w:r>
          </w:p>
        </w:tc>
      </w:tr>
      <w:tr>
        <w:trPr>
          <w:trHeight w:val="198"/>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Seed capital investments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7"/>
        </w:trPr>
        <w:tc>
          <w:tcPr>
            <w:tcW w:w="7440" w:type="dxa"/>
            <w:vAlign w:val="bottom"/>
            <w:tcBorders>
              <w:left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Dividend income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r>
      <w:tr>
        <w:trPr>
          <w:trHeight w:val="198"/>
        </w:trPr>
        <w:tc>
          <w:tcPr>
            <w:tcW w:w="7440" w:type="dxa"/>
            <w:vAlign w:val="bottom"/>
            <w:tcBorders>
              <w:left w:val="single" w:sz="8" w:color="auto"/>
            </w:tcBorders>
          </w:tcPr>
          <w:p>
            <w:pPr>
              <w:ind w:left="240"/>
              <w:spacing w:after="0"/>
              <w:rPr>
                <w:sz w:val="20"/>
                <w:szCs w:val="20"/>
                <w:color w:val="auto"/>
              </w:rPr>
            </w:pPr>
            <w:r>
              <w:rPr>
                <w:rFonts w:ascii="Arial" w:cs="Arial" w:eastAsia="Arial" w:hAnsi="Arial"/>
                <w:sz w:val="14"/>
                <w:szCs w:val="14"/>
                <w:color w:val="auto"/>
              </w:rPr>
              <w:t>Market-related gains (losses) and equity in earnings (losses)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r>
      <w:tr>
        <w:trPr>
          <w:trHeight w:val="207"/>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gains (losses) recognized upon deconsolidation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744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color w:val="auto"/>
              </w:rPr>
              <w:t>Investments used to hedge deferred compensation liabilities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29.6</w:t>
            </w:r>
          </w:p>
        </w:tc>
      </w:tr>
      <w:tr>
        <w:trPr>
          <w:trHeight w:val="200"/>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net gains (losses) from non-consolidated T. Rowe Price investment products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82.2</w:t>
            </w:r>
          </w:p>
        </w:tc>
      </w:tr>
      <w:tr>
        <w:trPr>
          <w:trHeight w:val="198"/>
        </w:trPr>
        <w:tc>
          <w:tcPr>
            <w:tcW w:w="744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color w:val="auto"/>
              </w:rPr>
              <w:t>Other investment income (loss)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r>
      <w:tr>
        <w:trPr>
          <w:trHeight w:val="200"/>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gains (losses) on investments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105.9</w:t>
            </w:r>
          </w:p>
        </w:tc>
      </w:tr>
      <w:tr>
        <w:trPr>
          <w:trHeight w:val="199"/>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Net gains (losses) on consolidated investment products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36.8</w:t>
            </w:r>
          </w:p>
        </w:tc>
      </w:tr>
      <w:tr>
        <w:trPr>
          <w:trHeight w:val="202"/>
        </w:trPr>
        <w:tc>
          <w:tcPr>
            <w:tcW w:w="74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gains (losses), including foreign currency gains (losses)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00"/>
        </w:trPr>
        <w:tc>
          <w:tcPr>
            <w:tcW w:w="744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Non-operating income (loss)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(48.3)</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142.1</w:t>
            </w:r>
          </w:p>
        </w:tc>
      </w:tr>
      <w:tr>
        <w:trPr>
          <w:trHeight w:val="46"/>
        </w:trPr>
        <w:tc>
          <w:tcPr>
            <w:tcW w:w="7440" w:type="dxa"/>
            <w:vAlign w:val="bottom"/>
            <w:tcBorders>
              <w:left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r>
      <w:tr>
        <w:trPr>
          <w:trHeight w:val="203"/>
        </w:trPr>
        <w:tc>
          <w:tcPr>
            <w:tcW w:w="7440" w:type="dxa"/>
            <w:vAlign w:val="bottom"/>
            <w:tcBorders>
              <w:top w:val="single" w:sz="8" w:color="CCEEFF"/>
              <w:left w:val="single" w:sz="8" w:color="auto"/>
            </w:tcBorders>
          </w:tcPr>
          <w:p>
            <w:pPr>
              <w:ind w:left="40"/>
              <w:spacing w:after="0" w:line="202" w:lineRule="exact"/>
              <w:rPr>
                <w:sz w:val="20"/>
                <w:szCs w:val="20"/>
                <w:color w:val="auto"/>
              </w:rPr>
            </w:pPr>
            <w:r>
              <w:rPr>
                <w:rFonts w:ascii="Arial" w:cs="Arial" w:eastAsia="Arial" w:hAnsi="Arial"/>
                <w:sz w:val="14"/>
                <w:szCs w:val="14"/>
                <w:b w:val="1"/>
                <w:bCs w:val="1"/>
                <w:color w:val="auto"/>
              </w:rPr>
              <w:t>Adjusted non-operating income (loss)</w:t>
            </w:r>
            <w:r>
              <w:rPr>
                <w:rFonts w:ascii="Arial" w:cs="Arial" w:eastAsia="Arial" w:hAnsi="Arial"/>
                <w:sz w:val="18"/>
                <w:szCs w:val="18"/>
                <w:b w:val="1"/>
                <w:bCs w:val="1"/>
                <w:color w:val="auto"/>
                <w:vertAlign w:val="superscript"/>
              </w:rPr>
              <w:t>(1)</w:t>
            </w:r>
          </w:p>
        </w:tc>
        <w:tc>
          <w:tcPr>
            <w:tcW w:w="2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b w:val="1"/>
                <w:bCs w:val="1"/>
                <w:color w:val="auto"/>
              </w:rPr>
              <w:t>30.9</w:t>
            </w:r>
          </w:p>
        </w:tc>
        <w:tc>
          <w:tcPr>
            <w:tcW w:w="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b w:val="1"/>
                <w:bCs w:val="1"/>
                <w:color w:val="auto"/>
              </w:rPr>
              <w:t>35.5</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CCEEFF"/>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44.7</w:t>
            </w:r>
          </w:p>
        </w:tc>
      </w:tr>
      <w:tr>
        <w:trPr>
          <w:trHeight w:val="46"/>
        </w:trPr>
        <w:tc>
          <w:tcPr>
            <w:tcW w:w="7440" w:type="dxa"/>
            <w:vAlign w:val="bottom"/>
            <w:tcBorders>
              <w:left w:val="single" w:sz="8" w:color="auto"/>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r>
      <w:tr>
        <w:trPr>
          <w:trHeight w:val="20"/>
        </w:trPr>
        <w:tc>
          <w:tcPr>
            <w:tcW w:w="7440" w:type="dxa"/>
            <w:vAlign w:val="bottom"/>
            <w:tcBorders>
              <w:top w:val="single" w:sz="8" w:color="CCEEFF"/>
              <w:lef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-25400</wp:posOffset>
            </wp:positionV>
            <wp:extent cx="82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pacing w:after="0" w:line="79"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this earnings release.</w:t>
      </w:r>
    </w:p>
    <w:p>
      <w:pPr>
        <w:spacing w:after="0" w:line="306" w:lineRule="exact"/>
        <w:rPr>
          <w:sz w:val="20"/>
          <w:szCs w:val="20"/>
          <w:color w:val="auto"/>
        </w:rPr>
      </w:pPr>
    </w:p>
    <w:p>
      <w:pPr>
        <w:ind w:right="120"/>
        <w:spacing w:after="0" w:line="299" w:lineRule="exact"/>
        <w:rPr>
          <w:sz w:val="20"/>
          <w:szCs w:val="20"/>
          <w:color w:val="auto"/>
        </w:rPr>
      </w:pPr>
      <w:r>
        <w:rPr>
          <w:rFonts w:ascii="Arial" w:cs="Arial" w:eastAsia="Arial" w:hAnsi="Arial"/>
          <w:sz w:val="18"/>
          <w:szCs w:val="18"/>
          <w:color w:val="auto"/>
        </w:rPr>
        <w:t>On an adjusted basis, non-operating income (loss) consists of investment gains/losses generated from the firm's cash and discretionary investment portfolio. Lower investment gains earned by our investment portfolio during the first quarter of 2026 compared to the 2025 period was primarily due to overall lower market returns, partially offset by higher dividend income from higher cash and investment balances. Compared to Q4 2025, results declined due to lower money market dividend yields and negative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activity within the discretionary investment portfolio.</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320" w:top="1066"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347" w:lineRule="exact"/>
        <w:rPr>
          <w:sz w:val="20"/>
          <w:szCs w:val="20"/>
          <w:color w:val="auto"/>
        </w:rPr>
      </w:pPr>
    </w:p>
    <w:p>
      <w:pPr>
        <w:ind w:right="200"/>
        <w:spacing w:after="0" w:line="396" w:lineRule="auto"/>
        <w:rPr>
          <w:sz w:val="20"/>
          <w:szCs w:val="20"/>
          <w:color w:val="auto"/>
        </w:rPr>
      </w:pPr>
      <w:r>
        <w:rPr>
          <w:rFonts w:ascii="Arial" w:cs="Arial" w:eastAsia="Arial" w:hAnsi="Arial"/>
          <w:sz w:val="18"/>
          <w:szCs w:val="18"/>
          <w:color w:val="auto"/>
        </w:rPr>
        <w:t>The following reconciles the statutory federal income tax rate to the firm's effective tax rate for the three months ended March 31, 2026 and 2025:</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8520" w:type="dxa"/>
            <w:vAlign w:val="bottom"/>
            <w:tcBorders>
              <w:top w:val="single" w:sz="8" w:color="auto"/>
              <w:left w:val="single" w:sz="8" w:color="auto"/>
            </w:tcBorders>
            <w:shd w:val="clear" w:color="auto" w:fill="CCEEFF"/>
          </w:tcPr>
          <w:p>
            <w:pPr>
              <w:spacing w:after="0"/>
              <w:rPr>
                <w:sz w:val="18"/>
                <w:szCs w:val="18"/>
                <w:color w:val="auto"/>
              </w:rPr>
            </w:pPr>
          </w:p>
        </w:tc>
        <w:tc>
          <w:tcPr>
            <w:tcW w:w="2740" w:type="dxa"/>
            <w:vAlign w:val="bottom"/>
            <w:tcBorders>
              <w:top w:val="single" w:sz="8" w:color="auto"/>
              <w:bottom w:val="single" w:sz="8" w:color="auto"/>
              <w:right w:val="single" w:sz="8" w:color="auto"/>
            </w:tcBorders>
            <w:gridSpan w:val="3"/>
            <w:shd w:val="clear" w:color="auto" w:fill="CCEEFF"/>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520" w:type="dxa"/>
            <w:vAlign w:val="bottom"/>
            <w:tcBorders>
              <w:left w:val="single" w:sz="8" w:color="auto"/>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3/31/2026</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3/31/2025</w:t>
            </w:r>
          </w:p>
        </w:tc>
      </w:tr>
      <w:tr>
        <w:trPr>
          <w:trHeight w:val="197"/>
        </w:trPr>
        <w:tc>
          <w:tcPr>
            <w:tcW w:w="85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Statutory U.S. federal income tax rate</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98"/>
        </w:trPr>
        <w:tc>
          <w:tcPr>
            <w:tcW w:w="85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State income taxes, net of federal income tax benefits</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32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2.7</w:t>
            </w:r>
          </w:p>
        </w:tc>
      </w:tr>
      <w:tr>
        <w:trPr>
          <w:trHeight w:val="207"/>
        </w:trPr>
        <w:tc>
          <w:tcPr>
            <w:tcW w:w="85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losses attributable to redeemable non-controlling interests</w:t>
            </w:r>
            <w:r>
              <w:rPr>
                <w:rFonts w:ascii="Arial" w:cs="Arial" w:eastAsia="Arial" w:hAnsi="Arial"/>
                <w:sz w:val="9"/>
                <w:szCs w:val="9"/>
                <w:color w:val="auto"/>
              </w:rPr>
              <w:t>(1)</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(0.4)</w:t>
            </w:r>
          </w:p>
        </w:tc>
      </w:tr>
      <w:tr>
        <w:trPr>
          <w:trHeight w:val="198"/>
        </w:trPr>
        <w:tc>
          <w:tcPr>
            <w:tcW w:w="852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Net excess tax losses (benefits) from stock-based compensation plans activity</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13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(0.3)</w:t>
            </w:r>
          </w:p>
        </w:tc>
      </w:tr>
      <w:tr>
        <w:trPr>
          <w:trHeight w:val="207"/>
        </w:trPr>
        <w:tc>
          <w:tcPr>
            <w:tcW w:w="85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Valuation allowances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0.4</w:t>
            </w:r>
          </w:p>
        </w:tc>
      </w:tr>
      <w:tr>
        <w:trPr>
          <w:trHeight w:val="198"/>
        </w:trPr>
        <w:tc>
          <w:tcPr>
            <w:tcW w:w="852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color w:val="auto"/>
              </w:rPr>
              <w:t>Other items</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0.9</w:t>
            </w:r>
          </w:p>
        </w:tc>
      </w:tr>
      <w:tr>
        <w:trPr>
          <w:trHeight w:val="225"/>
        </w:trPr>
        <w:tc>
          <w:tcPr>
            <w:tcW w:w="85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23.4 %</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24.3 %</w:t>
            </w:r>
          </w:p>
        </w:tc>
      </w:tr>
      <w:tr>
        <w:trPr>
          <w:trHeight w:val="20"/>
        </w:trPr>
        <w:tc>
          <w:tcPr>
            <w:tcW w:w="8520" w:type="dxa"/>
            <w:vAlign w:val="bottom"/>
            <w:tcBorders>
              <w:top w:val="single" w:sz="8" w:color="CCEEFF"/>
              <w:left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28"/>
        </w:trPr>
        <w:tc>
          <w:tcPr>
            <w:tcW w:w="85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effective income tax rate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23.7 %</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24.7 %</w:t>
            </w:r>
          </w:p>
        </w:tc>
      </w:tr>
      <w:tr>
        <w:trPr>
          <w:trHeight w:val="20"/>
        </w:trPr>
        <w:tc>
          <w:tcPr>
            <w:tcW w:w="8520" w:type="dxa"/>
            <w:vAlign w:val="bottom"/>
            <w:tcBorders>
              <w:top w:val="single" w:sz="8" w:color="CCEEFF"/>
              <w:left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520" w:type="dxa"/>
            <w:vAlign w:val="bottom"/>
            <w:tcBorders>
              <w:left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-25400</wp:posOffset>
            </wp:positionV>
            <wp:extent cx="8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6035"/>
                    </a:xfrm>
                    <a:prstGeom prst="rect">
                      <a:avLst/>
                    </a:prstGeom>
                    <a:noFill/>
                  </pic:spPr>
                </pic:pic>
              </a:graphicData>
            </a:graphic>
          </wp:anchor>
        </w:drawing>
      </w:r>
    </w:p>
    <w:p>
      <w:pPr>
        <w:spacing w:after="0" w:line="67" w:lineRule="exact"/>
        <w:rPr>
          <w:sz w:val="20"/>
          <w:szCs w:val="20"/>
          <w:color w:val="auto"/>
        </w:rPr>
      </w:pPr>
    </w:p>
    <w:p>
      <w:pPr>
        <w:ind w:left="180" w:right="120" w:hanging="172"/>
        <w:spacing w:after="0" w:line="237" w:lineRule="auto"/>
        <w:tabs>
          <w:tab w:leader="none" w:pos="158" w:val="left"/>
        </w:tabs>
        <w:numPr>
          <w:ilvl w:val="0"/>
          <w:numId w:val="1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attributable to redeemable non-controlling interest represents the portion of earnings held in the firm's consolidated investment products, which are not taxable to the firm despite being included in pre-tax income.</w:t>
      </w:r>
    </w:p>
    <w:p>
      <w:pPr>
        <w:spacing w:after="0" w:line="259" w:lineRule="exact"/>
        <w:rPr>
          <w:sz w:val="20"/>
          <w:szCs w:val="20"/>
          <w:color w:val="auto"/>
        </w:rPr>
      </w:pPr>
    </w:p>
    <w:p>
      <w:pPr>
        <w:ind w:right="380"/>
        <w:spacing w:after="0" w:line="386" w:lineRule="auto"/>
        <w:rPr>
          <w:sz w:val="20"/>
          <w:szCs w:val="20"/>
          <w:color w:val="auto"/>
        </w:rPr>
      </w:pPr>
      <w:r>
        <w:rPr>
          <w:rFonts w:ascii="Arial" w:cs="Arial" w:eastAsia="Arial" w:hAnsi="Arial"/>
          <w:sz w:val="18"/>
          <w:szCs w:val="18"/>
          <w:color w:val="auto"/>
        </w:rPr>
        <w:t>The 2026 U.S. GAAP and adjusted effective tax rates decreased compared to 2025 primarily due to lower state taxes resulting from prior period settlements and the reversal of certain deferred tax asset valuation allowances. Additionally, redeemable non-controlling interest partially offset those decreases on the U.S. GAAP effective tax rate.</w:t>
      </w:r>
    </w:p>
    <w:p>
      <w:pPr>
        <w:spacing w:after="0" w:line="189" w:lineRule="exact"/>
        <w:rPr>
          <w:sz w:val="20"/>
          <w:szCs w:val="20"/>
          <w:color w:val="auto"/>
        </w:rPr>
      </w:pPr>
    </w:p>
    <w:p>
      <w:pPr>
        <w:ind w:right="560"/>
        <w:spacing w:after="0" w:line="396" w:lineRule="auto"/>
        <w:rPr>
          <w:sz w:val="20"/>
          <w:szCs w:val="20"/>
          <w:color w:val="auto"/>
        </w:rPr>
      </w:pPr>
      <w:r>
        <w:rPr>
          <w:rFonts w:ascii="Arial" w:cs="Arial" w:eastAsia="Arial" w:hAnsi="Arial"/>
          <w:sz w:val="18"/>
          <w:szCs w:val="18"/>
          <w:color w:val="auto"/>
        </w:rPr>
        <w:t>The firm estimates that its effective tax rate for the full year 2026, on a U.S. GAAP and adjusted based, will be in the range of 23.0% to 26.0%.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214" w:lineRule="exact"/>
        <w:rPr>
          <w:sz w:val="20"/>
          <w:szCs w:val="20"/>
          <w:color w:val="auto"/>
        </w:rPr>
      </w:pPr>
    </w:p>
    <w:p>
      <w:pPr>
        <w:ind w:right="440"/>
        <w:spacing w:after="0" w:line="378"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first quarter of 2026 with the U.S. Securities and Exchange Commission later today. The Form 10-Q will include additional information on the firm's unaudited financial results at March 31, 2026.</w:t>
      </w:r>
    </w:p>
    <w:p>
      <w:pPr>
        <w:spacing w:after="0" w:line="197" w:lineRule="exact"/>
        <w:rPr>
          <w:sz w:val="20"/>
          <w:szCs w:val="20"/>
          <w:color w:val="auto"/>
        </w:rPr>
      </w:pPr>
    </w:p>
    <w:p>
      <w:pPr>
        <w:ind w:right="60"/>
        <w:spacing w:after="0" w:line="370"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our operations, expenses, earnings, liquidity, cash flows and capital expenditures, industry or market conditions, amount or composition of assets under management, flows into our investment funds, regulatory developments, changes in our effective fee rate, demand for and pricing of our products, new products and services, effective tax rates, net income and earnings per common share, future transactions, our strategic initiatives, general economic conditions, dividends, stock repurchases, and other market conditions. For a discussion concerning risks and other factors that could affect future results, see the firm's 2025 Annual Report on Form 10-K.</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1174" w:right="319" w:bottom="1440" w:gutter="0" w:footer="0" w:header="0"/>
        </w:sectPr>
      </w:pPr>
    </w:p>
    <w:bookmarkStart w:id="9" w:name="page10"/>
    <w:bookmarkEnd w:id="9"/>
    <w:p>
      <w:pPr>
        <w:spacing w:after="0" w:line="373" w:lineRule="auto"/>
        <w:rPr>
          <w:sz w:val="20"/>
          <w:szCs w:val="20"/>
          <w:color w:val="auto"/>
        </w:rPr>
      </w:pPr>
      <w:r>
        <w:rPr>
          <w:rFonts w:ascii="Arial" w:cs="Arial" w:eastAsia="Arial" w:hAnsi="Arial"/>
          <w:sz w:val="18"/>
          <w:szCs w:val="18"/>
          <w:color w:val="auto"/>
        </w:rPr>
        <w:t>T. Rowe Price (NASDAQ-GS: TROW) is a leading global asset management firm, entrusted with managing $1.71 trillion in client assets as of March 31, 2026, about two-thirds of which are retirement-related. Renowned for over 85 years of investment excellence, retirement leadership, and independent proprietary research, the firm leverages its longstanding expertise to ask better questions that can drive better investment decisions. Built on a culture of integrity and prioritizing client interests, T. Rowe Price empowers millions of investors worldwide to thrive amidst evolving markets. Visit troweprice.com/newsroom for news and public policy commentary.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04" w:lineRule="exact"/>
        <w:rPr>
          <w:sz w:val="20"/>
          <w:szCs w:val="20"/>
          <w:color w:val="auto"/>
        </w:rPr>
      </w:pPr>
    </w:p>
    <w:p>
      <w:pPr>
        <w:ind w:right="440"/>
        <w:spacing w:after="0" w:line="377" w:lineRule="auto"/>
        <w:rPr>
          <w:sz w:val="20"/>
          <w:szCs w:val="20"/>
          <w:color w:val="auto"/>
        </w:rPr>
      </w:pPr>
      <w:r>
        <w:rPr>
          <w:rFonts w:ascii="Arial" w:cs="Arial" w:eastAsia="Arial" w:hAnsi="Arial"/>
          <w:sz w:val="18"/>
          <w:szCs w:val="18"/>
          <w:color w:val="auto"/>
        </w:rPr>
        <w:t>Chair, Chief Executive Officer, and President Rob Sharps and Chief Financial Officer Jen Dardis will provide an update on business performance, review financial results, and answer questions on a webcast on Thursday, April 30, 2026 from 8:00 - 8:45 AM (Eastern Time).They will be joined by Glenn August, Founder and Chief Executive Officer of OHA, who will provide an update on the alternatives business. Eric Veiel, head of Global Investments, will join for the Q&amp;A portion.</w:t>
      </w:r>
    </w:p>
    <w:p>
      <w:pPr>
        <w:spacing w:after="0" w:line="198" w:lineRule="exact"/>
        <w:rPr>
          <w:sz w:val="20"/>
          <w:szCs w:val="20"/>
          <w:color w:val="auto"/>
        </w:rPr>
      </w:pPr>
    </w:p>
    <w:p>
      <w:pPr>
        <w:ind w:right="160"/>
        <w:spacing w:after="0" w:line="378" w:lineRule="auto"/>
        <w:rPr>
          <w:sz w:val="20"/>
          <w:szCs w:val="20"/>
          <w:color w:val="auto"/>
        </w:rPr>
      </w:pPr>
      <w:r>
        <w:rPr>
          <w:rFonts w:ascii="Arial" w:cs="Arial" w:eastAsia="Arial" w:hAnsi="Arial"/>
          <w:sz w:val="18"/>
          <w:szCs w:val="18"/>
          <w:color w:val="auto"/>
        </w:rPr>
        <w:t>To access the webcast or to obtain dial in instructions to ask a question, please visit: investors.troweprice.com. Supplemental materials will be available on the company's investor relations website. A replay of the webcast will be available on the firm's investor relations website shortly after the event.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4B85"/>
        </w:rPr>
        <w:t>T. ROWE PRICE 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4B85"/>
        </w:rPr>
        <w:t>Public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3B3B3B"/>
        </w:rPr>
        <w:t>Lauren Dear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3B3B3B"/>
        </w:rPr>
        <w:t>410-577-5009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lauren.dear@troweprice.com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004B85"/>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B3B3B"/>
        </w:rPr>
        <w:t>Linsley Carruth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3B3B3B"/>
        </w:rPr>
        <w:t>410-345-3717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linsley.carruth@troweprice.com</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066"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Unaudited Consolidated Statements of Income</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Three months ended</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r>
      <w:tr>
        <w:trPr>
          <w:trHeight w:val="181"/>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3/31/2026</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w w:val="96"/>
              </w:rPr>
              <w:t>3/31/2025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12/31/2025</w:t>
            </w:r>
          </w:p>
        </w:tc>
      </w:tr>
      <w:tr>
        <w:trPr>
          <w:trHeight w:val="184"/>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8"/>
        </w:trPr>
        <w:tc>
          <w:tcPr>
            <w:tcW w:w="7440" w:type="dxa"/>
            <w:vAlign w:val="bottom"/>
          </w:tcPr>
          <w:p>
            <w:pPr>
              <w:ind w:left="140"/>
              <w:spacing w:after="0"/>
              <w:rPr>
                <w:sz w:val="20"/>
                <w:szCs w:val="20"/>
                <w:color w:val="auto"/>
              </w:rPr>
            </w:pPr>
            <w:r>
              <w:rPr>
                <w:rFonts w:ascii="Arial" w:cs="Arial" w:eastAsia="Arial" w:hAnsi="Arial"/>
                <w:sz w:val="14"/>
                <w:szCs w:val="14"/>
                <w:color w:val="auto"/>
              </w:rPr>
              <w:t>Investment advisory fees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1,683.0</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1,598.4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1,737.6</w:t>
            </w:r>
          </w:p>
        </w:tc>
      </w:tr>
      <w:tr>
        <w:trPr>
          <w:trHeight w:val="207"/>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Performance-based advisory fees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98"/>
        </w:trPr>
        <w:tc>
          <w:tcPr>
            <w:tcW w:w="7440" w:type="dxa"/>
            <w:vAlign w:val="bottom"/>
          </w:tcPr>
          <w:p>
            <w:pPr>
              <w:ind w:left="140"/>
              <w:spacing w:after="0"/>
              <w:rPr>
                <w:sz w:val="20"/>
                <w:szCs w:val="20"/>
                <w:color w:val="auto"/>
              </w:rPr>
            </w:pPr>
            <w:r>
              <w:rPr>
                <w:rFonts w:ascii="Arial" w:cs="Arial" w:eastAsia="Arial" w:hAnsi="Arial"/>
                <w:sz w:val="14"/>
                <w:szCs w:val="14"/>
                <w:color w:val="auto"/>
              </w:rPr>
              <w:t>Capital allocation-based income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207"/>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Administrative, distribution, servicing, and other fees</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w:t>
            </w:r>
          </w:p>
        </w:tc>
      </w:tr>
      <w:tr>
        <w:trPr>
          <w:trHeight w:val="195"/>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Net revenues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1,857.0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1,763.9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1,934.1</w:t>
            </w:r>
          </w:p>
        </w:tc>
      </w:tr>
      <w:tr>
        <w:trPr>
          <w:trHeight w:val="75"/>
        </w:trPr>
        <w:tc>
          <w:tcPr>
            <w:tcW w:w="7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02"/>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Compensation, benefits, and related costs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705.1</w:t>
            </w:r>
          </w:p>
        </w:tc>
      </w:tr>
      <w:tr>
        <w:trPr>
          <w:trHeight w:val="198"/>
        </w:trPr>
        <w:tc>
          <w:tcPr>
            <w:tcW w:w="7440" w:type="dxa"/>
            <w:vAlign w:val="bottom"/>
          </w:tcPr>
          <w:p>
            <w:pPr>
              <w:ind w:left="240"/>
              <w:spacing w:after="0"/>
              <w:rPr>
                <w:sz w:val="20"/>
                <w:szCs w:val="20"/>
                <w:color w:val="auto"/>
              </w:rPr>
            </w:pPr>
            <w:r>
              <w:rPr>
                <w:rFonts w:ascii="Arial" w:cs="Arial" w:eastAsia="Arial" w:hAnsi="Arial"/>
                <w:sz w:val="14"/>
                <w:szCs w:val="14"/>
                <w:color w:val="auto"/>
              </w:rPr>
              <w:t>Acquisition-related retention agreements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07"/>
        </w:trPr>
        <w:tc>
          <w:tcPr>
            <w:tcW w:w="74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 allocation-based income compensation</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98"/>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Market-related change in deferred compensation liabilities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r>
      <w:tr>
        <w:trPr>
          <w:trHeight w:val="200"/>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compensation and related costs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761.6</w:t>
            </w:r>
          </w:p>
        </w:tc>
      </w:tr>
      <w:tr>
        <w:trPr>
          <w:trHeight w:val="199"/>
        </w:trPr>
        <w:tc>
          <w:tcPr>
            <w:tcW w:w="7440" w:type="dxa"/>
            <w:vAlign w:val="bottom"/>
          </w:tcPr>
          <w:p>
            <w:pPr>
              <w:ind w:left="140"/>
              <w:spacing w:after="0"/>
              <w:rPr>
                <w:sz w:val="20"/>
                <w:szCs w:val="20"/>
                <w:color w:val="auto"/>
              </w:rPr>
            </w:pPr>
            <w:r>
              <w:rPr>
                <w:rFonts w:ascii="Arial" w:cs="Arial" w:eastAsia="Arial" w:hAnsi="Arial"/>
                <w:sz w:val="14"/>
                <w:szCs w:val="14"/>
                <w:color w:val="auto"/>
              </w:rPr>
              <w:t>Distribution and servicing costs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101.6</w:t>
            </w:r>
          </w:p>
        </w:tc>
      </w:tr>
      <w:tr>
        <w:trPr>
          <w:trHeight w:val="206"/>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 and promotion costs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99"/>
        </w:trPr>
        <w:tc>
          <w:tcPr>
            <w:tcW w:w="7440" w:type="dxa"/>
            <w:vAlign w:val="bottom"/>
          </w:tcPr>
          <w:p>
            <w:pPr>
              <w:ind w:left="140"/>
              <w:spacing w:after="0"/>
              <w:rPr>
                <w:sz w:val="20"/>
                <w:szCs w:val="20"/>
                <w:color w:val="auto"/>
              </w:rPr>
            </w:pPr>
            <w:r>
              <w:rPr>
                <w:rFonts w:ascii="Arial" w:cs="Arial" w:eastAsia="Arial" w:hAnsi="Arial"/>
                <w:sz w:val="14"/>
                <w:szCs w:val="14"/>
                <w:color w:val="auto"/>
              </w:rPr>
              <w:t>Product and recordkeeping related costs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75.6</w:t>
            </w:r>
          </w:p>
        </w:tc>
      </w:tr>
      <w:tr>
        <w:trPr>
          <w:trHeight w:val="206"/>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occupancy, and facility costs</w:t>
            </w:r>
            <w:r>
              <w:rPr>
                <w:rFonts w:ascii="Arial" w:cs="Arial" w:eastAsia="Arial" w:hAnsi="Arial"/>
                <w:sz w:val="18"/>
                <w:szCs w:val="18"/>
                <w:color w:val="auto"/>
                <w:vertAlign w:val="superscript"/>
              </w:rPr>
              <w:t>(2)</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r>
      <w:tr>
        <w:trPr>
          <w:trHeight w:val="199"/>
        </w:trPr>
        <w:tc>
          <w:tcPr>
            <w:tcW w:w="7440" w:type="dxa"/>
            <w:vAlign w:val="bottom"/>
          </w:tcPr>
          <w:p>
            <w:pPr>
              <w:ind w:left="140"/>
              <w:spacing w:after="0"/>
              <w:rPr>
                <w:sz w:val="20"/>
                <w:szCs w:val="20"/>
                <w:color w:val="auto"/>
              </w:rPr>
            </w:pPr>
            <w:r>
              <w:rPr>
                <w:rFonts w:ascii="Arial" w:cs="Arial" w:eastAsia="Arial" w:hAnsi="Arial"/>
                <w:sz w:val="14"/>
                <w:szCs w:val="14"/>
                <w:color w:val="auto"/>
              </w:rPr>
              <w:t>General, administrative, and other costs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109.2</w:t>
            </w:r>
          </w:p>
        </w:tc>
      </w:tr>
      <w:tr>
        <w:trPr>
          <w:trHeight w:val="206"/>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Acquisition-related amortization and impairment costs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98"/>
        </w:trPr>
        <w:tc>
          <w:tcPr>
            <w:tcW w:w="7440" w:type="dxa"/>
            <w:vAlign w:val="bottom"/>
          </w:tcPr>
          <w:p>
            <w:pPr>
              <w:ind w:left="140"/>
              <w:spacing w:after="0"/>
              <w:rPr>
                <w:sz w:val="20"/>
                <w:szCs w:val="20"/>
                <w:color w:val="auto"/>
              </w:rPr>
            </w:pPr>
            <w:r>
              <w:rPr>
                <w:rFonts w:ascii="Arial" w:cs="Arial" w:eastAsia="Arial" w:hAnsi="Arial"/>
                <w:sz w:val="14"/>
                <w:szCs w:val="14"/>
                <w:color w:val="auto"/>
              </w:rPr>
              <w:t>Restructuring charge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148.8</w:t>
            </w:r>
          </w:p>
        </w:tc>
      </w:tr>
      <w:tr>
        <w:trPr>
          <w:trHeight w:val="199"/>
        </w:trPr>
        <w:tc>
          <w:tcPr>
            <w:tcW w:w="7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1,176.5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1,463.1</w:t>
            </w:r>
          </w:p>
        </w:tc>
      </w:tr>
      <w:tr>
        <w:trPr>
          <w:trHeight w:val="76"/>
        </w:trPr>
        <w:tc>
          <w:tcPr>
            <w:tcW w:w="7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471.0</w:t>
            </w:r>
          </w:p>
        </w:tc>
      </w:tr>
      <w:tr>
        <w:trPr>
          <w:trHeight w:val="94"/>
        </w:trPr>
        <w:tc>
          <w:tcPr>
            <w:tcW w:w="7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8"/>
        </w:trPr>
        <w:tc>
          <w:tcPr>
            <w:tcW w:w="7440" w:type="dxa"/>
            <w:vAlign w:val="bottom"/>
          </w:tcPr>
          <w:p>
            <w:pPr>
              <w:ind w:left="140"/>
              <w:spacing w:after="0"/>
              <w:rPr>
                <w:sz w:val="20"/>
                <w:szCs w:val="20"/>
                <w:color w:val="auto"/>
              </w:rPr>
            </w:pPr>
            <w:r>
              <w:rPr>
                <w:rFonts w:ascii="Arial" w:cs="Arial" w:eastAsia="Arial" w:hAnsi="Arial"/>
                <w:sz w:val="14"/>
                <w:szCs w:val="14"/>
                <w:color w:val="auto"/>
              </w:rPr>
              <w:t>Net gains (losses) on investments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105.9</w:t>
            </w:r>
          </w:p>
        </w:tc>
      </w:tr>
      <w:tr>
        <w:trPr>
          <w:trHeight w:val="207"/>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gains (losses) on consolidated investment products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r>
      <w:tr>
        <w:trPr>
          <w:trHeight w:val="198"/>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gains (losses), including foreign currency gains (losses)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199"/>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142.1</w:t>
            </w:r>
          </w:p>
        </w:tc>
      </w:tr>
      <w:tr>
        <w:trPr>
          <w:trHeight w:val="75"/>
        </w:trPr>
        <w:tc>
          <w:tcPr>
            <w:tcW w:w="7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613.1</w:t>
            </w:r>
          </w:p>
        </w:tc>
      </w:tr>
      <w:tr>
        <w:trPr>
          <w:trHeight w:val="19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w:t>
            </w:r>
          </w:p>
        </w:tc>
      </w:tr>
      <w:tr>
        <w:trPr>
          <w:trHeight w:val="20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460.6</w:t>
            </w:r>
          </w:p>
        </w:tc>
      </w:tr>
      <w:tr>
        <w:trPr>
          <w:trHeight w:val="198"/>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r>
      <w:tr>
        <w:trPr>
          <w:trHeight w:val="20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 Rowe Price Group, Inc.</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445.3</w:t>
            </w:r>
          </w:p>
        </w:tc>
      </w:tr>
      <w:tr>
        <w:trPr>
          <w:trHeight w:val="202"/>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r>
      <w:tr>
        <w:trPr>
          <w:trHeight w:val="22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allocated to T. Rowe Price Group, Inc. common stockholders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485.7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 on common stock of T. Rowe Price Group, Inc.</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Arial" w:cs="Arial" w:eastAsia="Arial" w:hAnsi="Arial"/>
                <w:sz w:val="14"/>
                <w:szCs w:val="14"/>
                <w:color w:val="auto"/>
              </w:rPr>
              <w:t>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Weighted-average common shares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Arial" w:cs="Arial" w:eastAsia="Arial" w:hAnsi="Arial"/>
                <w:sz w:val="14"/>
                <w:szCs w:val="14"/>
                <w:color w:val="auto"/>
              </w:rPr>
              <w:t>Outstanding</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218.2</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1"/>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Outstanding assuming dilution</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7440" w:type="dxa"/>
            <w:vAlign w:val="bottom"/>
            <w:shd w:val="clear" w:color="auto" w:fill="CCEEFF"/>
          </w:tcPr>
          <w:p>
            <w:pPr>
              <w:ind w:left="20"/>
              <w:spacing w:after="0" w:line="177" w:lineRule="exact"/>
              <w:rPr>
                <w:sz w:val="20"/>
                <w:szCs w:val="20"/>
                <w:color w:val="auto"/>
              </w:rPr>
            </w:pPr>
            <w:r>
              <w:rPr>
                <w:rFonts w:ascii="Arial" w:cs="Arial" w:eastAsia="Arial" w:hAnsi="Arial"/>
                <w:sz w:val="14"/>
                <w:szCs w:val="14"/>
                <w:b w:val="1"/>
                <w:bCs w:val="1"/>
                <w:color w:val="auto"/>
              </w:rPr>
              <w:t>Summary of Adjusted Basis</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Three months ended</w:t>
            </w: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r>
      <w:tr>
        <w:trPr>
          <w:trHeight w:val="222"/>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per-share data)</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3/31/2026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w w:val="96"/>
              </w:rPr>
              <w:t>3/31/2025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12/31/2025</w:t>
            </w:r>
          </w:p>
        </w:tc>
      </w:tr>
      <w:tr>
        <w:trPr>
          <w:trHeight w:val="198"/>
        </w:trPr>
        <w:tc>
          <w:tcPr>
            <w:tcW w:w="744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1,155.2</w:t>
            </w:r>
          </w:p>
        </w:tc>
        <w:tc>
          <w:tcPr>
            <w:tcW w:w="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1,135.1</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1,249.8</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 excluding accrued carried interest related compensation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1,231.1</w:t>
            </w:r>
          </w:p>
        </w:tc>
      </w:tr>
      <w:tr>
        <w:trPr>
          <w:trHeight w:val="198"/>
        </w:trPr>
        <w:tc>
          <w:tcPr>
            <w:tcW w:w="7440" w:type="dxa"/>
            <w:vAlign w:val="bottom"/>
          </w:tcPr>
          <w:p>
            <w:pPr>
              <w:ind w:left="20"/>
              <w:spacing w:after="0"/>
              <w:rPr>
                <w:sz w:val="20"/>
                <w:szCs w:val="20"/>
                <w:color w:val="auto"/>
              </w:rPr>
            </w:pPr>
            <w:r>
              <w:rPr>
                <w:rFonts w:ascii="Arial" w:cs="Arial" w:eastAsia="Arial" w:hAnsi="Arial"/>
                <w:sz w:val="14"/>
                <w:szCs w:val="14"/>
                <w:color w:val="auto"/>
              </w:rPr>
              <w:t>Net operating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706.1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640.6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691.7</w:t>
            </w:r>
          </w:p>
        </w:tc>
      </w:tr>
      <w:tr>
        <w:trPr>
          <w:trHeight w:val="20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income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199"/>
        </w:trPr>
        <w:tc>
          <w:tcPr>
            <w:tcW w:w="7440" w:type="dxa"/>
            <w:vAlign w:val="bottom"/>
          </w:tcPr>
          <w:p>
            <w:pPr>
              <w:ind w:left="20"/>
              <w:spacing w:after="0"/>
              <w:rPr>
                <w:sz w:val="20"/>
                <w:szCs w:val="20"/>
                <w:color w:val="auto"/>
              </w:rPr>
            </w:pPr>
            <w:r>
              <w:rPr>
                <w:rFonts w:ascii="Arial" w:cs="Arial" w:eastAsia="Arial" w:hAnsi="Arial"/>
                <w:sz w:val="14"/>
                <w:szCs w:val="14"/>
                <w:color w:val="auto"/>
              </w:rPr>
              <w:t>Net income attributable to T. Rowe Price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562.0</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509.3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547.1</w:t>
            </w:r>
          </w:p>
        </w:tc>
      </w:tr>
      <w:tr>
        <w:trPr>
          <w:trHeight w:val="203"/>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common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w:t>
      </w:r>
      <w:r>
        <w:rPr>
          <w:rFonts w:ascii="Arial" w:cs="Arial" w:eastAsia="Arial" w:hAnsi="Arial"/>
          <w:sz w:val="16"/>
          <w:szCs w:val="16"/>
          <w:i w:val="1"/>
          <w:iCs w:val="1"/>
          <w:color w:val="auto"/>
          <w:vertAlign w:val="superscript"/>
        </w:rPr>
        <w:t>1</w:t>
      </w:r>
      <w:r>
        <w:rPr>
          <w:rFonts w:ascii="Arial" w:cs="Arial" w:eastAsia="Arial" w:hAnsi="Arial"/>
          <w:sz w:val="16"/>
          <w:szCs w:val="16"/>
          <w:color w:val="auto"/>
          <w:vertAlign w:val="superscript"/>
        </w:rPr>
        <w:t>)</w:t>
      </w:r>
      <w:r>
        <w:rPr>
          <w:rFonts w:ascii="Arial" w:cs="Arial" w:eastAsia="Arial" w:hAnsi="Arial"/>
          <w:sz w:val="13"/>
          <w:szCs w:val="13"/>
          <w:i w:val="1"/>
          <w:iCs w:val="1"/>
          <w:color w:val="auto"/>
        </w:rPr>
        <w:t xml:space="preserve"> See the reconciliation to the comparable U.S. GAAP measures at the end of this earnings release.</w:t>
      </w:r>
    </w:p>
    <w:p>
      <w:pPr>
        <w:spacing w:after="0" w:line="4" w:lineRule="exact"/>
        <w:rPr>
          <w:sz w:val="20"/>
          <w:szCs w:val="20"/>
          <w:color w:val="auto"/>
        </w:rPr>
      </w:pPr>
    </w:p>
    <w:p>
      <w:pPr>
        <w:ind w:left="180" w:right="60" w:hanging="172"/>
        <w:spacing w:after="0" w:line="229" w:lineRule="auto"/>
        <w:tabs>
          <w:tab w:leader="none" w:pos="153"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 Q1 2026, we began reporting technology-related professional fees and servicing costs from general, administrative, and other costs to technology, occupancy, and facilities costs to better align with the nature of the expenses following the outsourcing and expansion of our technology capabilities through trusted vendor partnerships. Prior periods were recast to reflect this change. Amounts reclassified were $13.6M for Q1 2025 and $18.2M for Q4 2025.</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55" w:right="339" w:bottom="1440" w:gutter="0" w:footer="0" w:header="0"/>
        </w:sectPr>
      </w:pPr>
    </w:p>
    <w:bookmarkStart w:id="11" w:name="page12"/>
    <w:bookmarkEnd w:id="11"/>
    <w:p>
      <w:pPr>
        <w:ind w:right="480"/>
        <w:spacing w:after="0" w:line="396" w:lineRule="auto"/>
        <w:rPr>
          <w:sz w:val="20"/>
          <w:szCs w:val="20"/>
          <w:color w:val="auto"/>
        </w:rPr>
      </w:pPr>
      <w:r>
        <w:rPr>
          <w:rFonts w:ascii="Arial" w:cs="Arial" w:eastAsia="Arial" w:hAnsi="Arial"/>
          <w:sz w:val="18"/>
          <w:szCs w:val="18"/>
          <w:color w:val="auto"/>
        </w:rPr>
        <w:t>The following table summarizes the cash flows for the three months ended 2026 that are attributable to T. Rowe Price, our consolidated investment products, and the related eliminations required.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gridSpan w:val="5"/>
            <w:shd w:val="clear" w:color="auto" w:fill="CCEEFF"/>
          </w:tcPr>
          <w:p>
            <w:pPr>
              <w:jc w:val="center"/>
              <w:ind w:right="420"/>
              <w:spacing w:after="0"/>
              <w:rPr>
                <w:sz w:val="20"/>
                <w:szCs w:val="20"/>
                <w:color w:val="auto"/>
              </w:rPr>
            </w:pPr>
            <w:r>
              <w:rPr>
                <w:rFonts w:ascii="Arial" w:cs="Arial" w:eastAsia="Arial" w:hAnsi="Arial"/>
                <w:sz w:val="14"/>
                <w:szCs w:val="14"/>
                <w:color w:val="auto"/>
              </w:rPr>
              <w:t>Three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3/31/2026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rPr>
              <w:t>Cash flow</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280"/>
              <w:spacing w:after="0" w:line="151" w:lineRule="exact"/>
              <w:rPr>
                <w:sz w:val="20"/>
                <w:szCs w:val="20"/>
                <w:color w:val="auto"/>
              </w:rPr>
            </w:pPr>
            <w:r>
              <w:rPr>
                <w:rFonts w:ascii="Arial" w:cs="Arial" w:eastAsia="Arial" w:hAnsi="Arial"/>
                <w:sz w:val="14"/>
                <w:szCs w:val="14"/>
                <w:color w:val="auto"/>
              </w:rPr>
              <w:t>Cash flow</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rPr>
              <w:t>attributable to</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gridSpan w:val="3"/>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rPr>
              <w:t>attributable to T.</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280"/>
              <w:spacing w:after="0" w:line="145" w:lineRule="exact"/>
              <w:rPr>
                <w:sz w:val="20"/>
                <w:szCs w:val="20"/>
                <w:color w:val="auto"/>
              </w:rPr>
            </w:pPr>
            <w:r>
              <w:rPr>
                <w:rFonts w:ascii="Arial" w:cs="Arial" w:eastAsia="Arial" w:hAnsi="Arial"/>
                <w:sz w:val="14"/>
                <w:szCs w:val="14"/>
                <w:color w:val="auto"/>
              </w:rPr>
              <w:t>consolidated</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Elims</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89"/>
        </w:trPr>
        <w:tc>
          <w:tcPr>
            <w:tcW w:w="64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Rowe Price</w:t>
            </w: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rPr>
              <w:t>investment products</w:t>
            </w: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42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484.1</w:t>
            </w:r>
          </w:p>
        </w:tc>
        <w:tc>
          <w:tcPr>
            <w:tcW w:w="0" w:type="dxa"/>
            <w:vAlign w:val="bottom"/>
          </w:tcPr>
          <w:p>
            <w:pPr>
              <w:spacing w:after="0"/>
              <w:rPr>
                <w:sz w:val="1"/>
                <w:szCs w:val="1"/>
                <w:color w:val="auto"/>
              </w:rPr>
            </w:pPr>
          </w:p>
        </w:tc>
      </w:tr>
      <w:tr>
        <w:trPr>
          <w:trHeight w:val="198"/>
        </w:trPr>
        <w:tc>
          <w:tcPr>
            <w:tcW w:w="6420" w:type="dxa"/>
            <w:vAlign w:val="bottom"/>
          </w:tcPr>
          <w:p>
            <w:pPr>
              <w:ind w:left="1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amortization and impairments of property, equipment and software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98"/>
        </w:trPr>
        <w:tc>
          <w:tcPr>
            <w:tcW w:w="6420" w:type="dxa"/>
            <w:vAlign w:val="bottom"/>
          </w:tcPr>
          <w:p>
            <w:pPr>
              <w:ind w:left="220"/>
              <w:spacing w:after="0"/>
              <w:rPr>
                <w:sz w:val="20"/>
                <w:szCs w:val="20"/>
                <w:color w:val="auto"/>
              </w:rPr>
            </w:pPr>
            <w:r>
              <w:rPr>
                <w:rFonts w:ascii="Arial" w:cs="Arial" w:eastAsia="Arial" w:hAnsi="Arial"/>
                <w:sz w:val="14"/>
                <w:szCs w:val="14"/>
                <w:color w:val="auto"/>
              </w:rPr>
              <w:t>Amortization and impairment of acquisition-related assets and retention agreements</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7"/>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98"/>
        </w:trPr>
        <w:tc>
          <w:tcPr>
            <w:tcW w:w="6420" w:type="dxa"/>
            <w:vAlign w:val="bottom"/>
          </w:tcPr>
          <w:p>
            <w:pPr>
              <w:ind w:left="220"/>
              <w:spacing w:after="0"/>
              <w:rPr>
                <w:sz w:val="20"/>
                <w:szCs w:val="20"/>
                <w:color w:val="auto"/>
              </w:rPr>
            </w:pPr>
            <w:r>
              <w:rPr>
                <w:rFonts w:ascii="Arial" w:cs="Arial" w:eastAsia="Arial" w:hAnsi="Arial"/>
                <w:sz w:val="14"/>
                <w:szCs w:val="14"/>
                <w:color w:val="auto"/>
              </w:rPr>
              <w:t>Net (gains) losses recognized on investments</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57"/>
        </w:trPr>
        <w:tc>
          <w:tcPr>
            <w:tcW w:w="642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Net (investments) redemptions in sponsored investment products used to economically hedge</w:t>
            </w: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85"/>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compensation liabilities</w:t>
            </w: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20" w:type="dxa"/>
            <w:vAlign w:val="bottom"/>
          </w:tcPr>
          <w:p>
            <w:pPr>
              <w:ind w:left="220"/>
              <w:spacing w:after="0"/>
              <w:rPr>
                <w:sz w:val="20"/>
                <w:szCs w:val="20"/>
                <w:color w:val="auto"/>
              </w:rPr>
            </w:pPr>
            <w:r>
              <w:rPr>
                <w:rFonts w:ascii="Arial" w:cs="Arial" w:eastAsia="Arial" w:hAnsi="Arial"/>
                <w:sz w:val="14"/>
                <w:szCs w:val="14"/>
                <w:color w:val="auto"/>
              </w:rPr>
              <w:t>Net change in trading securities held by consolidated investment products</w:t>
            </w: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207"/>
        </w:trPr>
        <w:tc>
          <w:tcPr>
            <w:tcW w:w="6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changes</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192"/>
        </w:trPr>
        <w:tc>
          <w:tcPr>
            <w:tcW w:w="642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824.3</w:t>
            </w:r>
          </w:p>
        </w:tc>
        <w:tc>
          <w:tcPr>
            <w:tcW w:w="0" w:type="dxa"/>
            <w:vAlign w:val="bottom"/>
          </w:tcPr>
          <w:p>
            <w:pPr>
              <w:spacing w:after="0"/>
              <w:rPr>
                <w:sz w:val="1"/>
                <w:szCs w:val="1"/>
                <w:color w:val="auto"/>
              </w:rPr>
            </w:pPr>
          </w:p>
        </w:tc>
      </w:tr>
      <w:tr>
        <w:trPr>
          <w:trHeight w:val="207"/>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98"/>
        </w:trPr>
        <w:tc>
          <w:tcPr>
            <w:tcW w:w="642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207"/>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 of consolidated investment products</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2"/>
        </w:trPr>
        <w:tc>
          <w:tcPr>
            <w:tcW w:w="6420" w:type="dxa"/>
            <w:vAlign w:val="bottom"/>
          </w:tcPr>
          <w:p>
            <w:pPr>
              <w:ind w:left="20"/>
              <w:spacing w:after="0"/>
              <w:rPr>
                <w:sz w:val="20"/>
                <w:szCs w:val="20"/>
                <w:color w:val="auto"/>
              </w:rPr>
            </w:pPr>
            <w:r>
              <w:rPr>
                <w:rFonts w:ascii="Arial" w:cs="Arial" w:eastAsia="Arial" w:hAnsi="Arial"/>
                <w:sz w:val="14"/>
                <w:szCs w:val="14"/>
                <w:color w:val="auto"/>
              </w:rPr>
              <w:t>Net change in cash and cash equivalents during year</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379.1</w:t>
            </w: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3,417.3</w:t>
            </w:r>
          </w:p>
        </w:tc>
        <w:tc>
          <w:tcPr>
            <w:tcW w:w="0" w:type="dxa"/>
            <w:vAlign w:val="bottom"/>
          </w:tcPr>
          <w:p>
            <w:pPr>
              <w:spacing w:after="0"/>
              <w:rPr>
                <w:sz w:val="1"/>
                <w:szCs w:val="1"/>
                <w:color w:val="auto"/>
              </w:rPr>
            </w:pPr>
          </w:p>
        </w:tc>
      </w:tr>
      <w:tr>
        <w:trPr>
          <w:trHeight w:val="200"/>
        </w:trPr>
        <w:tc>
          <w:tcPr>
            <w:tcW w:w="6420" w:type="dxa"/>
            <w:vAlign w:val="bottom"/>
          </w:tcPr>
          <w:p>
            <w:pPr>
              <w:ind w:left="20"/>
              <w:spacing w:after="0"/>
              <w:rPr>
                <w:sz w:val="20"/>
                <w:szCs w:val="20"/>
                <w:color w:val="auto"/>
              </w:rPr>
            </w:pPr>
            <w:r>
              <w:rPr>
                <w:rFonts w:ascii="Arial" w:cs="Arial" w:eastAsia="Arial" w:hAnsi="Arial"/>
                <w:sz w:val="14"/>
                <w:szCs w:val="14"/>
                <w:color w:val="auto"/>
              </w:rPr>
              <w:t>Cash and cash equivalents at end of year</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3,729.8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3,796.4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231775</wp:posOffset>
            </wp:positionV>
            <wp:extent cx="705485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12827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p>
      <w:pPr>
        <w:spacing w:after="0" w:line="369" w:lineRule="exact"/>
        <w:rPr>
          <w:sz w:val="20"/>
          <w:szCs w:val="20"/>
          <w:color w:val="auto"/>
        </w:rPr>
      </w:pPr>
    </w:p>
    <w:p>
      <w:pPr>
        <w:ind w:left="80" w:right="3820"/>
        <w:spacing w:after="0" w:line="311" w:lineRule="auto"/>
        <w:rPr>
          <w:sz w:val="20"/>
          <w:szCs w:val="20"/>
          <w:color w:val="auto"/>
        </w:rPr>
      </w:pPr>
      <w:r>
        <w:rPr>
          <w:rFonts w:ascii="Arial" w:cs="Arial" w:eastAsia="Arial" w:hAnsi="Arial"/>
          <w:sz w:val="14"/>
          <w:szCs w:val="14"/>
          <w:b w:val="1"/>
          <w:bCs w:val="1"/>
          <w:color w:val="auto"/>
        </w:rPr>
        <w:t>Unaudited Condensed Consolidated Balance Sheet Information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-10160</wp:posOffset>
            </wp:positionV>
            <wp:extent cx="705485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Cash and cash equivalents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Accounts receivable and accrued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pacing w:after="0" w:line="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Investments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Assets of consolidated investment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pacing w:after="0" w:line="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Operating lease assets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Property, equipment and software,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pacing w:after="0" w:line="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Goodwill and intangible assets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Total assets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4"/>
          <w:szCs w:val="14"/>
          <w:color w:val="auto"/>
        </w:rPr>
        <w:t>Deferred compensation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214630"/>
                    </a:xfrm>
                    <a:prstGeom prst="rect">
                      <a:avLst/>
                    </a:prstGeom>
                    <a:noFill/>
                  </pic:spPr>
                </pic:pic>
              </a:graphicData>
            </a:graphic>
          </wp:anchor>
        </w:drawing>
      </w:r>
    </w:p>
    <w:p>
      <w:pPr>
        <w:spacing w:after="0" w:line="22" w:lineRule="exact"/>
        <w:rPr>
          <w:sz w:val="20"/>
          <w:szCs w:val="20"/>
          <w:color w:val="auto"/>
        </w:rPr>
      </w:pPr>
    </w:p>
    <w:p>
      <w:pPr>
        <w:ind w:left="80" w:right="360"/>
        <w:spacing w:after="0" w:line="252" w:lineRule="auto"/>
        <w:rPr>
          <w:sz w:val="20"/>
          <w:szCs w:val="20"/>
          <w:color w:val="auto"/>
        </w:rPr>
      </w:pPr>
      <w:r>
        <w:rPr>
          <w:rFonts w:ascii="Arial" w:cs="Arial" w:eastAsia="Arial" w:hAnsi="Arial"/>
          <w:sz w:val="14"/>
          <w:szCs w:val="14"/>
          <w:color w:val="auto"/>
        </w:rPr>
        <w:t>Total other liabilities, includes $113.5 million at March 31, 2026 and $21.3 million at December 31, 2025, from consolidated investment products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22860</wp:posOffset>
            </wp:positionV>
            <wp:extent cx="705485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214630"/>
                    </a:xfrm>
                    <a:prstGeom prst="rect">
                      <a:avLst/>
                    </a:prstGeom>
                    <a:noFill/>
                  </pic:spPr>
                </pic:pic>
              </a:graphicData>
            </a:graphic>
          </wp:anchor>
        </w:drawing>
      </w:r>
    </w:p>
    <w:p>
      <w:pPr>
        <w:spacing w:after="0" w:line="20" w:lineRule="exact"/>
        <w:rPr>
          <w:sz w:val="20"/>
          <w:szCs w:val="20"/>
          <w:color w:val="auto"/>
        </w:rPr>
      </w:pPr>
    </w:p>
    <w:p>
      <w:pPr>
        <w:ind w:left="80"/>
        <w:spacing w:after="0" w:line="273" w:lineRule="auto"/>
        <w:rPr>
          <w:sz w:val="20"/>
          <w:szCs w:val="20"/>
          <w:color w:val="auto"/>
        </w:rPr>
      </w:pPr>
      <w:r>
        <w:rPr>
          <w:rFonts w:ascii="Arial" w:cs="Arial" w:eastAsia="Arial" w:hAnsi="Arial"/>
          <w:sz w:val="14"/>
          <w:szCs w:val="14"/>
          <w:b w:val="1"/>
          <w:bCs w:val="1"/>
          <w:color w:val="auto"/>
        </w:rPr>
        <w:t>Stockholders' equity attributable to T. Rowe Price Group, Inc., 214.9 common shares outstanding at March 31, 2026 and 221.1 common shares outstanding at December 31, 2025</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This includes both redeemable and non-redeemable non-controlling interest in consolidated entities.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7399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3/31/2026</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12/31/2025</w:t>
            </w:r>
          </w:p>
        </w:tc>
      </w:tr>
      <w:tr>
        <w:trPr>
          <w:trHeight w:val="192"/>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3,729.8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3,378.2</w:t>
            </w:r>
          </w:p>
        </w:tc>
      </w:tr>
      <w:tr>
        <w:trPr>
          <w:trHeight w:val="203"/>
        </w:trPr>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931.2</w:t>
            </w:r>
          </w:p>
        </w:tc>
      </w:tr>
      <w:tr>
        <w:trPr>
          <w:trHeight w:val="203"/>
        </w:trPr>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3,167.1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3,325.2</w:t>
            </w:r>
          </w:p>
        </w:tc>
      </w:tr>
      <w:tr>
        <w:trPr>
          <w:trHeight w:val="203"/>
        </w:trPr>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1,951.0</w:t>
            </w:r>
          </w:p>
        </w:tc>
      </w:tr>
      <w:tr>
        <w:trPr>
          <w:trHeight w:val="203"/>
        </w:trPr>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382.9</w:t>
            </w:r>
          </w:p>
        </w:tc>
      </w:tr>
      <w:tr>
        <w:trPr>
          <w:trHeight w:val="203"/>
        </w:trPr>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845.3</w:t>
            </w:r>
          </w:p>
        </w:tc>
      </w:tr>
      <w:tr>
        <w:trPr>
          <w:trHeight w:val="203"/>
        </w:trPr>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2,903.3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2,917.0</w:t>
            </w:r>
          </w:p>
        </w:tc>
      </w:tr>
      <w:tr>
        <w:trPr>
          <w:trHeight w:val="207"/>
        </w:trPr>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611.0</w:t>
            </w:r>
          </w:p>
        </w:tc>
      </w:tr>
      <w:tr>
        <w:trPr>
          <w:trHeight w:val="198"/>
        </w:trPr>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14,393.0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14,341.8</w:t>
            </w:r>
          </w:p>
        </w:tc>
      </w:tr>
      <w:tr>
        <w:trPr>
          <w:trHeight w:val="196"/>
        </w:trPr>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1,176.8</w:t>
            </w:r>
          </w:p>
        </w:tc>
      </w:tr>
      <w:tr>
        <w:trPr>
          <w:trHeight w:val="338"/>
        </w:trPr>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1,111.8</w:t>
            </w:r>
          </w:p>
        </w:tc>
      </w:tr>
      <w:tr>
        <w:trPr>
          <w:trHeight w:val="207"/>
        </w:trPr>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1,193.1</w:t>
            </w:r>
          </w:p>
        </w:tc>
      </w:tr>
      <w:tr>
        <w:trPr>
          <w:trHeight w:val="293"/>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10,777.6</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10,860.1</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428" w:lineRule="exact"/>
        <w:rPr>
          <w:sz w:val="20"/>
          <w:szCs w:val="20"/>
          <w:color w:val="auto"/>
        </w:rPr>
      </w:pPr>
    </w:p>
    <w:p>
      <w:pPr>
        <w:sectPr>
          <w:pgSz w:w="11900" w:h="16838" w:orient="portrait"/>
          <w:cols w:equalWidth="0" w:num="2">
            <w:col w:w="8240" w:space="200"/>
            <w:col w:w="2800"/>
          </w:cols>
          <w:pgMar w:left="320" w:top="10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66" w:right="339" w:bottom="1440" w:gutter="0" w:footer="0" w:header="0"/>
          <w:type w:val="continuous"/>
        </w:sectPr>
      </w:pPr>
    </w:p>
    <w:bookmarkStart w:id="12" w:name="page13"/>
    <w:bookmarkEnd w:id="12"/>
    <w:p>
      <w:pPr>
        <w:ind w:right="120"/>
        <w:spacing w:after="0" w:line="396" w:lineRule="auto"/>
        <w:rPr>
          <w:sz w:val="20"/>
          <w:szCs w:val="20"/>
          <w:color w:val="auto"/>
        </w:rPr>
      </w:pPr>
      <w:r>
        <w:rPr>
          <w:rFonts w:ascii="Arial" w:cs="Arial" w:eastAsia="Arial" w:hAnsi="Arial"/>
          <w:sz w:val="18"/>
          <w:szCs w:val="18"/>
          <w:color w:val="auto"/>
        </w:rPr>
        <w:t>The following tables detail changes in our investments in affiliated private investment funds - carried interest and non-controlling interest in consolidated entities.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in affiliated private investment funds - carried interest</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color w:val="auto"/>
              </w:rPr>
              <w:t>Three months ended</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9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3/31/2026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3/31/2025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12/31/2025</w:t>
            </w:r>
          </w:p>
        </w:tc>
      </w:tr>
      <w:tr>
        <w:trPr>
          <w:trHeight w:val="200"/>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413.1</w:t>
            </w:r>
          </w:p>
        </w:tc>
      </w:tr>
      <w:tr>
        <w:trPr>
          <w:trHeight w:val="198"/>
        </w:trPr>
        <w:tc>
          <w:tcPr>
            <w:tcW w:w="7320" w:type="dxa"/>
            <w:vAlign w:val="bottom"/>
          </w:tcPr>
          <w:p>
            <w:pPr>
              <w:ind w:left="20"/>
              <w:spacing w:after="0"/>
              <w:rPr>
                <w:sz w:val="20"/>
                <w:szCs w:val="20"/>
                <w:color w:val="auto"/>
              </w:rPr>
            </w:pPr>
            <w:r>
              <w:rPr>
                <w:rFonts w:ascii="Arial" w:cs="Arial" w:eastAsia="Arial" w:hAnsi="Arial"/>
                <w:sz w:val="14"/>
                <w:szCs w:val="14"/>
                <w:color w:val="auto"/>
              </w:rPr>
              <w:t>Capital allocation-based income:</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7"/>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accrued carried interest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r>
      <w:tr>
        <w:trPr>
          <w:trHeight w:val="198"/>
        </w:trPr>
        <w:tc>
          <w:tcPr>
            <w:tcW w:w="7320" w:type="dxa"/>
            <w:vAlign w:val="bottom"/>
          </w:tcPr>
          <w:p>
            <w:pPr>
              <w:ind w:left="180"/>
              <w:spacing w:after="0"/>
              <w:rPr>
                <w:sz w:val="20"/>
                <w:szCs w:val="20"/>
                <w:color w:val="auto"/>
              </w:rPr>
            </w:pPr>
            <w:r>
              <w:rPr>
                <w:rFonts w:ascii="Arial" w:cs="Arial" w:eastAsia="Arial" w:hAnsi="Arial"/>
                <w:sz w:val="14"/>
                <w:szCs w:val="14"/>
                <w:color w:val="auto"/>
              </w:rPr>
              <w:t>Acquisition-related amortization and impairments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distributions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r>
      <w:tr>
        <w:trPr>
          <w:trHeight w:val="200"/>
        </w:trPr>
        <w:tc>
          <w:tcPr>
            <w:tcW w:w="7320" w:type="dxa"/>
            <w:vAlign w:val="bottom"/>
          </w:tcPr>
          <w:p>
            <w:pPr>
              <w:ind w:left="20"/>
              <w:spacing w:after="0"/>
              <w:rPr>
                <w:sz w:val="20"/>
                <w:szCs w:val="20"/>
                <w:color w:val="auto"/>
              </w:rPr>
            </w:pPr>
            <w:r>
              <w:rPr>
                <w:rFonts w:ascii="Arial" w:cs="Arial" w:eastAsia="Arial" w:hAnsi="Arial"/>
                <w:sz w:val="14"/>
                <w:szCs w:val="14"/>
                <w:color w:val="auto"/>
              </w:rPr>
              <w:t>Balance at end of period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377.4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382.6</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390.3</w:t>
            </w: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Non-controlling interests (NCI) in consolidated entities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color w:val="auto"/>
              </w:rPr>
              <w:t>Three months ended</w:t>
            </w: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19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3/31/2026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rPr>
              <w:t>3/31/2025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12/31/2025</w:t>
            </w:r>
          </w:p>
        </w:tc>
      </w:tr>
      <w:tr>
        <w:trPr>
          <w:trHeight w:val="200"/>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w:t>
            </w:r>
          </w:p>
        </w:tc>
      </w:tr>
      <w:tr>
        <w:trPr>
          <w:trHeight w:val="199"/>
        </w:trPr>
        <w:tc>
          <w:tcPr>
            <w:tcW w:w="7320" w:type="dxa"/>
            <w:vAlign w:val="bottom"/>
          </w:tcPr>
          <w:p>
            <w:pPr>
              <w:ind w:left="20"/>
              <w:spacing w:after="0"/>
              <w:rPr>
                <w:sz w:val="20"/>
                <w:szCs w:val="20"/>
                <w:color w:val="auto"/>
              </w:rPr>
            </w:pPr>
            <w:r>
              <w:rPr>
                <w:rFonts w:ascii="Arial" w:cs="Arial" w:eastAsia="Arial" w:hAnsi="Arial"/>
                <w:sz w:val="14"/>
                <w:szCs w:val="14"/>
                <w:color w:val="auto"/>
              </w:rPr>
              <w:t>Capital allocation-based income compensation:</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7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accrued carried interest compensation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99"/>
        </w:trPr>
        <w:tc>
          <w:tcPr>
            <w:tcW w:w="7320" w:type="dxa"/>
            <w:vAlign w:val="bottom"/>
          </w:tcPr>
          <w:p>
            <w:pPr>
              <w:ind w:left="180"/>
              <w:spacing w:after="0"/>
              <w:rPr>
                <w:sz w:val="20"/>
                <w:szCs w:val="20"/>
                <w:color w:val="auto"/>
              </w:rPr>
            </w:pPr>
            <w:r>
              <w:rPr>
                <w:rFonts w:ascii="Arial" w:cs="Arial" w:eastAsia="Arial" w:hAnsi="Arial"/>
                <w:sz w:val="14"/>
                <w:szCs w:val="14"/>
                <w:color w:val="auto"/>
              </w:rPr>
              <w:t>Acquisition-related amortization and impairments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contributions (distributions)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200"/>
        </w:trPr>
        <w:tc>
          <w:tcPr>
            <w:tcW w:w="7320" w:type="dxa"/>
            <w:vAlign w:val="bottom"/>
          </w:tcPr>
          <w:p>
            <w:pPr>
              <w:ind w:left="20"/>
              <w:spacing w:after="0"/>
              <w:rPr>
                <w:sz w:val="20"/>
                <w:szCs w:val="20"/>
                <w:color w:val="auto"/>
              </w:rPr>
            </w:pPr>
            <w:r>
              <w:rPr>
                <w:rFonts w:ascii="Arial" w:cs="Arial" w:eastAsia="Arial" w:hAnsi="Arial"/>
                <w:sz w:val="14"/>
                <w:szCs w:val="14"/>
                <w:color w:val="auto"/>
              </w:rPr>
              <w:t>Balance at end of period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157.6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160.4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157.1</w:t>
            </w:r>
          </w:p>
        </w:tc>
      </w:tr>
      <w:tr>
        <w:trPr>
          <w:trHeight w:val="20"/>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360"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1066" w:right="479" w:bottom="1440" w:gutter="0" w:footer="0" w:header="0"/>
        </w:sectPr>
      </w:pPr>
    </w:p>
    <w:bookmarkStart w:id="13" w:name="page14"/>
    <w:bookmarkEnd w:id="13"/>
    <w:p>
      <w:pPr>
        <w:ind w:right="300"/>
        <w:spacing w:after="0" w:line="355" w:lineRule="auto"/>
        <w:rPr>
          <w:sz w:val="20"/>
          <w:szCs w:val="20"/>
          <w:color w:val="auto"/>
        </w:rPr>
      </w:pPr>
      <w:r>
        <w:rPr>
          <w:rFonts w:ascii="Arial" w:cs="Arial" w:eastAsia="Arial" w:hAnsi="Arial"/>
          <w:sz w:val="18"/>
          <w:szCs w:val="18"/>
          <w:color w:val="auto"/>
        </w:rPr>
        <w:t>The following schedules reconcile U.S. GAAP financial measures to non-GAAP financial measures for the three months ended March 31, 2026 and 2025 and December 31, 2025.</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4"/>
                <w:szCs w:val="14"/>
                <w:b w:val="1"/>
                <w:bCs w:val="1"/>
                <w:color w:val="auto"/>
              </w:rPr>
              <w:t>Three months ended 3/31/2026</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(benefit) for</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Rowe Price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 Inc.</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78"/>
        </w:trPr>
        <w:tc>
          <w:tcPr>
            <w:tcW w:w="360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00" w:type="dxa"/>
            <w:vAlign w:val="bottom"/>
          </w:tcPr>
          <w:p>
            <w:pPr>
              <w:ind w:left="120"/>
              <w:spacing w:after="0" w:line="153"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9"/>
                <w:szCs w:val="9"/>
                <w:color w:val="auto"/>
              </w:rPr>
              <w:t>(1)</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(Capital allocation-based income and Compensation</w:t>
            </w: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5"/>
        </w:trPr>
        <w:tc>
          <w:tcPr>
            <w:tcW w:w="3600" w:type="dxa"/>
            <w:vAlign w:val="bottom"/>
          </w:tcPr>
          <w:p>
            <w:pPr>
              <w:ind w:left="120"/>
              <w:spacing w:after="0"/>
              <w:rPr>
                <w:sz w:val="20"/>
                <w:szCs w:val="20"/>
                <w:color w:val="auto"/>
              </w:rPr>
            </w:pPr>
            <w:r>
              <w:rPr>
                <w:rFonts w:ascii="Arial" w:cs="Arial" w:eastAsia="Arial" w:hAnsi="Arial"/>
                <w:sz w:val="14"/>
                <w:szCs w:val="14"/>
                <w:color w:val="auto"/>
              </w:rPr>
              <w:t>and related costs)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9"/>
                <w:szCs w:val="9"/>
                <w:color w:val="auto"/>
              </w:rPr>
              <w:t>(1)</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related costs)</w:t>
            </w: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9"/>
                <w:szCs w:val="9"/>
                <w:color w:val="auto"/>
              </w:rPr>
              <w:t>(1)</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0"/>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acquisition-related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33"/>
        </w:trPr>
        <w:tc>
          <w:tcPr>
            <w:tcW w:w="3600" w:type="dxa"/>
            <w:vAlign w:val="bottom"/>
          </w:tcPr>
          <w:p>
            <w:pPr>
              <w:ind w:left="20"/>
              <w:spacing w:after="0" w:line="133" w:lineRule="exact"/>
              <w:rPr>
                <w:sz w:val="20"/>
                <w:szCs w:val="20"/>
                <w:color w:val="auto"/>
              </w:rPr>
            </w:pPr>
            <w:r>
              <w:rPr>
                <w:rFonts w:ascii="Arial" w:cs="Arial" w:eastAsia="Arial" w:hAnsi="Arial"/>
                <w:sz w:val="14"/>
                <w:szCs w:val="14"/>
                <w:color w:val="auto"/>
              </w:rPr>
              <w:t>Deferred compensation liabilities</w:t>
            </w:r>
            <w:r>
              <w:rPr>
                <w:rFonts w:ascii="Arial" w:cs="Arial" w:eastAsia="Arial" w:hAnsi="Arial"/>
                <w:sz w:val="9"/>
                <w:szCs w:val="9"/>
                <w:color w:val="auto"/>
              </w:rPr>
              <w:t>(2)</w:t>
            </w:r>
            <w:r>
              <w:rPr>
                <w:rFonts w:ascii="Arial" w:cs="Arial" w:eastAsia="Arial" w:hAnsi="Arial"/>
                <w:sz w:val="14"/>
                <w:szCs w:val="14"/>
                <w:color w:val="auto"/>
              </w:rPr>
              <w:t xml:space="preserve"> (Compensation and</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w:t>
            </w:r>
            <w:r>
              <w:rPr>
                <w:rFonts w:ascii="Arial" w:cs="Arial" w:eastAsia="Arial" w:hAnsi="Arial"/>
                <w:sz w:val="9"/>
                <w:szCs w:val="9"/>
                <w:color w:val="auto"/>
              </w:rPr>
              <w:t>(3)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8"/>
        </w:trPr>
        <w:tc>
          <w:tcPr>
            <w:tcW w:w="3600" w:type="dxa"/>
            <w:vAlign w:val="bottom"/>
          </w:tcPr>
          <w:p>
            <w:pPr>
              <w:ind w:left="20"/>
              <w:spacing w:after="0"/>
              <w:rPr>
                <w:sz w:val="20"/>
                <w:szCs w:val="20"/>
                <w:color w:val="auto"/>
              </w:rPr>
            </w:pPr>
            <w:r>
              <w:rPr>
                <w:rFonts w:ascii="Arial" w:cs="Arial" w:eastAsia="Arial" w:hAnsi="Arial"/>
                <w:sz w:val="14"/>
                <w:szCs w:val="14"/>
                <w:color w:val="auto"/>
              </w:rPr>
              <w:t>Consolidated investment products</w:t>
            </w:r>
            <w:r>
              <w:rPr>
                <w:rFonts w:ascii="Arial" w:cs="Arial" w:eastAsia="Arial" w:hAnsi="Arial"/>
                <w:sz w:val="9"/>
                <w:szCs w:val="9"/>
                <w:color w:val="auto"/>
              </w:rPr>
              <w:t>(4)</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9"/>
                <w:szCs w:val="9"/>
                <w:color w:val="auto"/>
              </w:rPr>
              <w:t>(5)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Adjusted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1,155.2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706.1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4"/>
                <w:szCs w:val="14"/>
                <w:b w:val="1"/>
                <w:bCs w:val="1"/>
                <w:color w:val="auto"/>
              </w:rPr>
              <w:t>Three months ended 3/31/2025</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Net income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attributable to T.</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for</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Rowe Price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 Inc.</w:t>
            </w:r>
          </w:p>
        </w:tc>
        <w:tc>
          <w:tcPr>
            <w:tcW w:w="140" w:type="dxa"/>
            <w:vAlign w:val="bottom"/>
          </w:tcPr>
          <w:p>
            <w:pPr>
              <w:spacing w:after="0"/>
              <w:rPr>
                <w:sz w:val="16"/>
                <w:szCs w:val="16"/>
                <w:color w:val="auto"/>
              </w:rPr>
            </w:pPr>
          </w:p>
        </w:tc>
        <w:tc>
          <w:tcPr>
            <w:tcW w:w="1020" w:type="dxa"/>
            <w:vAlign w:val="bottom"/>
          </w:tcPr>
          <w:p>
            <w:pPr>
              <w:jc w:val="right"/>
              <w:ind w:right="128"/>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 (FS line item)</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8"/>
        </w:trPr>
        <w:tc>
          <w:tcPr>
            <w:tcW w:w="360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00" w:type="dxa"/>
            <w:vAlign w:val="bottom"/>
          </w:tcPr>
          <w:p>
            <w:pPr>
              <w:ind w:left="120"/>
              <w:spacing w:after="0" w:line="153"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7"/>
                <w:szCs w:val="17"/>
                <w:color w:val="auto"/>
                <w:vertAlign w:val="superscript"/>
              </w:rPr>
              <w:t>(1)</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(Capital allocation-based income and Compensation</w:t>
            </w:r>
          </w:p>
        </w:tc>
        <w:tc>
          <w:tcPr>
            <w:tcW w:w="1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5"/>
        </w:trPr>
        <w:tc>
          <w:tcPr>
            <w:tcW w:w="3600" w:type="dxa"/>
            <w:vAlign w:val="bottom"/>
          </w:tcPr>
          <w:p>
            <w:pPr>
              <w:ind w:left="120"/>
              <w:spacing w:after="0"/>
              <w:rPr>
                <w:sz w:val="20"/>
                <w:szCs w:val="20"/>
                <w:color w:val="auto"/>
              </w:rPr>
            </w:pPr>
            <w:r>
              <w:rPr>
                <w:rFonts w:ascii="Arial" w:cs="Arial" w:eastAsia="Arial" w:hAnsi="Arial"/>
                <w:sz w:val="14"/>
                <w:szCs w:val="14"/>
                <w:color w:val="auto"/>
              </w:rPr>
              <w:t>and related costs)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98"/>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related costs)</w:t>
            </w: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acquisition-related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33"/>
        </w:trPr>
        <w:tc>
          <w:tcPr>
            <w:tcW w:w="3600" w:type="dxa"/>
            <w:vAlign w:val="bottom"/>
          </w:tcPr>
          <w:p>
            <w:pPr>
              <w:ind w:left="20"/>
              <w:spacing w:after="0" w:line="133" w:lineRule="exact"/>
              <w:rPr>
                <w:sz w:val="20"/>
                <w:szCs w:val="20"/>
                <w:color w:val="auto"/>
              </w:rPr>
            </w:pPr>
            <w:r>
              <w:rPr>
                <w:rFonts w:ascii="Arial" w:cs="Arial" w:eastAsia="Arial" w:hAnsi="Arial"/>
                <w:sz w:val="12"/>
                <w:szCs w:val="12"/>
                <w:color w:val="auto"/>
              </w:rPr>
              <w:t>Deferred compensation liabilities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(Compensation and</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4"/>
        </w:trPr>
        <w:tc>
          <w:tcPr>
            <w:tcW w:w="360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21"/>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Basis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66" w:right="3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12/31/2025</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Provision</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operating</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attributable to T.</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(benefit) for</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Rowe Price</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Group, Inc.</w:t>
            </w:r>
          </w:p>
        </w:tc>
        <w:tc>
          <w:tcPr>
            <w:tcW w:w="160" w:type="dxa"/>
            <w:vAlign w:val="bottom"/>
          </w:tcPr>
          <w:p>
            <w:pPr>
              <w:spacing w:after="0"/>
              <w:rPr>
                <w:sz w:val="16"/>
                <w:szCs w:val="16"/>
                <w:color w:val="auto"/>
              </w:rPr>
            </w:pPr>
          </w:p>
        </w:tc>
        <w:tc>
          <w:tcPr>
            <w:tcW w:w="1020" w:type="dxa"/>
            <w:vAlign w:val="bottom"/>
          </w:tcPr>
          <w:p>
            <w:pPr>
              <w:ind w:left="60"/>
              <w:spacing w:after="0" w:line="189"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5"/>
        </w:trPr>
        <w:tc>
          <w:tcPr>
            <w:tcW w:w="364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Acquisition-related: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40" w:type="dxa"/>
            <w:vAlign w:val="bottom"/>
          </w:tcPr>
          <w:p>
            <w:pPr>
              <w:ind w:left="140"/>
              <w:spacing w:after="0" w:line="153"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7"/>
                <w:szCs w:val="17"/>
                <w:color w:val="auto"/>
                <w:vertAlign w:val="superscript"/>
              </w:rPr>
              <w:t>(1)</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40" w:type="dxa"/>
            <w:vAlign w:val="bottom"/>
          </w:tcPr>
          <w:p>
            <w:pPr>
              <w:ind w:left="140"/>
              <w:spacing w:after="0" w:line="149" w:lineRule="exact"/>
              <w:rPr>
                <w:sz w:val="20"/>
                <w:szCs w:val="20"/>
                <w:color w:val="auto"/>
              </w:rPr>
            </w:pPr>
            <w:r>
              <w:rPr>
                <w:rFonts w:ascii="Arial" w:cs="Arial" w:eastAsia="Arial" w:hAnsi="Arial"/>
                <w:sz w:val="14"/>
                <w:szCs w:val="14"/>
                <w:color w:val="auto"/>
              </w:rPr>
              <w:t>(Capital allocation-based income and Compensation</w:t>
            </w:r>
          </w:p>
        </w:tc>
        <w:tc>
          <w:tcPr>
            <w:tcW w:w="180" w:type="dxa"/>
            <w:vAlign w:val="bottom"/>
          </w:tcPr>
          <w:p>
            <w:pPr>
              <w:spacing w:after="0"/>
              <w:rPr>
                <w:sz w:val="12"/>
                <w:szCs w:val="12"/>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center"/>
              <w:ind w:left="5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5"/>
        </w:trPr>
        <w:tc>
          <w:tcPr>
            <w:tcW w:w="3640" w:type="dxa"/>
            <w:vAlign w:val="bottom"/>
          </w:tcPr>
          <w:p>
            <w:pPr>
              <w:ind w:left="140"/>
              <w:spacing w:after="0"/>
              <w:rPr>
                <w:sz w:val="20"/>
                <w:szCs w:val="20"/>
                <w:color w:val="auto"/>
              </w:rPr>
            </w:pPr>
            <w:r>
              <w:rPr>
                <w:rFonts w:ascii="Arial" w:cs="Arial" w:eastAsia="Arial" w:hAnsi="Arial"/>
                <w:sz w:val="14"/>
                <w:szCs w:val="14"/>
                <w:color w:val="auto"/>
              </w:rPr>
              <w:t>and related costs)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center"/>
              <w:ind w:left="54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98"/>
        </w:trPr>
        <w:tc>
          <w:tcPr>
            <w:tcW w:w="3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related costs)</w:t>
            </w:r>
          </w:p>
        </w:tc>
        <w:tc>
          <w:tcPr>
            <w:tcW w:w="1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4"/>
                <w:szCs w:val="14"/>
                <w:color w:val="auto"/>
              </w:rPr>
              <w:t>Intangible assets amortization and impairments</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acquisition-related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33"/>
        </w:trPr>
        <w:tc>
          <w:tcPr>
            <w:tcW w:w="3640" w:type="dxa"/>
            <w:vAlign w:val="bottom"/>
          </w:tcPr>
          <w:p>
            <w:pPr>
              <w:ind w:left="20"/>
              <w:spacing w:after="0" w:line="133" w:lineRule="exact"/>
              <w:rPr>
                <w:sz w:val="20"/>
                <w:szCs w:val="20"/>
                <w:color w:val="auto"/>
              </w:rPr>
            </w:pPr>
            <w:r>
              <w:rPr>
                <w:rFonts w:ascii="Arial" w:cs="Arial" w:eastAsia="Arial" w:hAnsi="Arial"/>
                <w:sz w:val="12"/>
                <w:szCs w:val="12"/>
                <w:color w:val="auto"/>
              </w:rPr>
              <w:t>Deferred compensation liabilities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(Compensation and</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center"/>
              <w:ind w:left="5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94"/>
        </w:trPr>
        <w:tc>
          <w:tcPr>
            <w:tcW w:w="3640" w:type="dxa"/>
            <w:vAlign w:val="bottom"/>
          </w:tcPr>
          <w:p>
            <w:pPr>
              <w:ind w:left="20"/>
              <w:spacing w:after="0"/>
              <w:rPr>
                <w:sz w:val="20"/>
                <w:szCs w:val="20"/>
                <w:color w:val="auto"/>
              </w:rPr>
            </w:pPr>
            <w:r>
              <w:rPr>
                <w:rFonts w:ascii="Arial" w:cs="Arial" w:eastAsia="Arial" w:hAnsi="Arial"/>
                <w:sz w:val="14"/>
                <w:szCs w:val="14"/>
                <w:color w:val="auto"/>
              </w:rPr>
              <w:t>related costs)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charge</w:t>
            </w:r>
            <w:r>
              <w:rPr>
                <w:rFonts w:ascii="Arial" w:cs="Arial" w:eastAsia="Arial" w:hAnsi="Arial"/>
                <w:sz w:val="18"/>
                <w:szCs w:val="18"/>
                <w:color w:val="auto"/>
                <w:vertAlign w:val="superscript"/>
              </w:rPr>
              <w:t>(3)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02"/>
        </w:trPr>
        <w:tc>
          <w:tcPr>
            <w:tcW w:w="3640" w:type="dxa"/>
            <w:vAlign w:val="bottom"/>
          </w:tcPr>
          <w:p>
            <w:pPr>
              <w:ind w:left="20"/>
              <w:spacing w:after="0" w:line="202" w:lineRule="exact"/>
              <w:rPr>
                <w:sz w:val="20"/>
                <w:szCs w:val="20"/>
                <w:color w:val="auto"/>
              </w:rPr>
            </w:pPr>
            <w:r>
              <w:rPr>
                <w:rFonts w:ascii="Arial" w:cs="Arial" w:eastAsia="Arial" w:hAnsi="Arial"/>
                <w:sz w:val="14"/>
                <w:szCs w:val="14"/>
                <w:color w:val="auto"/>
              </w:rPr>
              <w:t>Consolidated investment products</w:t>
            </w:r>
            <w:r>
              <w:rPr>
                <w:rFonts w:ascii="Arial" w:cs="Arial" w:eastAsia="Arial" w:hAnsi="Arial"/>
                <w:sz w:val="18"/>
                <w:szCs w:val="18"/>
                <w:color w:val="auto"/>
                <w:vertAlign w:val="superscript"/>
              </w:rPr>
              <w:t>(4)</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left="5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Other non-operating income</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96"/>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1,249.8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691.7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547.1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center"/>
              <w:ind w:left="54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right="40" w:hanging="332"/>
        <w:spacing w:after="0" w:line="241" w:lineRule="auto"/>
        <w:tabs>
          <w:tab w:leader="none" w:pos="341"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of intangible assets, the recurring fair value remeasurements of the contingent consideration liability, if any, amortization of acquired investment and non-controlling interest basis differences and amortization of compensation-related arrangements. The firm believes adjusting for these charges helps the reader's ability to understand our core operating results and increases comparability period to period.</w:t>
      </w:r>
    </w:p>
    <w:p>
      <w:pPr>
        <w:spacing w:after="0" w:line="217" w:lineRule="exact"/>
        <w:rPr>
          <w:rFonts w:ascii="Arial" w:cs="Arial" w:eastAsia="Arial" w:hAnsi="Arial"/>
          <w:sz w:val="22"/>
          <w:szCs w:val="22"/>
          <w:color w:val="auto"/>
          <w:vertAlign w:val="superscript"/>
        </w:rPr>
      </w:pPr>
    </w:p>
    <w:p>
      <w:pPr>
        <w:ind w:left="340" w:right="40" w:hanging="332"/>
        <w:spacing w:after="0" w:line="246" w:lineRule="auto"/>
        <w:tabs>
          <w:tab w:leader="none" w:pos="341"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eliminates the compensation expense impact from market valuation changes in deferred compensation liabilities, including the supplemental savings plan and restricted fund units, and the related net gains (losses) on investments used as economic hedges against the related liabilities. The liabilities are adjusted based on the performance of hypothetical investments selected by participants. The firm uses investment products to economically hedge the market risk associated with the supplemental savings plan liability and the expected settlement value of unvested restricted fund units. The firm believes it is useful to offset the non-operating investment income (loss) of the hedges against the related compensation expense and remove the net impact to help the reader's ability to understand the firm's core operating results and to increase comparability period to period.</w:t>
      </w:r>
    </w:p>
    <w:p>
      <w:pPr>
        <w:spacing w:after="0" w:line="179" w:lineRule="exact"/>
        <w:rPr>
          <w:rFonts w:ascii="Arial" w:cs="Arial" w:eastAsia="Arial" w:hAnsi="Arial"/>
          <w:sz w:val="22"/>
          <w:szCs w:val="22"/>
          <w:color w:val="auto"/>
          <w:vertAlign w:val="superscript"/>
        </w:rPr>
      </w:pPr>
    </w:p>
    <w:p>
      <w:pPr>
        <w:ind w:left="340" w:right="100" w:hanging="332"/>
        <w:spacing w:after="0" w:line="219" w:lineRule="exact"/>
        <w:tabs>
          <w:tab w:leader="none" w:pos="341"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w:t>
      </w:r>
      <w:r>
        <w:rPr>
          <w:rFonts w:ascii="MS PGothic" w:cs="MS PGothic" w:eastAsia="MS PGothic" w:hAnsi="MS PGothic"/>
          <w:sz w:val="16"/>
          <w:szCs w:val="16"/>
          <w:color w:val="auto"/>
        </w:rPr>
        <w:t>‑</w:t>
      </w:r>
      <w:r>
        <w:rPr>
          <w:rFonts w:ascii="Arial" w:cs="Arial" w:eastAsia="Arial" w:hAnsi="Arial"/>
          <w:sz w:val="16"/>
          <w:szCs w:val="16"/>
          <w:color w:val="auto"/>
        </w:rPr>
        <w:t xml:space="preserve">GAAP adjustment </w:t>
      </w:r>
      <w:r>
        <w:rPr>
          <w:rFonts w:ascii="Arial" w:cs="Arial" w:eastAsia="Arial" w:hAnsi="Arial"/>
          <w:sz w:val="14"/>
          <w:szCs w:val="14"/>
          <w:color w:val="auto"/>
        </w:rPr>
        <w:t>removes the impact of actions taken as part of t</w:t>
      </w:r>
      <w:r>
        <w:rPr>
          <w:rFonts w:ascii="Arial" w:cs="Arial" w:eastAsia="Arial" w:hAnsi="Arial"/>
          <w:sz w:val="16"/>
          <w:szCs w:val="16"/>
          <w:color w:val="auto"/>
        </w:rPr>
        <w:t>he firm’s broad, ongoing plan to reduce expense growth and realign resources to support existing and future capabilities.The firm believes this adjustment helps the reader’s ability to understand the firm's core operating results and increases comparability period to period.</w:t>
      </w:r>
    </w:p>
    <w:p>
      <w:pPr>
        <w:spacing w:after="0" w:line="218" w:lineRule="exact"/>
        <w:rPr>
          <w:rFonts w:ascii="Arial" w:cs="Arial" w:eastAsia="Arial" w:hAnsi="Arial"/>
          <w:sz w:val="22"/>
          <w:szCs w:val="22"/>
          <w:color w:val="auto"/>
          <w:vertAlign w:val="superscript"/>
        </w:rPr>
      </w:pPr>
    </w:p>
    <w:p>
      <w:pPr>
        <w:ind w:left="340" w:right="60" w:hanging="332"/>
        <w:spacing w:after="0" w:line="242" w:lineRule="auto"/>
        <w:tabs>
          <w:tab w:leader="none" w:pos="341"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Inc. represents the consolidated investment products' net income, net of redeemable non-controlling interests. The firm believes this adjustment helps the reader’s ability to understand our core operating results and increases comparability period to period.</w:t>
      </w:r>
    </w:p>
    <w:p>
      <w:pPr>
        <w:spacing w:after="0" w:line="231" w:lineRule="exact"/>
        <w:rPr>
          <w:rFonts w:ascii="Arial" w:cs="Arial" w:eastAsia="Arial" w:hAnsi="Arial"/>
          <w:sz w:val="22"/>
          <w:szCs w:val="22"/>
          <w:color w:val="auto"/>
          <w:vertAlign w:val="superscript"/>
        </w:rPr>
      </w:pPr>
    </w:p>
    <w:p>
      <w:pPr>
        <w:ind w:left="340" w:right="20" w:hanging="332"/>
        <w:spacing w:after="0" w:line="242" w:lineRule="auto"/>
        <w:tabs>
          <w:tab w:leader="none" w:pos="322"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non-operating income (loss) earned on those investments that are not economic hedges for the deferred compensation liabilities and are not part of the cash and discretionary investment portfolio. The firm retain gains from cash and discretionary investments in our non-GAAP measures, as they are considered part of our core operations. The firm believes adjusting for the remaining non-operating income (loss) helps the reader’s ability to understand the firm's core operating results and increases comparability period to period. Additionally, the firm does not emphasize this portion of non-operating income (loss) when assessing the firm's performance.</w:t>
      </w:r>
    </w:p>
    <w:p>
      <w:pPr>
        <w:spacing w:after="0" w:line="229" w:lineRule="exact"/>
        <w:rPr>
          <w:rFonts w:ascii="Arial" w:cs="Arial" w:eastAsia="Arial" w:hAnsi="Arial"/>
          <w:sz w:val="21"/>
          <w:szCs w:val="21"/>
          <w:color w:val="auto"/>
          <w:vertAlign w:val="superscript"/>
        </w:rPr>
      </w:pPr>
    </w:p>
    <w:p>
      <w:pPr>
        <w:ind w:left="340" w:right="380" w:hanging="332"/>
        <w:spacing w:after="0" w:line="229" w:lineRule="auto"/>
        <w:tabs>
          <w:tab w:leader="none" w:pos="341"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non-GAAP effective tax rate for the three months ended March 31, 2026 and 2025 was 23.7% and 24.7%, respectively.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58" w:right="339" w:bottom="1440" w:gutter="0" w:footer="0" w:header="0"/>
        </w:sectPr>
      </w:pPr>
    </w:p>
    <w:bookmarkStart w:id="15" w:name="page16"/>
    <w:bookmarkEnd w:id="15"/>
    <w:p>
      <w:pPr>
        <w:jc w:val="both"/>
        <w:ind w:left="340" w:right="40" w:hanging="332"/>
        <w:spacing w:after="0" w:line="239" w:lineRule="auto"/>
        <w:tabs>
          <w:tab w:leader="none" w:pos="341"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Inc. and dividing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gridSpan w:val="6"/>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3/31/2026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12/31/2025</w:t>
            </w:r>
          </w:p>
        </w:tc>
      </w:tr>
      <w:tr>
        <w:trPr>
          <w:trHeight w:val="19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547.1</w:t>
            </w:r>
          </w:p>
        </w:tc>
      </w:tr>
      <w:tr>
        <w:trPr>
          <w:trHeight w:val="215"/>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547.9</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2026-04-30T06:07:06Z</dcterms:created>
  <dcterms:modified xsi:type="dcterms:W3CDTF">2026-04-30T06:07:06Z</dcterms:modified>
</cp:coreProperties>
</file>