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December 11, 2013</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70"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388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6"/>
              </w:rPr>
              <w:t>Maryland</w:t>
            </w:r>
          </w:p>
        </w:tc>
        <w:tc>
          <w:tcPr>
            <w:tcW w:w="21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033-07012-99</w:t>
            </w:r>
          </w:p>
        </w:tc>
        <w:tc>
          <w:tcPr>
            <w:tcW w:w="246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52-2264646</w:t>
            </w:r>
          </w:p>
        </w:tc>
      </w:tr>
      <w:tr>
        <w:trPr>
          <w:trHeight w:val="20"/>
        </w:trPr>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6"/>
        </w:trPr>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(State of</w:t>
            </w:r>
          </w:p>
        </w:tc>
        <w:tc>
          <w:tcPr>
            <w:tcW w:w="29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1120" w:type="dxa"/>
            <w:vAlign w:val="bottom"/>
          </w:tcPr>
          <w:p>
            <w:pPr>
              <w:spacing w:after="0"/>
              <w:rPr>
                <w:sz w:val="24"/>
                <w:szCs w:val="24"/>
                <w:color w:val="auto"/>
              </w:rPr>
            </w:pPr>
          </w:p>
        </w:tc>
        <w:tc>
          <w:tcPr>
            <w:tcW w:w="246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880" w:type="dxa"/>
            <w:vAlign w:val="bottom"/>
            <w:gridSpan w:val="3"/>
          </w:tcPr>
          <w:p>
            <w:pPr>
              <w:jc w:val="center"/>
              <w:ind w:right="2840"/>
              <w:spacing w:after="0"/>
              <w:rPr>
                <w:sz w:val="20"/>
                <w:szCs w:val="20"/>
                <w:color w:val="auto"/>
              </w:rPr>
            </w:pPr>
            <w:r>
              <w:rPr>
                <w:rFonts w:ascii="Arial" w:cs="Arial" w:eastAsia="Arial" w:hAnsi="Arial"/>
                <w:sz w:val="18"/>
                <w:szCs w:val="18"/>
                <w:color w:val="auto"/>
                <w:w w:val="94"/>
              </w:rPr>
              <w:t>incorporation)</w:t>
            </w:r>
          </w:p>
        </w:tc>
        <w:tc>
          <w:tcPr>
            <w:tcW w:w="2140" w:type="dxa"/>
            <w:vAlign w:val="bottom"/>
            <w:gridSpan w:val="2"/>
          </w:tcPr>
          <w:p>
            <w:pPr>
              <w:jc w:val="center"/>
              <w:ind w:right="1120"/>
              <w:spacing w:after="0"/>
              <w:rPr>
                <w:sz w:val="20"/>
                <w:szCs w:val="20"/>
                <w:color w:val="auto"/>
              </w:rPr>
            </w:pPr>
            <w:r>
              <w:rPr>
                <w:rFonts w:ascii="Arial" w:cs="Arial" w:eastAsia="Arial" w:hAnsi="Arial"/>
                <w:sz w:val="18"/>
                <w:szCs w:val="18"/>
                <w:color w:val="auto"/>
                <w:w w:val="94"/>
              </w:rPr>
              <w:t>File Number)</w:t>
            </w:r>
          </w:p>
        </w:tc>
        <w:tc>
          <w:tcPr>
            <w:tcW w:w="2460" w:type="dxa"/>
            <w:vAlign w:val="bottom"/>
            <w:gridSpan w:val="3"/>
          </w:tcPr>
          <w:p>
            <w:pPr>
              <w:jc w:val="center"/>
              <w:ind w:left="103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100 East Pratt Street, Baltimore, Maryland 21202</w:t>
      </w:r>
    </w:p>
    <w:p>
      <w:pPr>
        <w:spacing w:after="0" w:line="165" w:lineRule="exact"/>
        <w:rPr>
          <w:sz w:val="24"/>
          <w:szCs w:val="24"/>
          <w:color w:val="auto"/>
        </w:rPr>
      </w:pPr>
    </w:p>
    <w:p>
      <w:pPr>
        <w:ind w:left="3260"/>
        <w:spacing w:after="0"/>
        <w:tabs>
          <w:tab w:leader="none" w:pos="82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u w:val="single" w:color="auto"/>
          <w:color w:val="auto"/>
        </w:rPr>
        <w:t>(410) 345-2000</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0"/>
          </w:cols>
          <w:pgMar w:left="240" w:top="693" w:right="25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108" w:lineRule="exact"/>
        <w:rPr>
          <w:sz w:val="20"/>
          <w:szCs w:val="20"/>
          <w:color w:val="auto"/>
        </w:rPr>
      </w:pPr>
    </w:p>
    <w:p>
      <w:pPr>
        <w:ind w:left="980" w:right="740" w:hanging="971"/>
        <w:spacing w:after="0" w:line="267" w:lineRule="auto"/>
        <w:tabs>
          <w:tab w:leader="none" w:pos="96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62" w:lineRule="exact"/>
        <w:rPr>
          <w:sz w:val="20"/>
          <w:szCs w:val="20"/>
          <w:color w:val="auto"/>
        </w:rPr>
      </w:pPr>
    </w:p>
    <w:p>
      <w:pPr>
        <w:ind w:firstLine="8"/>
        <w:spacing w:after="0" w:line="259" w:lineRule="auto"/>
        <w:tabs>
          <w:tab w:leader="none" w:pos="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December 11, 2013, Mark S. Bartlett was elected to serve on the Board of Directors (the “Board”) of T. Rowe Price Group, Inc. (the “Company”). Until retiring in 2012, Mr. Bartlett was a partner at Ernst &amp; Young LLP, serving as managing partner of the firm’s Baltimore office and senior client service partner for the mid-Atlantic region. He is a certified public accountant and has extensive experience in financial services, as well as other industries. Mr. Bartlett serves on the board of directors of Rexnord Corporation where he serves as the chairman of the audit committee. He is also a director of The Baltimore Life Companies and Algeco Scotsman, which are privately held. Mr. Bartlett holds a Bachelor of Science degree in accounting from West Virginia University.</w:t>
      </w:r>
    </w:p>
    <w:p>
      <w:pPr>
        <w:spacing w:after="0" w:line="17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On December 11, 2013, in connection with his appointment to the Board and pursuant to the Company’s 2007 Non-Employee Director Equity Plan, the Company will grant Mr. Bartlett 4,200 restricted shares that vest on December 11, 2014.</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There is no arrangement or understanding between Mr. Bartlett and any other person pursuant to which Mr. Bartlett was selected as a director. Mr. Bartlett will serve as a member of the Audit Committee and Executive Compensation Committee of the Board. Mr. Bartlett does not have any family relationship with any director, executive officer or person nominated or chosen by the Company to become a director or an executive officer. The Board has determined that Mr. Bartlett is an independent director under applicable Nasdaq rules.</w:t>
      </w:r>
    </w:p>
    <w:p>
      <w:pPr>
        <w:spacing w:after="0" w:line="17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The Company, through its subsidiaries, contracted for various non-audit services from Ernst &amp; Young in 2012. Fees paid to Ernst &amp; Young for these services were approximately $388,000. Mr. Bartlett resigned from Ernst &amp; Young in June 2012, and was not personally involved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providing such services.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Exhibits.</w:t>
      </w:r>
    </w:p>
    <w:p>
      <w:pPr>
        <w:spacing w:after="0" w:line="10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99.1</w:t>
      </w:r>
      <w:r>
        <w:rPr>
          <w:sz w:val="20"/>
          <w:szCs w:val="20"/>
          <w:color w:val="auto"/>
        </w:rPr>
        <w:tab/>
      </w:r>
      <w:r>
        <w:rPr>
          <w:rFonts w:ascii="Arial" w:cs="Arial" w:eastAsia="Arial" w:hAnsi="Arial"/>
          <w:sz w:val="16"/>
          <w:szCs w:val="16"/>
          <w:color w:val="auto"/>
        </w:rPr>
        <w:t>Press release dated December 11, 2013.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11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Kenneth V. Moreland</w:t>
      </w:r>
    </w:p>
    <w:p>
      <w:pPr>
        <w:spacing w:after="0"/>
        <w:rPr>
          <w:sz w:val="20"/>
          <w:szCs w:val="20"/>
          <w:color w:val="auto"/>
        </w:rPr>
      </w:pPr>
      <w:r>
        <w:rPr>
          <w:rFonts w:ascii="Arial" w:cs="Arial" w:eastAsia="Arial" w:hAnsi="Arial"/>
          <w:sz w:val="20"/>
          <w:szCs w:val="20"/>
          <w:color w:val="auto"/>
        </w:rPr>
        <w:t>Vice President and Chief Financial Officer</w:t>
      </w:r>
    </w:p>
    <w:p>
      <w:pPr>
        <w:spacing w:after="0"/>
        <w:rPr>
          <w:sz w:val="20"/>
          <w:szCs w:val="20"/>
          <w:color w:val="auto"/>
        </w:rPr>
      </w:pPr>
      <w:r>
        <w:rPr>
          <w:rFonts w:ascii="Arial" w:cs="Arial" w:eastAsia="Arial" w:hAnsi="Arial"/>
          <w:sz w:val="20"/>
          <w:szCs w:val="20"/>
          <w:color w:val="auto"/>
        </w:rPr>
        <w:t>Date: December 11, 2013</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2019-12-07T00:02:52Z</dcterms:created>
  <dcterms:modified xsi:type="dcterms:W3CDTF">2019-12-07T00:02:52Z</dcterms:modified>
</cp:coreProperties>
</file>