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 w:lineRule="exact"/>
        <w:rPr>
          <w:sz w:val="24"/>
          <w:szCs w:val="24"/>
          <w:color w:val="auto"/>
        </w:rPr>
      </w:pPr>
    </w:p>
    <w:p>
      <w:pPr>
        <w:ind w:left="4000"/>
        <w:spacing w:after="0"/>
        <w:rPr>
          <w:sz w:val="20"/>
          <w:szCs w:val="20"/>
          <w:color w:val="auto"/>
        </w:rPr>
      </w:pPr>
      <w:r>
        <w:rPr>
          <w:rFonts w:ascii="Arial" w:cs="Arial" w:eastAsia="Arial" w:hAnsi="Arial"/>
          <w:sz w:val="22"/>
          <w:szCs w:val="22"/>
          <w:color w:val="auto"/>
        </w:rPr>
        <w:t>___________________________</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of the Securities Exchange Act of 1934</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9"/>
          <w:szCs w:val="19"/>
          <w:b w:val="1"/>
          <w:bCs w:val="1"/>
          <w:color w:val="auto"/>
        </w:rPr>
        <w:t>October 29, 2026</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T. Rowe Price Group,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94" w:lineRule="exact"/>
        <w:rPr>
          <w:sz w:val="24"/>
          <w:szCs w:val="24"/>
          <w:color w:val="auto"/>
        </w:rPr>
      </w:pPr>
    </w:p>
    <w:tbl>
      <w:tblPr>
        <w:tblLayout w:type="fixed"/>
        <w:tblInd w:w="2580" w:type="dxa"/>
        <w:tblCellMar>
          <w:top w:w="0" w:type="dxa"/>
          <w:left w:w="0" w:type="dxa"/>
          <w:bottom w:w="0" w:type="dxa"/>
          <w:right w:w="0" w:type="dxa"/>
        </w:tblCellMar>
      </w:tblPr>
      <w:tr>
        <w:trPr>
          <w:trHeight w:val="253"/>
        </w:trPr>
        <w:tc>
          <w:tcPr>
            <w:tcW w:w="60" w:type="dxa"/>
            <w:vAlign w:val="bottom"/>
          </w:tcPr>
          <w:p>
            <w:pPr>
              <w:spacing w:after="0"/>
              <w:rPr>
                <w:sz w:val="22"/>
                <w:szCs w:val="22"/>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Maryland</w:t>
            </w:r>
          </w:p>
        </w:tc>
        <w:tc>
          <w:tcPr>
            <w:tcW w:w="980" w:type="dxa"/>
            <w:vAlign w:val="bottom"/>
          </w:tcPr>
          <w:p>
            <w:pPr>
              <w:spacing w:after="0"/>
              <w:rPr>
                <w:sz w:val="22"/>
                <w:szCs w:val="22"/>
                <w:color w:val="auto"/>
              </w:rPr>
            </w:pPr>
          </w:p>
        </w:tc>
        <w:tc>
          <w:tcPr>
            <w:tcW w:w="1900" w:type="dxa"/>
            <w:vAlign w:val="bottom"/>
            <w:gridSpan w:val="2"/>
          </w:tcPr>
          <w:p>
            <w:pPr>
              <w:jc w:val="center"/>
              <w:ind w:left="884"/>
              <w:spacing w:after="0"/>
              <w:rPr>
                <w:sz w:val="20"/>
                <w:szCs w:val="20"/>
                <w:color w:val="auto"/>
              </w:rPr>
            </w:pPr>
            <w:r>
              <w:rPr>
                <w:rFonts w:ascii="Times New Roman" w:cs="Times New Roman" w:eastAsia="Times New Roman" w:hAnsi="Times New Roman"/>
                <w:sz w:val="22"/>
                <w:szCs w:val="22"/>
                <w:b w:val="1"/>
                <w:bCs w:val="1"/>
                <w:color w:val="auto"/>
                <w:w w:val="96"/>
              </w:rPr>
              <w:t>000-32191</w:t>
            </w:r>
          </w:p>
        </w:tc>
        <w:tc>
          <w:tcPr>
            <w:tcW w:w="500" w:type="dxa"/>
            <w:vAlign w:val="bottom"/>
          </w:tcPr>
          <w:p>
            <w:pPr>
              <w:spacing w:after="0"/>
              <w:rPr>
                <w:sz w:val="22"/>
                <w:szCs w:val="22"/>
                <w:color w:val="auto"/>
              </w:rPr>
            </w:pPr>
          </w:p>
        </w:tc>
        <w:tc>
          <w:tcPr>
            <w:tcW w:w="2100" w:type="dxa"/>
            <w:vAlign w:val="bottom"/>
            <w:gridSpan w:val="3"/>
          </w:tcPr>
          <w:p>
            <w:pPr>
              <w:jc w:val="center"/>
              <w:ind w:left="964"/>
              <w:spacing w:after="0"/>
              <w:rPr>
                <w:sz w:val="20"/>
                <w:szCs w:val="20"/>
                <w:color w:val="auto"/>
              </w:rPr>
            </w:pPr>
            <w:r>
              <w:rPr>
                <w:rFonts w:ascii="Times New Roman" w:cs="Times New Roman" w:eastAsia="Times New Roman" w:hAnsi="Times New Roman"/>
                <w:sz w:val="22"/>
                <w:szCs w:val="22"/>
                <w:b w:val="1"/>
                <w:bCs w:val="1"/>
                <w:color w:val="auto"/>
                <w:w w:val="97"/>
              </w:rPr>
              <w:t>52-2264646</w:t>
            </w:r>
          </w:p>
        </w:tc>
        <w:tc>
          <w:tcPr>
            <w:tcW w:w="14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(State of</w:t>
            </w:r>
          </w:p>
        </w:tc>
        <w:tc>
          <w:tcPr>
            <w:tcW w:w="980" w:type="dxa"/>
            <w:vAlign w:val="bottom"/>
          </w:tcPr>
          <w:p>
            <w:pPr>
              <w:spacing w:after="0"/>
              <w:rPr>
                <w:sz w:val="19"/>
                <w:szCs w:val="19"/>
                <w:color w:val="auto"/>
              </w:rPr>
            </w:pPr>
          </w:p>
        </w:tc>
        <w:tc>
          <w:tcPr>
            <w:tcW w:w="2400" w:type="dxa"/>
            <w:vAlign w:val="bottom"/>
            <w:gridSpan w:val="3"/>
          </w:tcPr>
          <w:p>
            <w:pPr>
              <w:jc w:val="center"/>
              <w:ind w:left="344"/>
              <w:spacing w:after="0"/>
              <w:rPr>
                <w:sz w:val="20"/>
                <w:szCs w:val="20"/>
                <w:color w:val="auto"/>
              </w:rPr>
            </w:pPr>
            <w:r>
              <w:rPr>
                <w:rFonts w:ascii="Times New Roman" w:cs="Times New Roman" w:eastAsia="Times New Roman" w:hAnsi="Times New Roman"/>
                <w:sz w:val="18"/>
                <w:szCs w:val="18"/>
                <w:color w:val="auto"/>
                <w:w w:val="98"/>
              </w:rPr>
              <w:t>(Commission</w:t>
            </w:r>
          </w:p>
        </w:tc>
        <w:tc>
          <w:tcPr>
            <w:tcW w:w="98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96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w w:val="99"/>
              </w:rPr>
              <w:t>incorporation)</w:t>
            </w:r>
          </w:p>
        </w:tc>
        <w:tc>
          <w:tcPr>
            <w:tcW w:w="2400" w:type="dxa"/>
            <w:vAlign w:val="bottom"/>
            <w:gridSpan w:val="3"/>
          </w:tcPr>
          <w:p>
            <w:pPr>
              <w:jc w:val="center"/>
              <w:ind w:left="384"/>
              <w:spacing w:after="0"/>
              <w:rPr>
                <w:sz w:val="20"/>
                <w:szCs w:val="20"/>
                <w:color w:val="auto"/>
              </w:rPr>
            </w:pPr>
            <w:r>
              <w:rPr>
                <w:rFonts w:ascii="Times New Roman" w:cs="Times New Roman" w:eastAsia="Times New Roman" w:hAnsi="Times New Roman"/>
                <w:sz w:val="18"/>
                <w:szCs w:val="18"/>
                <w:color w:val="auto"/>
                <w:w w:val="98"/>
              </w:rPr>
              <w:t>File Number)</w:t>
            </w:r>
          </w:p>
        </w:tc>
        <w:tc>
          <w:tcPr>
            <w:tcW w:w="2240" w:type="dxa"/>
            <w:vAlign w:val="bottom"/>
            <w:gridSpan w:val="4"/>
          </w:tcPr>
          <w:p>
            <w:pPr>
              <w:jc w:val="center"/>
              <w:ind w:left="80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3"/>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22"/>
                <w:szCs w:val="22"/>
                <w:b w:val="1"/>
                <w:bCs w:val="1"/>
                <w:color w:val="auto"/>
              </w:rPr>
              <w:t>1307 Point Street, Baltimore, Maryland 21231</w:t>
            </w:r>
          </w:p>
        </w:tc>
      </w:tr>
      <w:tr>
        <w:trPr>
          <w:trHeight w:val="20"/>
        </w:trPr>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gridSpan w:val="5"/>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385"/>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u w:val="single" w:color="auto"/>
          <w:color w:val="auto"/>
        </w:rPr>
        <w:t>(410) 345-2000</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of Former Address, if Changed Since Last Report)</w:t>
      </w:r>
    </w:p>
    <w:p>
      <w:pPr>
        <w:spacing w:after="0" w:line="234"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8" w:lineRule="exact"/>
        <w:rPr>
          <w:sz w:val="24"/>
          <w:szCs w:val="24"/>
          <w:color w:val="auto"/>
        </w:rPr>
      </w:pPr>
    </w:p>
    <w:tbl>
      <w:tblPr>
        <w:tblLayout w:type="fixed"/>
        <w:tblInd w:w="1300" w:type="dxa"/>
        <w:tblCellMar>
          <w:top w:w="0" w:type="dxa"/>
          <w:left w:w="0" w:type="dxa"/>
          <w:bottom w:w="0" w:type="dxa"/>
          <w:right w:w="0" w:type="dxa"/>
        </w:tblCellMar>
      </w:tblPr>
      <w:tr>
        <w:trPr>
          <w:trHeight w:val="247"/>
        </w:trPr>
        <w:tc>
          <w:tcPr>
            <w:tcW w:w="28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Title of each class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404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1"/>
        </w:trPr>
        <w:tc>
          <w:tcPr>
            <w:tcW w:w="2820" w:type="dxa"/>
            <w:vAlign w:val="bottom"/>
            <w:vMerge w:val="restart"/>
          </w:tcPr>
          <w:p>
            <w:pPr>
              <w:jc w:val="center"/>
              <w:ind w:right="150"/>
              <w:spacing w:after="0"/>
              <w:rPr>
                <w:sz w:val="20"/>
                <w:szCs w:val="20"/>
                <w:color w:val="auto"/>
              </w:rPr>
            </w:pPr>
            <w:r>
              <w:rPr>
                <w:rFonts w:ascii="Arial" w:cs="Arial" w:eastAsia="Arial" w:hAnsi="Arial"/>
                <w:sz w:val="18"/>
                <w:szCs w:val="18"/>
                <w:color w:val="auto"/>
              </w:rPr>
              <w:t>Common Stock, par value $0.20</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rPr>
              <w:t>TROW</w:t>
            </w:r>
          </w:p>
        </w:tc>
        <w:tc>
          <w:tcPr>
            <w:tcW w:w="4040" w:type="dxa"/>
            <w:vAlign w:val="bottom"/>
          </w:tcPr>
          <w:p>
            <w:pPr>
              <w:jc w:val="center"/>
              <w:ind w:left="150"/>
              <w:spacing w:after="0" w:line="190" w:lineRule="exact"/>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39"/>
        </w:trPr>
        <w:tc>
          <w:tcPr>
            <w:tcW w:w="282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4040" w:type="dxa"/>
            <w:vAlign w:val="bottom"/>
            <w:vMerge w:val="restart"/>
          </w:tcPr>
          <w:p>
            <w:pPr>
              <w:jc w:val="center"/>
              <w:ind w:left="170"/>
              <w:spacing w:after="0"/>
              <w:rPr>
                <w:sz w:val="20"/>
                <w:szCs w:val="20"/>
                <w:color w:val="auto"/>
              </w:rPr>
            </w:pPr>
            <w:r>
              <w:rPr>
                <w:rFonts w:ascii="Arial" w:cs="Arial" w:eastAsia="Arial" w:hAnsi="Arial"/>
                <w:sz w:val="18"/>
                <w:szCs w:val="18"/>
                <w:color w:val="auto"/>
                <w:w w:val="99"/>
              </w:rPr>
              <w:t>(Nasdaq Global Select Market)</w:t>
            </w:r>
          </w:p>
        </w:tc>
        <w:tc>
          <w:tcPr>
            <w:tcW w:w="0" w:type="dxa"/>
            <w:vAlign w:val="bottom"/>
          </w:tcPr>
          <w:p>
            <w:pPr>
              <w:spacing w:after="0"/>
              <w:rPr>
                <w:sz w:val="1"/>
                <w:szCs w:val="1"/>
                <w:color w:val="auto"/>
              </w:rPr>
            </w:pPr>
          </w:p>
        </w:tc>
      </w:tr>
      <w:tr>
        <w:trPr>
          <w:trHeight w:val="100"/>
        </w:trPr>
        <w:tc>
          <w:tcPr>
            <w:tcW w:w="2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4"/>
          <w:szCs w:val="24"/>
          <w:color w:val="auto"/>
        </w:rPr>
      </w:pPr>
    </w:p>
    <w:p>
      <w:pPr>
        <w:ind w:right="10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(§240.12-2 of this chapter).</w:t>
      </w:r>
    </w:p>
    <w:p>
      <w:pPr>
        <w:spacing w:after="0" w:line="1" w:lineRule="exact"/>
        <w:rPr>
          <w:sz w:val="24"/>
          <w:szCs w:val="24"/>
          <w:color w:val="auto"/>
        </w:rPr>
      </w:pPr>
    </w:p>
    <w:p>
      <w:pPr>
        <w:ind w:left="20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2 -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On October 29, 2026 we issued an earnings release reporting our results of operations for the three and nine months ended September 30, 2026. A copy of this earnings release is attached hereto as Exhibit 99.1 and is incorporated by reference.</w:t>
      </w:r>
    </w:p>
    <w:p>
      <w:pPr>
        <w:spacing w:after="0" w:line="180"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information in this Current Report on Form 8-K and the Exhibit attached hereto shall not be deemed to be “filed” for the purposes of Section 18 of the Securities Exchange Act of 1934, as amended, nor shall it be deemed incorporated by reference in any filing under the Securities Act of 1933, except as shall be expressly set forth by specific reference in such filing.</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 Financial Statements and Exhibits.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99.1 Earnings Release dated October 29, 2026</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 Rowe Price Group, Inc.</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w:t>
      </w:r>
      <w:r>
        <w:rPr>
          <w:rFonts w:ascii="Times New Roman" w:cs="Times New Roman" w:eastAsia="Times New Roman" w:hAnsi="Times New Roman"/>
          <w:sz w:val="18"/>
          <w:szCs w:val="18"/>
          <w:b w:val="1"/>
          <w:bCs w:val="1"/>
          <w:color w:val="0000FF"/>
        </w:rPr>
        <w:t>s</w:t>
      </w:r>
      <w:r>
        <w:rPr>
          <w:rFonts w:ascii="Arial" w:cs="Arial" w:eastAsia="Arial" w:hAnsi="Arial"/>
          <w:sz w:val="18"/>
          <w:szCs w:val="18"/>
          <w:u w:val="single" w:color="auto"/>
          <w:color w:val="auto"/>
        </w:rPr>
        <w:t>/ Jennifer B. Dardis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Jennifer B. Dardis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2026</w:t>
      </w:r>
    </w:p>
    <w:p>
      <w:pPr>
        <w:sectPr>
          <w:pgSz w:w="11900" w:h="16838" w:orient="portrait"/>
          <w:cols w:equalWidth="0" w:num="1">
            <w:col w:w="11200"/>
          </w:cols>
          <w:pgMar w:left="320" w:top="989"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279463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94635" cy="54864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THIRD QUARTER 2026 RESULTS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BALTIMORE (October 29, 2026) - T. Rowe Price Group, Inc. (NASDAQ-GS: TROW) today reported its results for the third quarter of 2026.</w:t>
      </w:r>
    </w:p>
    <w:p>
      <w:pPr>
        <w:spacing w:after="0" w:line="216"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b w:val="1"/>
          <w:bCs w:val="1"/>
          <w:color w:val="40AEFF"/>
        </w:rPr>
      </w:pPr>
      <w:r>
        <w:rPr>
          <w:rFonts w:ascii="Arial" w:cs="Arial" w:eastAsia="Arial" w:hAnsi="Arial"/>
          <w:sz w:val="16"/>
          <w:szCs w:val="16"/>
          <w:b w:val="1"/>
          <w:bCs w:val="1"/>
          <w:color w:val="auto"/>
        </w:rPr>
        <w:t>Assets under management (AUM) of $1.9 trillion</w:t>
      </w:r>
    </w:p>
    <w:p>
      <w:pPr>
        <w:spacing w:after="0" w:line="99" w:lineRule="exact"/>
        <w:rPr>
          <w:rFonts w:ascii="Arial" w:cs="Arial" w:eastAsia="Arial" w:hAnsi="Arial"/>
          <w:sz w:val="16"/>
          <w:szCs w:val="16"/>
          <w:b w:val="1"/>
          <w:bCs w:val="1"/>
          <w:color w:val="40AEFF"/>
        </w:rPr>
      </w:pPr>
    </w:p>
    <w:p>
      <w:pPr>
        <w:ind w:left="640" w:hanging="308"/>
        <w:spacing w:after="0"/>
        <w:tabs>
          <w:tab w:leader="none" w:pos="64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Net client outflows of $28.3 billion</w:t>
      </w:r>
    </w:p>
    <w:p>
      <w:pPr>
        <w:spacing w:after="0" w:line="99" w:lineRule="exact"/>
        <w:rPr>
          <w:rFonts w:ascii="Arial" w:cs="Arial" w:eastAsia="Arial" w:hAnsi="Arial"/>
          <w:sz w:val="16"/>
          <w:szCs w:val="16"/>
          <w:b w:val="1"/>
          <w:bCs w:val="1"/>
          <w:i w:val="1"/>
          <w:iCs w:val="1"/>
          <w:color w:val="40AEFF"/>
        </w:rPr>
      </w:pPr>
    </w:p>
    <w:p>
      <w:pPr>
        <w:ind w:left="640" w:hanging="308"/>
        <w:spacing w:after="0"/>
        <w:tabs>
          <w:tab w:leader="none" w:pos="64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Diluted earnings per common share (EPS) of $2.79</w:t>
      </w:r>
    </w:p>
    <w:p>
      <w:pPr>
        <w:spacing w:after="0" w:line="99" w:lineRule="exact"/>
        <w:rPr>
          <w:rFonts w:ascii="Arial" w:cs="Arial" w:eastAsia="Arial" w:hAnsi="Arial"/>
          <w:sz w:val="16"/>
          <w:szCs w:val="16"/>
          <w:b w:val="1"/>
          <w:bCs w:val="1"/>
          <w:i w:val="1"/>
          <w:iCs w:val="1"/>
          <w:color w:val="40AEFF"/>
        </w:rPr>
      </w:pPr>
    </w:p>
    <w:p>
      <w:pPr>
        <w:ind w:left="640" w:hanging="308"/>
        <w:spacing w:after="0"/>
        <w:tabs>
          <w:tab w:leader="none" w:pos="64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Adjusted diluted EPS of $2.86</w:t>
      </w:r>
    </w:p>
    <w:p>
      <w:pPr>
        <w:spacing w:after="0" w:line="351" w:lineRule="exact"/>
        <w:rPr>
          <w:sz w:val="20"/>
          <w:szCs w:val="20"/>
          <w:color w:val="auto"/>
        </w:rPr>
      </w:pPr>
    </w:p>
    <w:p>
      <w:pPr>
        <w:ind w:right="200"/>
        <w:spacing w:after="0" w:line="372" w:lineRule="auto"/>
        <w:rPr>
          <w:sz w:val="20"/>
          <w:szCs w:val="20"/>
          <w:color w:val="auto"/>
        </w:rPr>
      </w:pPr>
      <w:r>
        <w:rPr>
          <w:rFonts w:ascii="Arial" w:cs="Arial" w:eastAsia="Arial" w:hAnsi="Arial"/>
          <w:sz w:val="18"/>
          <w:szCs w:val="18"/>
          <w:color w:val="auto"/>
        </w:rPr>
        <w:t>Rob Sharps, chair and CEO, commented, “We continue to expand our ETF, SMA, and model portfolio businesses, extending our active investment expertise to more clients through a broader range of portfolio solutions. With innovative product launches, improving investment performance, and continued progress on our strategic partnerships, we are well positioned to continue delivering long-term value for clients and stockholders."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right w:val="single" w:sz="8" w:color="CCEEFF"/>
            </w:tcBorders>
            <w:gridSpan w:val="3"/>
            <w:shd w:val="clear" w:color="auto" w:fill="CCEEFF"/>
          </w:tcPr>
          <w:p>
            <w:pPr>
              <w:jc w:val="center"/>
              <w:spacing w:after="0"/>
              <w:rPr>
                <w:sz w:val="20"/>
                <w:szCs w:val="20"/>
                <w:color w:val="auto"/>
              </w:rPr>
            </w:pPr>
            <w:r>
              <w:rPr>
                <w:rFonts w:ascii="Arial" w:cs="Arial" w:eastAsia="Arial" w:hAnsi="Arial"/>
                <w:sz w:val="13"/>
                <w:szCs w:val="13"/>
                <w:color w:val="auto"/>
              </w:rPr>
              <w:t>Three months ended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r>
      <w:tr>
        <w:trPr>
          <w:trHeight w:val="217"/>
        </w:trPr>
        <w:tc>
          <w:tcPr>
            <w:tcW w:w="554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(in millions, except per-share data)</w:t>
            </w:r>
          </w:p>
        </w:tc>
        <w:tc>
          <w:tcPr>
            <w:tcW w:w="16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9/30/2026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9/30/2025</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100"/>
              <w:spacing w:after="0" w:line="183" w:lineRule="exact"/>
              <w:rPr>
                <w:sz w:val="20"/>
                <w:szCs w:val="20"/>
                <w:color w:val="auto"/>
              </w:rPr>
            </w:pPr>
            <w:r>
              <w:rPr>
                <w:rFonts w:ascii="Arial" w:cs="Arial" w:eastAsia="Arial" w:hAnsi="Arial"/>
                <w:sz w:val="13"/>
                <w:szCs w:val="13"/>
                <w:color w:val="auto"/>
                <w:w w:val="97"/>
              </w:rPr>
              <w:t>Change</w:t>
            </w:r>
            <w:r>
              <w:rPr>
                <w:rFonts w:ascii="Arial" w:cs="Arial" w:eastAsia="Arial" w:hAnsi="Arial"/>
                <w:sz w:val="17"/>
                <w:szCs w:val="17"/>
                <w:color w:val="auto"/>
                <w:w w:val="97"/>
                <w:vertAlign w:val="superscript"/>
              </w:rPr>
              <w:t>(1)</w:t>
            </w:r>
          </w:p>
        </w:tc>
        <w:tc>
          <w:tcPr>
            <w:tcW w:w="140" w:type="dxa"/>
            <w:vAlign w:val="bottom"/>
          </w:tcPr>
          <w:p>
            <w:pPr>
              <w:spacing w:after="0"/>
              <w:rPr>
                <w:sz w:val="18"/>
                <w:szCs w:val="18"/>
                <w:color w:val="auto"/>
              </w:rPr>
            </w:pP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6/30/2026</w:t>
            </w:r>
          </w:p>
        </w:tc>
        <w:tc>
          <w:tcPr>
            <w:tcW w:w="100" w:type="dxa"/>
            <w:vAlign w:val="bottom"/>
          </w:tcPr>
          <w:p>
            <w:pPr>
              <w:spacing w:after="0"/>
              <w:rPr>
                <w:sz w:val="18"/>
                <w:szCs w:val="18"/>
                <w:color w:val="auto"/>
              </w:rPr>
            </w:pPr>
          </w:p>
        </w:tc>
        <w:tc>
          <w:tcPr>
            <w:tcW w:w="1120" w:type="dxa"/>
            <w:vAlign w:val="bottom"/>
            <w:tcBorders>
              <w:right w:val="single" w:sz="8" w:color="auto"/>
            </w:tcBorders>
          </w:tcPr>
          <w:p>
            <w:pPr>
              <w:jc w:val="right"/>
              <w:ind w:right="233"/>
              <w:spacing w:after="0" w:line="183" w:lineRule="exact"/>
              <w:rPr>
                <w:sz w:val="20"/>
                <w:szCs w:val="20"/>
                <w:color w:val="auto"/>
              </w:rPr>
            </w:pPr>
            <w:r>
              <w:rPr>
                <w:rFonts w:ascii="Arial" w:cs="Arial" w:eastAsia="Arial" w:hAnsi="Arial"/>
                <w:sz w:val="13"/>
                <w:szCs w:val="13"/>
                <w:color w:val="auto"/>
              </w:rPr>
              <w:t>Change</w:t>
            </w:r>
            <w:r>
              <w:rPr>
                <w:rFonts w:ascii="Arial" w:cs="Arial" w:eastAsia="Arial" w:hAnsi="Arial"/>
                <w:sz w:val="17"/>
                <w:szCs w:val="17"/>
                <w:color w:val="auto"/>
                <w:vertAlign w:val="superscript"/>
              </w:rPr>
              <w:t>(1)</w:t>
            </w:r>
          </w:p>
        </w:tc>
      </w:tr>
      <w:tr>
        <w:trPr>
          <w:trHeight w:val="148"/>
        </w:trPr>
        <w:tc>
          <w:tcPr>
            <w:tcW w:w="5540" w:type="dxa"/>
            <w:vAlign w:val="bottom"/>
            <w:tcBorders>
              <w:top w:val="single" w:sz="8" w:color="CCEEFF"/>
              <w:left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U.S. GAAP basis</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r>
      <w:tr>
        <w:trPr>
          <w:trHeight w:val="189"/>
        </w:trPr>
        <w:tc>
          <w:tcPr>
            <w:tcW w:w="55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Investment advisory fees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5.8 %</w:t>
            </w: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1,744.8</w:t>
            </w:r>
          </w:p>
        </w:tc>
        <w:tc>
          <w:tcPr>
            <w:tcW w:w="10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3.0 %</w:t>
            </w:r>
          </w:p>
        </w:tc>
      </w:tr>
      <w:tr>
        <w:trPr>
          <w:trHeight w:val="189"/>
        </w:trPr>
        <w:tc>
          <w:tcPr>
            <w:tcW w:w="5540" w:type="dxa"/>
            <w:vAlign w:val="bottom"/>
            <w:tcBorders>
              <w:left w:val="single" w:sz="8" w:color="auto"/>
            </w:tcBorders>
            <w:gridSpan w:val="6"/>
          </w:tcPr>
          <w:p>
            <w:pPr>
              <w:ind w:left="40"/>
              <w:spacing w:after="0" w:line="189" w:lineRule="exact"/>
              <w:rPr>
                <w:sz w:val="20"/>
                <w:szCs w:val="20"/>
                <w:color w:val="auto"/>
              </w:rPr>
            </w:pPr>
            <w:r>
              <w:rPr>
                <w:rFonts w:ascii="Arial" w:cs="Arial" w:eastAsia="Arial" w:hAnsi="Arial"/>
                <w:sz w:val="13"/>
                <w:szCs w:val="13"/>
                <w:color w:val="auto"/>
              </w:rPr>
              <w:t>Capital allocation-based income</w:t>
            </w:r>
            <w:r>
              <w:rPr>
                <w:rFonts w:ascii="Arial" w:cs="Arial" w:eastAsia="Arial" w:hAnsi="Arial"/>
                <w:sz w:val="17"/>
                <w:szCs w:val="17"/>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59.9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42.0</w:t>
            </w:r>
          </w:p>
        </w:tc>
        <w:tc>
          <w:tcPr>
            <w:tcW w:w="100" w:type="dxa"/>
            <w:vAlign w:val="bottom"/>
          </w:tcPr>
          <w:p>
            <w:pPr>
              <w:spacing w:after="0"/>
              <w:rPr>
                <w:sz w:val="16"/>
                <w:szCs w:val="16"/>
                <w:color w:val="auto"/>
              </w:rPr>
            </w:pPr>
          </w:p>
        </w:tc>
        <w:tc>
          <w:tcPr>
            <w:tcW w:w="1200" w:type="dxa"/>
            <w:vAlign w:val="bottom"/>
            <w:tcBorders>
              <w:right w:val="single" w:sz="8" w:color="auto"/>
            </w:tcBorders>
            <w:gridSpan w:val="2"/>
          </w:tcPr>
          <w:p>
            <w:pPr>
              <w:ind w:left="840"/>
              <w:spacing w:after="0"/>
              <w:rPr>
                <w:sz w:val="20"/>
                <w:szCs w:val="20"/>
                <w:color w:val="auto"/>
              </w:rPr>
            </w:pPr>
            <w:r>
              <w:rPr>
                <w:rFonts w:ascii="Arial" w:cs="Arial" w:eastAsia="Arial" w:hAnsi="Arial"/>
                <w:sz w:val="13"/>
                <w:szCs w:val="13"/>
                <w:color w:val="auto"/>
              </w:rPr>
              <w:t>n/m</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6"/>
                <w:szCs w:val="16"/>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n/m</w:t>
            </w:r>
          </w:p>
        </w:tc>
      </w:tr>
      <w:tr>
        <w:trPr>
          <w:trHeight w:val="189"/>
        </w:trPr>
        <w:tc>
          <w:tcPr>
            <w:tcW w:w="55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1,893.5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5.9 %</w:t>
            </w: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1,907.4</w:t>
            </w:r>
          </w:p>
        </w:tc>
        <w:tc>
          <w:tcPr>
            <w:tcW w:w="10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5.1 %</w:t>
            </w:r>
          </w:p>
        </w:tc>
      </w:tr>
      <w:tr>
        <w:trPr>
          <w:trHeight w:val="183"/>
        </w:trPr>
        <w:tc>
          <w:tcPr>
            <w:tcW w:w="554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Operating expenses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1,235.1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1,250.3</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20" w:type="dxa"/>
            <w:vAlign w:val="bottom"/>
            <w:tcBorders>
              <w:right w:val="single" w:sz="8" w:color="auto"/>
            </w:tcBorders>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1,366.9</w:t>
            </w:r>
          </w:p>
        </w:tc>
        <w:tc>
          <w:tcPr>
            <w:tcW w:w="100" w:type="dxa"/>
            <w:vAlign w:val="bottom"/>
          </w:tcPr>
          <w:p>
            <w:pPr>
              <w:spacing w:after="0"/>
              <w:rPr>
                <w:sz w:val="15"/>
                <w:szCs w:val="15"/>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(9.6)%</w:t>
            </w:r>
          </w:p>
        </w:tc>
      </w:tr>
      <w:tr>
        <w:trPr>
          <w:trHeight w:val="195"/>
        </w:trPr>
        <w:tc>
          <w:tcPr>
            <w:tcW w:w="55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Net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19.7 %</w:t>
            </w: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540.5</w:t>
            </w:r>
          </w:p>
        </w:tc>
        <w:tc>
          <w:tcPr>
            <w:tcW w:w="10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42.4 %</w:t>
            </w:r>
          </w:p>
        </w:tc>
      </w:tr>
      <w:tr>
        <w:trPr>
          <w:trHeight w:val="183"/>
        </w:trPr>
        <w:tc>
          <w:tcPr>
            <w:tcW w:w="554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Non-operating income (loss)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15"/>
                <w:szCs w:val="15"/>
                <w:color w:val="auto"/>
              </w:rPr>
            </w:pPr>
          </w:p>
        </w:tc>
        <w:tc>
          <w:tcPr>
            <w:tcW w:w="1200" w:type="dxa"/>
            <w:vAlign w:val="bottom"/>
            <w:tcBorders>
              <w:right w:val="single" w:sz="8" w:color="auto"/>
            </w:tcBorders>
            <w:gridSpan w:val="2"/>
          </w:tcPr>
          <w:p>
            <w:pPr>
              <w:ind w:left="840"/>
              <w:spacing w:after="0"/>
              <w:rPr>
                <w:sz w:val="20"/>
                <w:szCs w:val="20"/>
                <w:color w:val="auto"/>
              </w:rPr>
            </w:pPr>
            <w:r>
              <w:rPr>
                <w:rFonts w:ascii="Arial" w:cs="Arial" w:eastAsia="Arial" w:hAnsi="Arial"/>
                <w:sz w:val="13"/>
                <w:szCs w:val="13"/>
                <w:color w:val="auto"/>
              </w:rPr>
              <w:t>n/m</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369.1</w:t>
            </w:r>
          </w:p>
        </w:tc>
        <w:tc>
          <w:tcPr>
            <w:tcW w:w="100" w:type="dxa"/>
            <w:vAlign w:val="bottom"/>
          </w:tcPr>
          <w:p>
            <w:pPr>
              <w:spacing w:after="0"/>
              <w:rPr>
                <w:sz w:val="15"/>
                <w:szCs w:val="15"/>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n/m</w:t>
            </w:r>
          </w:p>
        </w:tc>
      </w:tr>
      <w:tr>
        <w:trPr>
          <w:trHeight w:val="195"/>
        </w:trPr>
        <w:tc>
          <w:tcPr>
            <w:tcW w:w="55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Net income - T. Rowe Price Group, Inc.</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632.0</w:t>
            </w:r>
          </w:p>
        </w:tc>
        <w:tc>
          <w:tcPr>
            <w:tcW w:w="10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223"/>
        </w:trPr>
        <w:tc>
          <w:tcPr>
            <w:tcW w:w="5540" w:type="dxa"/>
            <w:vAlign w:val="bottom"/>
            <w:tcBorders>
              <w:left w:val="single" w:sz="8" w:color="auto"/>
              <w:bottom w:val="single" w:sz="8" w:color="CCEEFF"/>
            </w:tcBorders>
            <w:gridSpan w:val="6"/>
          </w:tcPr>
          <w:p>
            <w:pPr>
              <w:ind w:left="40"/>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2.87</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(2.8)%</w:t>
            </w:r>
          </w:p>
        </w:tc>
        <w:tc>
          <w:tcPr>
            <w:tcW w:w="12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3"/>
                <w:szCs w:val="13"/>
                <w:color w:val="auto"/>
              </w:rPr>
              <w:t>(3.1)%</w:t>
            </w:r>
          </w:p>
        </w:tc>
      </w:tr>
      <w:tr>
        <w:trPr>
          <w:trHeight w:val="148"/>
        </w:trPr>
        <w:tc>
          <w:tcPr>
            <w:tcW w:w="5540" w:type="dxa"/>
            <w:vAlign w:val="bottom"/>
            <w:tcBorders>
              <w:left w:val="single" w:sz="8" w:color="auto"/>
            </w:tcBorders>
            <w:gridSpan w:val="6"/>
          </w:tcPr>
          <w:p>
            <w:pPr>
              <w:ind w:left="40"/>
              <w:spacing w:after="0" w:line="149" w:lineRule="exact"/>
              <w:rPr>
                <w:sz w:val="20"/>
                <w:szCs w:val="20"/>
                <w:color w:val="auto"/>
              </w:rPr>
            </w:pPr>
            <w:r>
              <w:rPr>
                <w:rFonts w:ascii="Arial" w:cs="Arial" w:eastAsia="Arial" w:hAnsi="Arial"/>
                <w:sz w:val="13"/>
                <w:szCs w:val="13"/>
                <w:b w:val="1"/>
                <w:bCs w:val="1"/>
                <w:color w:val="auto"/>
              </w:rPr>
              <w:t>Adjusted basis</w:t>
            </w:r>
            <w:r>
              <w:rPr>
                <w:rFonts w:ascii="Arial" w:cs="Arial" w:eastAsia="Arial" w:hAnsi="Arial"/>
                <w:sz w:val="17"/>
                <w:szCs w:val="17"/>
                <w:b w:val="1"/>
                <w:bCs w:val="1"/>
                <w:color w:val="auto"/>
                <w:vertAlign w:val="superscript"/>
              </w:rPr>
              <w:t>(3)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r>
      <w:tr>
        <w:trPr>
          <w:trHeight w:val="189"/>
        </w:trPr>
        <w:tc>
          <w:tcPr>
            <w:tcW w:w="55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5.8 %</w:t>
            </w: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1,203.2</w:t>
            </w:r>
          </w:p>
        </w:tc>
        <w:tc>
          <w:tcPr>
            <w:tcW w:w="10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83"/>
        </w:trPr>
        <w:tc>
          <w:tcPr>
            <w:tcW w:w="554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Operating expenses, excluding accrued carried interest related compensation</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1,175.5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1,111.8</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5.7 %</w:t>
            </w:r>
          </w:p>
        </w:tc>
        <w:tc>
          <w:tcPr>
            <w:tcW w:w="120" w:type="dxa"/>
            <w:vAlign w:val="bottom"/>
            <w:tcBorders>
              <w:right w:val="single" w:sz="8" w:color="auto"/>
            </w:tcBorders>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1,194.9</w:t>
            </w:r>
          </w:p>
        </w:tc>
        <w:tc>
          <w:tcPr>
            <w:tcW w:w="100" w:type="dxa"/>
            <w:vAlign w:val="bottom"/>
          </w:tcPr>
          <w:p>
            <w:pPr>
              <w:spacing w:after="0"/>
              <w:rPr>
                <w:sz w:val="15"/>
                <w:szCs w:val="15"/>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95"/>
        </w:trPr>
        <w:tc>
          <w:tcPr>
            <w:tcW w:w="55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Net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4.5 %</w:t>
            </w: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709.1</w:t>
            </w:r>
          </w:p>
        </w:tc>
        <w:tc>
          <w:tcPr>
            <w:tcW w:w="10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14.1 %</w:t>
            </w:r>
          </w:p>
        </w:tc>
      </w:tr>
      <w:tr>
        <w:trPr>
          <w:trHeight w:val="183"/>
        </w:trPr>
        <w:tc>
          <w:tcPr>
            <w:tcW w:w="554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Non-operating income (loss)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50.2</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(64.1)%</w:t>
            </w:r>
          </w:p>
        </w:tc>
        <w:tc>
          <w:tcPr>
            <w:tcW w:w="120" w:type="dxa"/>
            <w:vAlign w:val="bottom"/>
            <w:tcBorders>
              <w:right w:val="single" w:sz="8" w:color="auto"/>
            </w:tcBorders>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38.5</w:t>
            </w:r>
          </w:p>
        </w:tc>
        <w:tc>
          <w:tcPr>
            <w:tcW w:w="100" w:type="dxa"/>
            <w:vAlign w:val="bottom"/>
          </w:tcPr>
          <w:p>
            <w:pPr>
              <w:spacing w:after="0"/>
              <w:rPr>
                <w:sz w:val="15"/>
                <w:szCs w:val="15"/>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(53.2)%</w:t>
            </w:r>
          </w:p>
        </w:tc>
      </w:tr>
      <w:tr>
        <w:trPr>
          <w:trHeight w:val="195"/>
        </w:trPr>
        <w:tc>
          <w:tcPr>
            <w:tcW w:w="55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Net income - T. Rowe Price Group, Inc.</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565.0</w:t>
            </w:r>
          </w:p>
        </w:tc>
        <w:tc>
          <w:tcPr>
            <w:tcW w:w="10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11.4 %</w:t>
            </w:r>
          </w:p>
        </w:tc>
      </w:tr>
      <w:tr>
        <w:trPr>
          <w:trHeight w:val="223"/>
        </w:trPr>
        <w:tc>
          <w:tcPr>
            <w:tcW w:w="5540" w:type="dxa"/>
            <w:vAlign w:val="bottom"/>
            <w:tcBorders>
              <w:left w:val="single" w:sz="8" w:color="auto"/>
              <w:bottom w:val="single" w:sz="8" w:color="CCEEFF"/>
            </w:tcBorders>
            <w:gridSpan w:val="6"/>
          </w:tcPr>
          <w:p>
            <w:pPr>
              <w:ind w:left="40"/>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2.81</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1.8 %</w:t>
            </w:r>
          </w:p>
        </w:tc>
        <w:tc>
          <w:tcPr>
            <w:tcW w:w="12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2.57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3"/>
                <w:szCs w:val="13"/>
                <w:color w:val="auto"/>
              </w:rPr>
              <w:t>11.3 %</w:t>
            </w:r>
          </w:p>
        </w:tc>
      </w:tr>
      <w:tr>
        <w:trPr>
          <w:trHeight w:val="149"/>
        </w:trPr>
        <w:tc>
          <w:tcPr>
            <w:tcW w:w="5540" w:type="dxa"/>
            <w:vAlign w:val="bottom"/>
            <w:tcBorders>
              <w:left w:val="single" w:sz="8" w:color="auto"/>
            </w:tcBorders>
            <w:gridSpan w:val="6"/>
          </w:tcPr>
          <w:p>
            <w:pPr>
              <w:ind w:left="40"/>
              <w:spacing w:after="0" w:line="149" w:lineRule="exact"/>
              <w:rPr>
                <w:sz w:val="20"/>
                <w:szCs w:val="20"/>
                <w:color w:val="auto"/>
              </w:rPr>
            </w:pPr>
            <w:r>
              <w:rPr>
                <w:rFonts w:ascii="Arial" w:cs="Arial" w:eastAsia="Arial" w:hAnsi="Arial"/>
                <w:sz w:val="13"/>
                <w:szCs w:val="13"/>
                <w:b w:val="1"/>
                <w:bCs w:val="1"/>
                <w:color w:val="auto"/>
              </w:rPr>
              <w:t xml:space="preserve">Assets under management </w:t>
            </w:r>
            <w:r>
              <w:rPr>
                <w:rFonts w:ascii="Arial" w:cs="Arial" w:eastAsia="Arial" w:hAnsi="Arial"/>
                <w:sz w:val="13"/>
                <w:szCs w:val="13"/>
                <w:color w:val="auto"/>
              </w:rPr>
              <w:t>(in billions)</w:t>
            </w:r>
            <w:r>
              <w:rPr>
                <w:rFonts w:ascii="Arial" w:cs="Arial" w:eastAsia="Arial" w:hAnsi="Arial"/>
                <w:sz w:val="17"/>
                <w:szCs w:val="17"/>
                <w:color w:val="auto"/>
                <w:vertAlign w:val="superscript"/>
              </w:rPr>
              <w:t>(4)</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r>
      <w:tr>
        <w:trPr>
          <w:trHeight w:val="189"/>
        </w:trPr>
        <w:tc>
          <w:tcPr>
            <w:tcW w:w="55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Average AUM</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1,837.7</w:t>
            </w:r>
          </w:p>
        </w:tc>
        <w:tc>
          <w:tcPr>
            <w:tcW w:w="10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2.7 %</w:t>
            </w:r>
          </w:p>
        </w:tc>
      </w:tr>
      <w:tr>
        <w:trPr>
          <w:trHeight w:val="223"/>
        </w:trPr>
        <w:tc>
          <w:tcPr>
            <w:tcW w:w="5540" w:type="dxa"/>
            <w:vAlign w:val="bottom"/>
            <w:tcBorders>
              <w:left w:val="single" w:sz="8" w:color="auto"/>
              <w:bottom w:val="single" w:sz="8" w:color="CCEEFF"/>
            </w:tcBorders>
            <w:gridSpan w:val="6"/>
          </w:tcPr>
          <w:p>
            <w:pPr>
              <w:ind w:left="40"/>
              <w:spacing w:after="0"/>
              <w:rPr>
                <w:sz w:val="20"/>
                <w:szCs w:val="20"/>
                <w:color w:val="auto"/>
              </w:rPr>
            </w:pPr>
            <w:r>
              <w:rPr>
                <w:rFonts w:ascii="Arial" w:cs="Arial" w:eastAsia="Arial" w:hAnsi="Arial"/>
                <w:sz w:val="13"/>
                <w:szCs w:val="13"/>
                <w:color w:val="auto"/>
              </w:rPr>
              <w:t>Ending AUM</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1,862.7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1,767.2</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5.4 %</w:t>
            </w:r>
          </w:p>
        </w:tc>
        <w:tc>
          <w:tcPr>
            <w:tcW w:w="12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1,893.4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49"/>
        </w:trPr>
        <w:tc>
          <w:tcPr>
            <w:tcW w:w="554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 xml:space="preserve">Investment advisory annualized effective fee rate (EFR) </w:t>
            </w:r>
            <w:r>
              <w:rPr>
                <w:rFonts w:ascii="Arial" w:cs="Arial" w:eastAsia="Arial" w:hAnsi="Arial"/>
                <w:sz w:val="13"/>
                <w:szCs w:val="13"/>
                <w:color w:val="auto"/>
              </w:rPr>
              <w:t>(in bps)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r>
      <w:tr>
        <w:trPr>
          <w:trHeight w:val="189"/>
        </w:trPr>
        <w:tc>
          <w:tcPr>
            <w:tcW w:w="55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EFR without performance-based fees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w:t>
            </w:r>
          </w:p>
        </w:tc>
        <w:tc>
          <w:tcPr>
            <w:tcW w:w="11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(1.3)</w:t>
            </w: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(0.3)</w:t>
            </w:r>
          </w:p>
        </w:tc>
      </w:tr>
      <w:tr>
        <w:trPr>
          <w:trHeight w:val="196"/>
        </w:trPr>
        <w:tc>
          <w:tcPr>
            <w:tcW w:w="5540" w:type="dxa"/>
            <w:vAlign w:val="bottom"/>
            <w:tcBorders>
              <w:left w:val="single" w:sz="8" w:color="auto"/>
              <w:bottom w:val="single" w:sz="8" w:color="auto"/>
            </w:tcBorders>
            <w:gridSpan w:val="6"/>
          </w:tcPr>
          <w:p>
            <w:pPr>
              <w:ind w:left="40"/>
              <w:spacing w:after="0"/>
              <w:rPr>
                <w:sz w:val="20"/>
                <w:szCs w:val="20"/>
                <w:color w:val="auto"/>
              </w:rPr>
            </w:pPr>
            <w:r>
              <w:rPr>
                <w:rFonts w:ascii="Arial" w:cs="Arial" w:eastAsia="Arial" w:hAnsi="Arial"/>
                <w:sz w:val="13"/>
                <w:szCs w:val="13"/>
                <w:color w:val="auto"/>
              </w:rPr>
              <w:t>EFR with performance-based fees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w:t>
            </w:r>
          </w:p>
        </w:tc>
        <w:tc>
          <w:tcPr>
            <w:tcW w:w="11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113"/>
              <w:spacing w:after="0"/>
              <w:rPr>
                <w:sz w:val="20"/>
                <w:szCs w:val="20"/>
                <w:color w:val="auto"/>
              </w:rPr>
            </w:pPr>
            <w:r>
              <w:rPr>
                <w:rFonts w:ascii="Arial" w:cs="Arial" w:eastAsia="Arial" w:hAnsi="Arial"/>
                <w:sz w:val="13"/>
                <w:szCs w:val="13"/>
                <w:color w:val="auto"/>
              </w:rPr>
              <w:t>(0.3)</w:t>
            </w:r>
          </w:p>
        </w:tc>
      </w:tr>
    </w:tbl>
    <w:p>
      <w:pPr>
        <w:spacing w:after="0" w:line="65" w:lineRule="exact"/>
        <w:rPr>
          <w:sz w:val="20"/>
          <w:szCs w:val="20"/>
          <w:color w:val="auto"/>
        </w:rPr>
      </w:pPr>
    </w:p>
    <w:p>
      <w:pPr>
        <w:ind w:left="180" w:right="40" w:hanging="172"/>
        <w:spacing w:after="0" w:line="220" w:lineRule="auto"/>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 xml:space="preserve">n/m - the percentage change is not meaningful. </w:t>
      </w:r>
      <w:r>
        <w:rPr>
          <w:rFonts w:ascii="Arial" w:cs="Arial" w:eastAsia="Arial" w:hAnsi="Arial"/>
          <w:sz w:val="16"/>
          <w:szCs w:val="16"/>
          <w:i w:val="1"/>
          <w:iCs w:val="1"/>
          <w:color w:val="auto"/>
          <w:vertAlign w:val="superscript"/>
        </w:rPr>
        <w:t>(2)</w:t>
      </w:r>
      <w:r>
        <w:rPr>
          <w:rFonts w:ascii="Arial" w:cs="Arial" w:eastAsia="Arial" w:hAnsi="Arial"/>
          <w:sz w:val="13"/>
          <w:szCs w:val="13"/>
          <w:i w:val="1"/>
          <w:iCs w:val="1"/>
          <w:color w:val="auto"/>
        </w:rPr>
        <w:t xml:space="preserve"> Capital allocation-based income represents the change in accrued carried interest along with acquisition-related, non-cash amortization and impairments. </w:t>
      </w:r>
      <w:r>
        <w:rPr>
          <w:rFonts w:ascii="Arial" w:cs="Arial" w:eastAsia="Arial" w:hAnsi="Arial"/>
          <w:sz w:val="16"/>
          <w:szCs w:val="16"/>
          <w:i w:val="1"/>
          <w:iCs w:val="1"/>
          <w:color w:val="auto"/>
          <w:vertAlign w:val="superscript"/>
        </w:rPr>
        <w:t>(3)</w:t>
      </w:r>
      <w:r>
        <w:rPr>
          <w:rFonts w:ascii="Arial" w:cs="Arial" w:eastAsia="Arial" w:hAnsi="Arial"/>
          <w:sz w:val="13"/>
          <w:szCs w:val="13"/>
          <w:i w:val="1"/>
          <w:iCs w:val="1"/>
          <w:color w:val="auto"/>
        </w:rPr>
        <w:t xml:space="preserve"> See the reconciliation to the comparable U.S. GAAP measures at the end of this earnings release. </w:t>
      </w:r>
      <w:r>
        <w:rPr>
          <w:rFonts w:ascii="Arial" w:cs="Arial" w:eastAsia="Arial" w:hAnsi="Arial"/>
          <w:sz w:val="16"/>
          <w:szCs w:val="16"/>
          <w:i w:val="1"/>
          <w:iCs w:val="1"/>
          <w:color w:val="auto"/>
          <w:vertAlign w:val="superscript"/>
        </w:rPr>
        <w:t>(4)</w:t>
      </w:r>
      <w:r>
        <w:rPr>
          <w:rFonts w:ascii="Arial" w:cs="Arial" w:eastAsia="Arial" w:hAnsi="Arial"/>
          <w:sz w:val="13"/>
          <w:szCs w:val="13"/>
          <w:i w:val="1"/>
          <w:iCs w:val="1"/>
          <w:color w:val="auto"/>
        </w:rPr>
        <w:t xml:space="preserve"> Beginning July 1, 2025, managed account - model delivery assets are included in assets under management.</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1440"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Assets Under Management</w:t>
      </w:r>
      <w:r>
        <w:rPr>
          <w:rFonts w:ascii="Arial" w:cs="Arial" w:eastAsia="Arial" w:hAnsi="Arial"/>
          <w:sz w:val="23"/>
          <w:szCs w:val="23"/>
          <w:b w:val="1"/>
          <w:bCs w:val="1"/>
          <w:color w:val="auto"/>
          <w:vertAlign w:val="superscript"/>
        </w:rPr>
        <w:t>(1)</w:t>
      </w:r>
    </w:p>
    <w:p>
      <w:pPr>
        <w:spacing w:after="0" w:line="54" w:lineRule="exact"/>
        <w:rPr>
          <w:sz w:val="20"/>
          <w:szCs w:val="20"/>
          <w:color w:val="auto"/>
        </w:rPr>
      </w:pPr>
    </w:p>
    <w:p>
      <w:pPr>
        <w:ind w:right="160"/>
        <w:spacing w:after="0" w:line="392" w:lineRule="auto"/>
        <w:rPr>
          <w:sz w:val="20"/>
          <w:szCs w:val="20"/>
          <w:color w:val="auto"/>
        </w:rPr>
      </w:pPr>
      <w:r>
        <w:rPr>
          <w:rFonts w:ascii="Arial" w:cs="Arial" w:eastAsia="Arial" w:hAnsi="Arial"/>
          <w:sz w:val="18"/>
          <w:szCs w:val="18"/>
          <w:color w:val="auto"/>
        </w:rPr>
        <w:t>During Q3 2026, assets under management (AUM) decreased $30.7 billion to $1.9 trillion. The components of the change in AUM, by asset class, are shown in the table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780" w:type="dxa"/>
            <w:vAlign w:val="bottom"/>
            <w:tcBorders>
              <w:bottom w:val="single" w:sz="8" w:color="auto"/>
            </w:tcBorders>
            <w:gridSpan w:val="8"/>
            <w:shd w:val="clear" w:color="auto" w:fill="CCEEFF"/>
          </w:tcPr>
          <w:p>
            <w:pPr>
              <w:jc w:val="center"/>
              <w:ind w:right="220"/>
              <w:spacing w:after="0"/>
              <w:rPr>
                <w:sz w:val="20"/>
                <w:szCs w:val="20"/>
                <w:color w:val="auto"/>
              </w:rPr>
            </w:pPr>
            <w:r>
              <w:rPr>
                <w:rFonts w:ascii="Arial" w:cs="Arial" w:eastAsia="Arial" w:hAnsi="Arial"/>
                <w:sz w:val="14"/>
                <w:szCs w:val="14"/>
                <w:color w:val="auto"/>
              </w:rPr>
              <w:t>Three months ended 9/30/2026</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rPr>
              <w:t>Fixed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color w:val="auto"/>
              </w:rPr>
              <w:t>Equity</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including money</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Multi-asset</w:t>
            </w:r>
            <w:r>
              <w:rPr>
                <w:rFonts w:ascii="Arial" w:cs="Arial" w:eastAsia="Arial" w:hAnsi="Arial"/>
                <w:sz w:val="9"/>
                <w:szCs w:val="9"/>
                <w:color w:val="auto"/>
              </w:rPr>
              <w:t>(2)</w:t>
            </w:r>
          </w:p>
        </w:tc>
        <w:tc>
          <w:tcPr>
            <w:tcW w:w="16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color w:val="auto"/>
              </w:rPr>
              <w:t>Alternatives</w:t>
            </w:r>
            <w:r>
              <w:rPr>
                <w:rFonts w:ascii="Arial" w:cs="Arial" w:eastAsia="Arial" w:hAnsi="Arial"/>
                <w:sz w:val="9"/>
                <w:szCs w:val="9"/>
                <w:color w:val="auto"/>
              </w:rPr>
              <w:t>(3)</w:t>
            </w:r>
          </w:p>
        </w:tc>
        <w:tc>
          <w:tcPr>
            <w:tcW w:w="280" w:type="dxa"/>
            <w:vAlign w:val="bottom"/>
          </w:tcPr>
          <w:p>
            <w:pPr>
              <w:spacing w:after="0"/>
              <w:rPr>
                <w:sz w:val="12"/>
                <w:szCs w:val="12"/>
                <w:color w:val="auto"/>
              </w:rPr>
            </w:pPr>
          </w:p>
        </w:tc>
        <w:tc>
          <w:tcPr>
            <w:tcW w:w="920" w:type="dxa"/>
            <w:vAlign w:val="bottom"/>
            <w:vMerge w:val="restart"/>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4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rPr>
              <w:t>market</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1,893.4</w:t>
            </w:r>
          </w:p>
        </w:tc>
        <w:tc>
          <w:tcPr>
            <w:tcW w:w="0" w:type="dxa"/>
            <w:vAlign w:val="bottom"/>
          </w:tcPr>
          <w:p>
            <w:pPr>
              <w:spacing w:after="0"/>
              <w:rPr>
                <w:sz w:val="1"/>
                <w:szCs w:val="1"/>
                <w:color w:val="auto"/>
              </w:rPr>
            </w:pPr>
          </w:p>
        </w:tc>
      </w:tr>
      <w:tr>
        <w:trPr>
          <w:trHeight w:val="75"/>
        </w:trPr>
        <w:tc>
          <w:tcPr>
            <w:tcW w:w="4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prior to manager-driven distributions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Manager-driven distributions</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appreciation (depreciation) and income</w:t>
            </w:r>
            <w:r>
              <w:rPr>
                <w:rFonts w:ascii="Arial" w:cs="Arial" w:eastAsia="Arial" w:hAnsi="Arial"/>
                <w:sz w:val="21"/>
                <w:szCs w:val="21"/>
                <w:color w:val="auto"/>
                <w:vertAlign w:val="superscript"/>
              </w:rPr>
              <w:t>(4)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color w:val="auto"/>
              </w:rPr>
              <w:t>Assets under management at September 30, 2026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Firmwide AUM includes assets in which T. Rowe Price Group, Inc. and its affiliates have full discretionary authority along with managed account - model delivery assets.</w:t>
      </w:r>
    </w:p>
    <w:p>
      <w:pPr>
        <w:ind w:left="220" w:hanging="212"/>
        <w:spacing w:after="0" w:line="193" w:lineRule="auto"/>
        <w:tabs>
          <w:tab w:leader="none" w:pos="22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AUM of the multi-asset portfolios have been aggregated and presented in this category and not reported in the equity and fixed income columns.</w:t>
      </w:r>
    </w:p>
    <w:p>
      <w:pPr>
        <w:ind w:left="180" w:right="180" w:hanging="172"/>
        <w:spacing w:after="0" w:line="230"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private equity or that have absolute return as its investment objective. Generally, only those strategies with longer than daily liquidity are included. Unfunded capital commitments that do not earn fees were $19.0 billion at September 30, 2026 and $21.0 billion at June 30, 2026, and are not reflected in the AUM above.</w:t>
      </w:r>
    </w:p>
    <w:p>
      <w:pPr>
        <w:spacing w:after="0" w:line="1" w:lineRule="exact"/>
        <w:rPr>
          <w:rFonts w:ascii="Arial" w:cs="Arial" w:eastAsia="Arial" w:hAnsi="Arial"/>
          <w:sz w:val="16"/>
          <w:szCs w:val="16"/>
          <w:i w:val="1"/>
          <w:iCs w:val="1"/>
          <w:color w:val="auto"/>
          <w:vertAlign w:val="superscript"/>
        </w:rPr>
      </w:pPr>
    </w:p>
    <w:p>
      <w:pPr>
        <w:ind w:left="140" w:hanging="132"/>
        <w:spacing w:after="0" w:line="200"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of $0.7 billion.</w:t>
      </w:r>
    </w:p>
    <w:p>
      <w:pPr>
        <w:spacing w:after="0" w:line="200" w:lineRule="exact"/>
        <w:rPr>
          <w:sz w:val="20"/>
          <w:szCs w:val="20"/>
          <w:color w:val="auto"/>
        </w:rPr>
      </w:pPr>
    </w:p>
    <w:p>
      <w:pPr>
        <w:spacing w:after="0" w:line="322" w:lineRule="exact"/>
        <w:rPr>
          <w:sz w:val="20"/>
          <w:szCs w:val="20"/>
          <w:color w:val="auto"/>
        </w:rPr>
      </w:pPr>
    </w:p>
    <w:p>
      <w:pPr>
        <w:ind w:right="20"/>
        <w:spacing w:after="0" w:line="396" w:lineRule="auto"/>
        <w:rPr>
          <w:sz w:val="20"/>
          <w:szCs w:val="20"/>
          <w:color w:val="auto"/>
        </w:rPr>
      </w:pPr>
      <w:r>
        <w:rPr>
          <w:rFonts w:ascii="Arial" w:cs="Arial" w:eastAsia="Arial" w:hAnsi="Arial"/>
          <w:sz w:val="18"/>
          <w:szCs w:val="18"/>
          <w:color w:val="auto"/>
        </w:rPr>
        <w:t>Investors domiciled outside the United States account for 9.3% of the firm's AUM at September 30, 2026, 9.1% at June 30, 2026 and 8.8% at December 31, 2025.</w:t>
      </w:r>
    </w:p>
    <w:p>
      <w:pPr>
        <w:spacing w:after="0" w:line="194" w:lineRule="exact"/>
        <w:rPr>
          <w:sz w:val="20"/>
          <w:szCs w:val="20"/>
          <w:color w:val="auto"/>
        </w:rPr>
      </w:pPr>
    </w:p>
    <w:p>
      <w:pPr>
        <w:ind w:right="440"/>
        <w:spacing w:after="0" w:line="378" w:lineRule="auto"/>
        <w:rPr>
          <w:sz w:val="20"/>
          <w:szCs w:val="20"/>
          <w:color w:val="auto"/>
        </w:rPr>
      </w:pPr>
      <w:r>
        <w:rPr>
          <w:rFonts w:ascii="Arial" w:cs="Arial" w:eastAsia="Arial" w:hAnsi="Arial"/>
          <w:sz w:val="18"/>
          <w:szCs w:val="18"/>
          <w:color w:val="auto"/>
        </w:rPr>
        <w:t>The firm provides participant accounting and plan administration for retirement plans that primarily invest in the firm's U.S. mutual funds, collective investment trusts and products managed outside of the firm's complex. At September 30, 2026, the firm's assets under administration were $346 billion, of which $186 billion were assets the firm manages.</w:t>
      </w:r>
    </w:p>
    <w:p>
      <w:pPr>
        <w:spacing w:after="0" w:line="196" w:lineRule="exact"/>
        <w:rPr>
          <w:sz w:val="20"/>
          <w:szCs w:val="20"/>
          <w:color w:val="auto"/>
        </w:rPr>
      </w:pPr>
    </w:p>
    <w:p>
      <w:pPr>
        <w:ind w:right="40"/>
        <w:spacing w:after="0" w:line="386" w:lineRule="auto"/>
        <w:rPr>
          <w:sz w:val="20"/>
          <w:szCs w:val="20"/>
          <w:color w:val="auto"/>
        </w:rPr>
      </w:pPr>
      <w:r>
        <w:rPr>
          <w:rFonts w:ascii="Arial" w:cs="Arial" w:eastAsia="Arial" w:hAnsi="Arial"/>
          <w:sz w:val="18"/>
          <w:szCs w:val="18"/>
          <w:color w:val="auto"/>
        </w:rPr>
        <w:t>The firm's multi-asset investment division provides advisory solutions, including investment insights, strategic asset allocation design, tactical asset allocation recommendations, and portfolio rebalancing services. The assets in these portfolios, predominantly in the United States, were $31.4 billion at September 30, 2026, compared to $31.1 billion at June 30,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Results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720" w:type="dxa"/>
            <w:vAlign w:val="bottom"/>
            <w:tcBorders>
              <w:top w:val="single" w:sz="8" w:color="auto"/>
              <w:left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right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Three months ended</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9/30/2026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9/30/2025</w:t>
            </w:r>
          </w:p>
        </w:tc>
        <w:tc>
          <w:tcPr>
            <w:tcW w:w="100" w:type="dxa"/>
            <w:vAlign w:val="bottom"/>
          </w:tcPr>
          <w:p>
            <w:pPr>
              <w:spacing w:after="0"/>
              <w:rPr>
                <w:sz w:val="15"/>
                <w:szCs w:val="15"/>
                <w:color w:val="auto"/>
              </w:rPr>
            </w:pPr>
          </w:p>
        </w:tc>
        <w:tc>
          <w:tcPr>
            <w:tcW w:w="1400" w:type="dxa"/>
            <w:vAlign w:val="bottom"/>
            <w:tcBorders>
              <w:right w:val="single" w:sz="8" w:color="auto"/>
            </w:tcBorders>
            <w:gridSpan w:val="2"/>
          </w:tcPr>
          <w:p>
            <w:pPr>
              <w:ind w:left="400"/>
              <w:spacing w:after="0"/>
              <w:rPr>
                <w:sz w:val="20"/>
                <w:szCs w:val="20"/>
                <w:color w:val="auto"/>
              </w:rPr>
            </w:pPr>
            <w:r>
              <w:rPr>
                <w:rFonts w:ascii="Arial" w:cs="Arial" w:eastAsia="Arial" w:hAnsi="Arial"/>
                <w:sz w:val="14"/>
                <w:szCs w:val="14"/>
                <w:color w:val="auto"/>
              </w:rPr>
              <w:t>Change</w:t>
            </w:r>
          </w:p>
        </w:tc>
        <w:tc>
          <w:tcPr>
            <w:tcW w:w="180" w:type="dxa"/>
            <w:vAlign w:val="bottom"/>
          </w:tcPr>
          <w:p>
            <w:pPr>
              <w:spacing w:after="0"/>
              <w:rPr>
                <w:sz w:val="15"/>
                <w:szCs w:val="15"/>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6/30/2026</w:t>
            </w:r>
          </w:p>
        </w:tc>
        <w:tc>
          <w:tcPr>
            <w:tcW w:w="100" w:type="dxa"/>
            <w:vAlign w:val="bottom"/>
          </w:tcPr>
          <w:p>
            <w:pPr>
              <w:spacing w:after="0"/>
              <w:rPr>
                <w:sz w:val="15"/>
                <w:szCs w:val="15"/>
                <w:color w:val="auto"/>
              </w:rPr>
            </w:pPr>
          </w:p>
        </w:tc>
        <w:tc>
          <w:tcPr>
            <w:tcW w:w="132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7"/>
        </w:trPr>
        <w:tc>
          <w:tcPr>
            <w:tcW w:w="4720" w:type="dxa"/>
            <w:vAlign w:val="bottom"/>
            <w:tcBorders>
              <w:top w:val="single" w:sz="8" w:color="CCEEFF"/>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Investment advisory fees</w:t>
            </w: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2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Equity</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1,047.4</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1,011.8</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Borders>
              <w:right w:val="single" w:sz="8" w:color="auto"/>
            </w:tcBorders>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1,011.9</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207"/>
        </w:trPr>
        <w:tc>
          <w:tcPr>
            <w:tcW w:w="47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1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98"/>
        </w:trPr>
        <w:tc>
          <w:tcPr>
            <w:tcW w:w="472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Multi-asset</w:t>
            </w: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537.6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492.1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9.2 %</w:t>
            </w: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529.5</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07"/>
        </w:trPr>
        <w:tc>
          <w:tcPr>
            <w:tcW w:w="47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Alternatives</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Borders>
              <w:right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92"/>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Total investment advisory fees</w:t>
            </w: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1,796.4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1,698.7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1,744.8</w:t>
            </w:r>
          </w:p>
        </w:tc>
        <w:tc>
          <w:tcPr>
            <w:tcW w:w="100" w:type="dxa"/>
            <w:vAlign w:val="bottom"/>
          </w:tcPr>
          <w:p>
            <w:pPr>
              <w:spacing w:after="0"/>
              <w:rPr>
                <w:sz w:val="16"/>
                <w:szCs w:val="16"/>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07"/>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Performance-based advisory fees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203"/>
        </w:trPr>
        <w:tc>
          <w:tcPr>
            <w:tcW w:w="472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4"/>
                <w:szCs w:val="14"/>
                <w:color w:val="auto"/>
              </w:rPr>
              <w:t>Capital allocation-based income</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7"/>
                <w:szCs w:val="17"/>
                <w:color w:val="auto"/>
              </w:rPr>
            </w:pPr>
          </w:p>
        </w:tc>
        <w:tc>
          <w:tcPr>
            <w:tcW w:w="1400" w:type="dxa"/>
            <w:vAlign w:val="bottom"/>
            <w:tcBorders>
              <w:right w:val="single" w:sz="8" w:color="auto"/>
            </w:tcBorders>
            <w:gridSpan w:val="2"/>
          </w:tcPr>
          <w:p>
            <w:pPr>
              <w:ind w:left="104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Administrative, distribution, servicing, and other fees</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right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0"/>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Net revenues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2,004.9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1,893.5</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1,907.4</w:t>
            </w:r>
          </w:p>
        </w:tc>
        <w:tc>
          <w:tcPr>
            <w:tcW w:w="1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20"/>
        </w:trPr>
        <w:tc>
          <w:tcPr>
            <w:tcW w:w="4720" w:type="dxa"/>
            <w:vAlign w:val="bottom"/>
            <w:tcBorders>
              <w:left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lef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Average AUM (in billions):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865.8</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886.6</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9"/>
        </w:trPr>
        <w:tc>
          <w:tcPr>
            <w:tcW w:w="472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223.1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203.8</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9.5 %</w:t>
            </w: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06"/>
        </w:trPr>
        <w:tc>
          <w:tcPr>
            <w:tcW w:w="472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671.2</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99"/>
        </w:trPr>
        <w:tc>
          <w:tcPr>
            <w:tcW w:w="4720" w:type="dxa"/>
            <w:vAlign w:val="bottom"/>
            <w:tcBorders>
              <w:left w:val="single" w:sz="8" w:color="auto"/>
              <w:bottom w:val="single" w:sz="8" w:color="CCEEFF"/>
            </w:tcBorders>
          </w:tcPr>
          <w:p>
            <w:pPr>
              <w:ind w:left="120"/>
              <w:spacing w:after="0"/>
              <w:rPr>
                <w:sz w:val="20"/>
                <w:szCs w:val="20"/>
                <w:color w:val="auto"/>
              </w:rPr>
            </w:pPr>
            <w:r>
              <w:rPr>
                <w:rFonts w:ascii="Arial" w:cs="Arial" w:eastAsia="Arial" w:hAnsi="Arial"/>
                <w:sz w:val="14"/>
                <w:szCs w:val="14"/>
                <w:color w:val="auto"/>
              </w:rPr>
              <w:t>Alternatives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13.3 %</w:t>
            </w:r>
          </w:p>
        </w:tc>
        <w:tc>
          <w:tcPr>
            <w:tcW w:w="10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225"/>
        </w:trPr>
        <w:tc>
          <w:tcPr>
            <w:tcW w:w="47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Average AUM</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1,887.2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1,723.0</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1,837.7</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left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20" w:type="dxa"/>
            <w:vAlign w:val="bottom"/>
            <w:tcBorders>
              <w:lef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Investment advisory annualized effective fee rate (bps)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54"/>
        </w:trPr>
        <w:tc>
          <w:tcPr>
            <w:tcW w:w="4720" w:type="dxa"/>
            <w:vAlign w:val="bottom"/>
            <w:tcBorders>
              <w:lef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720" w:type="dxa"/>
            <w:vAlign w:val="bottom"/>
            <w:tcBorders>
              <w:left w:val="single" w:sz="8" w:color="auto"/>
            </w:tcBorders>
            <w:shd w:val="clear" w:color="auto" w:fill="CCEEFF"/>
          </w:tcPr>
          <w:p>
            <w:pPr>
              <w:ind w:left="40"/>
              <w:spacing w:after="0" w:line="153" w:lineRule="exact"/>
              <w:rPr>
                <w:sz w:val="20"/>
                <w:szCs w:val="20"/>
                <w:color w:val="auto"/>
              </w:rPr>
            </w:pPr>
            <w:r>
              <w:rPr>
                <w:rFonts w:ascii="Arial" w:cs="Arial" w:eastAsia="Arial" w:hAnsi="Arial"/>
                <w:sz w:val="14"/>
                <w:szCs w:val="14"/>
                <w:color w:val="auto"/>
              </w:rPr>
              <w:t>Investment advisory annualized effective fee rate, including performance-</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3"/>
                <w:szCs w:val="13"/>
                <w:color w:val="auto"/>
              </w:rPr>
            </w:pPr>
          </w:p>
        </w:tc>
        <w:tc>
          <w:tcPr>
            <w:tcW w:w="132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5"/>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based fees (bps)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72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260" w:firstLine="8"/>
        <w:spacing w:after="0"/>
        <w:tabs>
          <w:tab w:leader="none" w:pos="122" w:val="left"/>
        </w:tabs>
        <w:numPr>
          <w:ilvl w:val="0"/>
          <w:numId w:val="5"/>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Capital allocation-based income represents the change in accrued carried interest along with acquisition-related, non-cash amortization and impairments. The percentage change is not meaningful (n/m).</w:t>
      </w:r>
    </w:p>
    <w:p>
      <w:pPr>
        <w:spacing w:after="0" w:line="200" w:lineRule="exact"/>
        <w:rPr>
          <w:sz w:val="20"/>
          <w:szCs w:val="20"/>
          <w:color w:val="auto"/>
        </w:rPr>
      </w:pPr>
    </w:p>
    <w:p>
      <w:pPr>
        <w:spacing w:after="0" w:line="325" w:lineRule="exact"/>
        <w:rPr>
          <w:sz w:val="20"/>
          <w:szCs w:val="20"/>
          <w:color w:val="auto"/>
        </w:rPr>
      </w:pPr>
    </w:p>
    <w:p>
      <w:pPr>
        <w:ind w:right="160"/>
        <w:spacing w:after="0" w:line="396"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in Q3 2026 were $2.0 billion, an increase of 5.9% from Q3 2025 and 5.1% from Q2 2026. Performance-based fees earned in</w:t>
      </w:r>
      <w:r>
        <w:rPr>
          <w:rFonts w:ascii="Arial" w:cs="Arial" w:eastAsia="Arial" w:hAnsi="Arial"/>
          <w:sz w:val="18"/>
          <w:szCs w:val="18"/>
          <w:b w:val="1"/>
          <w:bCs w:val="1"/>
          <w:color w:val="auto"/>
        </w:rPr>
        <w:t xml:space="preserve"> </w:t>
      </w:r>
      <w:r>
        <w:rPr>
          <w:rFonts w:ascii="Arial" w:cs="Arial" w:eastAsia="Arial" w:hAnsi="Arial"/>
          <w:sz w:val="18"/>
          <w:szCs w:val="18"/>
          <w:color w:val="auto"/>
        </w:rPr>
        <w:t>all periods were primarily in alternatives strategies.</w:t>
      </w:r>
    </w:p>
    <w:p>
      <w:pPr>
        <w:spacing w:after="0" w:line="194" w:lineRule="exact"/>
        <w:rPr>
          <w:sz w:val="20"/>
          <w:szCs w:val="20"/>
          <w:color w:val="auto"/>
        </w:rPr>
      </w:pPr>
    </w:p>
    <w:p>
      <w:pPr>
        <w:jc w:val="both"/>
        <w:ind w:left="660" w:right="20" w:hanging="328"/>
        <w:spacing w:after="0" w:line="407" w:lineRule="auto"/>
        <w:tabs>
          <w:tab w:leader="none" w:pos="656" w:val="left"/>
        </w:tabs>
        <w:numPr>
          <w:ilvl w:val="0"/>
          <w:numId w:val="6"/>
        </w:numPr>
        <w:rPr>
          <w:rFonts w:ascii="Arial" w:cs="Arial" w:eastAsia="Arial" w:hAnsi="Arial"/>
          <w:sz w:val="17"/>
          <w:szCs w:val="17"/>
          <w:b w:val="1"/>
          <w:bCs w:val="1"/>
          <w:i w:val="1"/>
          <w:iCs w:val="1"/>
          <w:color w:val="40AEFF"/>
        </w:rPr>
      </w:pPr>
      <w:r>
        <w:rPr>
          <w:rFonts w:ascii="Arial" w:cs="Arial" w:eastAsia="Arial" w:hAnsi="Arial"/>
          <w:sz w:val="17"/>
          <w:szCs w:val="17"/>
          <w:color w:val="auto"/>
        </w:rPr>
        <w:t>The investment advisory annualized effective fee rate, excluding performance-based fees, of 37.8 basis points in Q3 2026 decreased from 39.1 basis points in Q3 2025 and 38.1 basis points in Q2 2026. In comparison to prior periods, client flows and transfers drove a mix shift in assets under management toward lower fee products and asset classes, partially offset by equity market appreciation.</w:t>
      </w:r>
    </w:p>
    <w:p>
      <w:pPr>
        <w:spacing w:after="0" w:line="180" w:lineRule="exact"/>
        <w:rPr>
          <w:rFonts w:ascii="Arial" w:cs="Arial" w:eastAsia="Arial" w:hAnsi="Arial"/>
          <w:sz w:val="17"/>
          <w:szCs w:val="17"/>
          <w:b w:val="1"/>
          <w:bCs w:val="1"/>
          <w:i w:val="1"/>
          <w:iCs w:val="1"/>
          <w:color w:val="40AEFF"/>
        </w:rPr>
      </w:pPr>
    </w:p>
    <w:p>
      <w:pPr>
        <w:ind w:left="660" w:hanging="328"/>
        <w:spacing w:after="0"/>
        <w:tabs>
          <w:tab w:leader="none" w:pos="660" w:val="left"/>
        </w:tabs>
        <w:numPr>
          <w:ilvl w:val="0"/>
          <w:numId w:val="6"/>
        </w:numPr>
        <w:rPr>
          <w:rFonts w:ascii="Arial" w:cs="Arial" w:eastAsia="Arial" w:hAnsi="Arial"/>
          <w:sz w:val="18"/>
          <w:szCs w:val="18"/>
          <w:b w:val="1"/>
          <w:bCs w:val="1"/>
          <w:i w:val="1"/>
          <w:iCs w:val="1"/>
          <w:color w:val="40AEFF"/>
        </w:rPr>
      </w:pPr>
      <w:r>
        <w:rPr>
          <w:rFonts w:ascii="Arial" w:cs="Arial" w:eastAsia="Arial" w:hAnsi="Arial"/>
          <w:sz w:val="18"/>
          <w:szCs w:val="18"/>
          <w:color w:val="auto"/>
        </w:rPr>
        <w:t>Capital allocation-based income impacted net revenues as follows:</w:t>
      </w:r>
    </w:p>
    <w:p>
      <w:pPr>
        <w:spacing w:after="0" w:line="75" w:lineRule="exact"/>
        <w:rPr>
          <w:sz w:val="20"/>
          <w:szCs w:val="20"/>
          <w:color w:val="auto"/>
        </w:rPr>
      </w:pPr>
    </w:p>
    <w:tbl>
      <w:tblPr>
        <w:tblLayout w:type="fixed"/>
        <w:tblInd w:w="670" w:type="dxa"/>
        <w:tblCellMar>
          <w:top w:w="0" w:type="dxa"/>
          <w:left w:w="0" w:type="dxa"/>
          <w:bottom w:w="0" w:type="dxa"/>
          <w:right w:w="0" w:type="dxa"/>
        </w:tblCellMar>
      </w:tblPr>
      <w:tr>
        <w:trPr>
          <w:trHeight w:val="212"/>
        </w:trPr>
        <w:tc>
          <w:tcPr>
            <w:tcW w:w="4360" w:type="dxa"/>
            <w:vAlign w:val="bottom"/>
            <w:tcBorders>
              <w:top w:val="single" w:sz="8" w:color="auto"/>
              <w:left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right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r>
      <w:tr>
        <w:trPr>
          <w:trHeight w:val="196"/>
        </w:trPr>
        <w:tc>
          <w:tcPr>
            <w:tcW w:w="436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9/30/2026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9/30/2025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Change</w:t>
            </w:r>
          </w:p>
        </w:tc>
        <w:tc>
          <w:tcPr>
            <w:tcW w:w="12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6/30/2026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Change</w:t>
            </w:r>
          </w:p>
        </w:tc>
      </w:tr>
      <w:tr>
        <w:trPr>
          <w:trHeight w:val="200"/>
        </w:trPr>
        <w:tc>
          <w:tcPr>
            <w:tcW w:w="436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Change in accrued carried interest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56.2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w:t>
            </w:r>
          </w:p>
        </w:tc>
      </w:tr>
      <w:tr>
        <w:trPr>
          <w:trHeight w:val="198"/>
        </w:trPr>
        <w:tc>
          <w:tcPr>
            <w:tcW w:w="436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4"/>
                <w:szCs w:val="14"/>
                <w:color w:val="auto"/>
              </w:rPr>
              <w:t>Acquisition-related amortization and impairments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(14.2)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r>
      <w:tr>
        <w:trPr>
          <w:trHeight w:val="220"/>
        </w:trPr>
        <w:tc>
          <w:tcPr>
            <w:tcW w:w="436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Capital allocation-based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42.0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48.0</w:t>
            </w:r>
          </w:p>
        </w:tc>
      </w:tr>
      <w:tr>
        <w:trPr>
          <w:trHeight w:val="95"/>
        </w:trPr>
        <w:tc>
          <w:tcPr>
            <w:tcW w:w="4360" w:type="dxa"/>
            <w:vAlign w:val="bottom"/>
            <w:tcBorders>
              <w:top w:val="single" w:sz="8" w:color="CCEEFF"/>
              <w:left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CCEEFF"/>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CCEEFF"/>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CCEEFF"/>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CCEEFF"/>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r>
    </w:tbl>
    <w:p>
      <w:pPr>
        <w:spacing w:after="0" w:line="373" w:lineRule="exact"/>
        <w:rPr>
          <w:sz w:val="20"/>
          <w:szCs w:val="20"/>
          <w:color w:val="auto"/>
        </w:rPr>
      </w:pPr>
    </w:p>
    <w:p>
      <w:pPr>
        <w:ind w:left="660" w:right="220"/>
        <w:spacing w:after="0" w:line="373" w:lineRule="auto"/>
        <w:rPr>
          <w:sz w:val="20"/>
          <w:szCs w:val="20"/>
          <w:color w:val="auto"/>
        </w:rPr>
      </w:pPr>
      <w:r>
        <w:rPr>
          <w:rFonts w:ascii="Arial" w:cs="Arial" w:eastAsia="Arial" w:hAnsi="Arial"/>
          <w:sz w:val="18"/>
          <w:szCs w:val="18"/>
          <w:color w:val="auto"/>
        </w:rPr>
        <w:t>The change in accrued carried interest from Q3 2025 was primarily driven by carried interest related to the firm's recently launched late-stage venture fund, while the change in accrued carried interest from Q2 2026 was primarily driven by relative performance in credit strategies. The decrease in acquisition-related amortization and impairments from Q3 2025 primarily reflects impairments recognized in Q3 2025 that did not recur in Q3 2026. A portion of capital allocation-based income is passed through as compensation, with</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1012" w:right="319" w:bottom="1440" w:gutter="0" w:footer="0" w:header="0"/>
        </w:sectPr>
      </w:pPr>
    </w:p>
    <w:bookmarkStart w:id="5" w:name="page6"/>
    <w:bookmarkEnd w:id="5"/>
    <w:p>
      <w:pPr>
        <w:ind w:left="660" w:right="260"/>
        <w:spacing w:after="0" w:line="378" w:lineRule="auto"/>
        <w:rPr>
          <w:sz w:val="20"/>
          <w:szCs w:val="20"/>
          <w:color w:val="auto"/>
        </w:rPr>
      </w:pPr>
      <w:r>
        <w:rPr>
          <w:rFonts w:ascii="Arial" w:cs="Arial" w:eastAsia="Arial" w:hAnsi="Arial"/>
          <w:sz w:val="18"/>
          <w:szCs w:val="18"/>
          <w:color w:val="auto"/>
        </w:rPr>
        <w:t>unpaid amounts reported as non-controlling interest on the consolidated balance sheet. For detail on the quarterly changes in accrued carried interest, which was reported as part of investments on the consolidated balance sheet, and related non-controlling interest, refer to the tables at the end of this release.</w:t>
      </w:r>
    </w:p>
    <w:p>
      <w:pPr>
        <w:spacing w:after="0" w:line="210" w:lineRule="exact"/>
        <w:rPr>
          <w:sz w:val="20"/>
          <w:szCs w:val="20"/>
          <w:color w:val="auto"/>
        </w:rPr>
      </w:pPr>
    </w:p>
    <w:p>
      <w:pPr>
        <w:ind w:left="660" w:right="240" w:hanging="328"/>
        <w:spacing w:after="0" w:line="378" w:lineRule="auto"/>
        <w:tabs>
          <w:tab w:leader="none" w:pos="656" w:val="left"/>
        </w:tabs>
        <w:numPr>
          <w:ilvl w:val="0"/>
          <w:numId w:val="7"/>
        </w:numPr>
        <w:rPr>
          <w:rFonts w:ascii="Arial" w:cs="Arial" w:eastAsia="Arial" w:hAnsi="Arial"/>
          <w:sz w:val="18"/>
          <w:szCs w:val="18"/>
          <w:b w:val="1"/>
          <w:bCs w:val="1"/>
          <w:i w:val="1"/>
          <w:iCs w:val="1"/>
          <w:color w:val="40AEFF"/>
        </w:rPr>
      </w:pPr>
      <w:r>
        <w:rPr>
          <w:rFonts w:ascii="Arial" w:cs="Arial" w:eastAsia="Arial" w:hAnsi="Arial"/>
          <w:sz w:val="18"/>
          <w:szCs w:val="18"/>
          <w:color w:val="auto"/>
        </w:rPr>
        <w:t>Administrative, distribution, servicing, and other fees in Q3 2026 were $141.3 million, a decrease of $5.1 million from Q3 2025 and $2.9 million from Q2 2026. The decrease from Q3 2025 was primarily driven by lower recordkeeping fees and transfer agent services. The decrease from Q2 2026 was primarily driven by the timing of cost reimbursements from the firm's U.S. mutual funds.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740" w:type="dxa"/>
            <w:vAlign w:val="bottom"/>
            <w:tcBorders>
              <w:top w:val="single" w:sz="8" w:color="auto"/>
              <w:left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righ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Three months ended</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r>
      <w:tr>
        <w:trPr>
          <w:trHeight w:val="192"/>
        </w:trPr>
        <w:tc>
          <w:tcPr>
            <w:tcW w:w="47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9/30/2026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9/30/2025</w:t>
            </w:r>
          </w:p>
        </w:tc>
        <w:tc>
          <w:tcPr>
            <w:tcW w:w="100" w:type="dxa"/>
            <w:vAlign w:val="bottom"/>
          </w:tcPr>
          <w:p>
            <w:pPr>
              <w:spacing w:after="0"/>
              <w:rPr>
                <w:sz w:val="16"/>
                <w:szCs w:val="16"/>
                <w:color w:val="auto"/>
              </w:rPr>
            </w:pPr>
          </w:p>
        </w:tc>
        <w:tc>
          <w:tcPr>
            <w:tcW w:w="140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Change</w:t>
            </w:r>
            <w:r>
              <w:rPr>
                <w:rFonts w:ascii="Arial" w:cs="Arial" w:eastAsia="Arial" w:hAnsi="Arial"/>
                <w:sz w:val="9"/>
                <w:szCs w:val="9"/>
                <w:color w:val="auto"/>
              </w:rPr>
              <w:t>(1)</w:t>
            </w:r>
          </w:p>
        </w:tc>
        <w:tc>
          <w:tcPr>
            <w:tcW w:w="180" w:type="dxa"/>
            <w:vAlign w:val="bottom"/>
          </w:tcPr>
          <w:p>
            <w:pPr>
              <w:spacing w:after="0"/>
              <w:rPr>
                <w:sz w:val="16"/>
                <w:szCs w:val="16"/>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6/30/2026</w:t>
            </w:r>
          </w:p>
        </w:tc>
        <w:tc>
          <w:tcPr>
            <w:tcW w:w="100" w:type="dxa"/>
            <w:vAlign w:val="bottom"/>
          </w:tcPr>
          <w:p>
            <w:pPr>
              <w:spacing w:after="0"/>
              <w:rPr>
                <w:sz w:val="16"/>
                <w:szCs w:val="16"/>
                <w:color w:val="auto"/>
              </w:rPr>
            </w:pPr>
          </w:p>
        </w:tc>
        <w:tc>
          <w:tcPr>
            <w:tcW w:w="132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Change</w:t>
            </w:r>
            <w:r>
              <w:rPr>
                <w:rFonts w:ascii="Arial" w:cs="Arial" w:eastAsia="Arial" w:hAnsi="Arial"/>
                <w:sz w:val="9"/>
                <w:szCs w:val="9"/>
                <w:color w:val="auto"/>
              </w:rPr>
              <w:t>(1)</w:t>
            </w:r>
          </w:p>
        </w:tc>
      </w:tr>
      <w:tr>
        <w:trPr>
          <w:trHeight w:val="200"/>
        </w:trPr>
        <w:tc>
          <w:tcPr>
            <w:tcW w:w="4740" w:type="dxa"/>
            <w:vAlign w:val="bottom"/>
            <w:tcBorders>
              <w:top w:val="single" w:sz="8" w:color="CCEEFF"/>
              <w:lef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Compensation, benefits, and related costs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632.5</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675.9</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474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Acquisition-related retention arrangements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07"/>
        </w:trPr>
        <w:tc>
          <w:tcPr>
            <w:tcW w:w="4740" w:type="dxa"/>
            <w:vAlign w:val="bottom"/>
            <w:tcBorders>
              <w:lef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Capital allocation-based income compensation</w:t>
            </w:r>
            <w:r>
              <w:rPr>
                <w:rFonts w:ascii="Arial" w:cs="Arial" w:eastAsia="Arial" w:hAnsi="Arial"/>
                <w:sz w:val="9"/>
                <w:szCs w:val="9"/>
                <w:color w:val="auto"/>
              </w:rPr>
              <w:t>(2)</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1400" w:type="dxa"/>
            <w:vAlign w:val="bottom"/>
            <w:tcBorders>
              <w:right w:val="single" w:sz="8" w:color="auto"/>
            </w:tcBorders>
            <w:gridSpan w:val="2"/>
            <w:shd w:val="clear" w:color="auto" w:fill="CCEEFF"/>
          </w:tcPr>
          <w:p>
            <w:pPr>
              <w:ind w:left="1020"/>
              <w:spacing w:after="0"/>
              <w:rPr>
                <w:sz w:val="20"/>
                <w:szCs w:val="20"/>
                <w:color w:val="auto"/>
              </w:rPr>
            </w:pPr>
            <w:r>
              <w:rPr>
                <w:rFonts w:ascii="Arial" w:cs="Arial" w:eastAsia="Arial" w:hAnsi="Arial"/>
                <w:sz w:val="14"/>
                <w:szCs w:val="14"/>
                <w:color w:val="auto"/>
              </w:rPr>
              <w:t>n/m</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218"/>
        </w:trPr>
        <w:tc>
          <w:tcPr>
            <w:tcW w:w="474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Market-related change in deferred compensation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9"/>
                <w:szCs w:val="19"/>
                <w:color w:val="auto"/>
              </w:rPr>
            </w:pPr>
          </w:p>
        </w:tc>
        <w:tc>
          <w:tcPr>
            <w:tcW w:w="1400" w:type="dxa"/>
            <w:vAlign w:val="bottom"/>
            <w:tcBorders>
              <w:right w:val="single" w:sz="8" w:color="auto"/>
            </w:tcBorders>
            <w:gridSpan w:val="2"/>
          </w:tcPr>
          <w:p>
            <w:pPr>
              <w:ind w:left="102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4740" w:type="dxa"/>
            <w:vAlign w:val="bottom"/>
            <w:tcBorders>
              <w:top w:val="single" w:sz="8" w:color="CCEEFF"/>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compensation and related costs</w:t>
            </w: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714.3</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198"/>
        </w:trPr>
        <w:tc>
          <w:tcPr>
            <w:tcW w:w="47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Distribution and servicing costs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15.9 %</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4.6 %</w:t>
            </w:r>
          </w:p>
        </w:tc>
      </w:tr>
      <w:tr>
        <w:trPr>
          <w:trHeight w:val="207"/>
        </w:trPr>
        <w:tc>
          <w:tcPr>
            <w:tcW w:w="47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Advertising and promotion costs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6.9 %</w:t>
            </w:r>
          </w:p>
        </w:tc>
      </w:tr>
      <w:tr>
        <w:trPr>
          <w:trHeight w:val="198"/>
        </w:trPr>
        <w:tc>
          <w:tcPr>
            <w:tcW w:w="47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Product and recordkeeping related costs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0.8 %</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207"/>
        </w:trPr>
        <w:tc>
          <w:tcPr>
            <w:tcW w:w="47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Technology, occupancy, and facility costs</w:t>
            </w:r>
            <w:r>
              <w:rPr>
                <w:rFonts w:ascii="Arial" w:cs="Arial" w:eastAsia="Arial" w:hAnsi="Arial"/>
                <w:sz w:val="9"/>
                <w:szCs w:val="9"/>
                <w:color w:val="auto"/>
              </w:rPr>
              <w:t>(3)</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197.3</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98"/>
        </w:trPr>
        <w:tc>
          <w:tcPr>
            <w:tcW w:w="47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General, administrative, and other costs</w:t>
            </w:r>
            <w:r>
              <w:rPr>
                <w:rFonts w:ascii="Arial" w:cs="Arial" w:eastAsia="Arial" w:hAnsi="Arial"/>
                <w:sz w:val="9"/>
                <w:szCs w:val="9"/>
                <w:color w:val="auto"/>
              </w:rPr>
              <w:t>(3)</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07"/>
        </w:trPr>
        <w:tc>
          <w:tcPr>
            <w:tcW w:w="47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Acquisition-related amortization, impairments, and other costs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98"/>
        </w:trPr>
        <w:tc>
          <w:tcPr>
            <w:tcW w:w="47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Restructuring charge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7"/>
                <w:szCs w:val="17"/>
                <w:color w:val="auto"/>
              </w:rPr>
            </w:pPr>
          </w:p>
        </w:tc>
        <w:tc>
          <w:tcPr>
            <w:tcW w:w="1400" w:type="dxa"/>
            <w:vAlign w:val="bottom"/>
            <w:tcBorders>
              <w:right w:val="single" w:sz="8" w:color="auto"/>
            </w:tcBorders>
            <w:gridSpan w:val="2"/>
          </w:tcPr>
          <w:p>
            <w:pPr>
              <w:ind w:left="102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25"/>
        </w:trPr>
        <w:tc>
          <w:tcPr>
            <w:tcW w:w="4740" w:type="dxa"/>
            <w:vAlign w:val="bottom"/>
            <w:tcBorders>
              <w:top w:val="single" w:sz="8" w:color="CCEEFF"/>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operating expenses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20"/>
        </w:trPr>
        <w:tc>
          <w:tcPr>
            <w:tcW w:w="4740" w:type="dxa"/>
            <w:vAlign w:val="bottom"/>
            <w:tcBorders>
              <w:top w:val="single" w:sz="8" w:color="CCEEFF"/>
              <w:left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68"/>
        </w:trPr>
        <w:tc>
          <w:tcPr>
            <w:tcW w:w="47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adjusted operating expenses</w:t>
            </w:r>
            <w:r>
              <w:rPr>
                <w:rFonts w:ascii="Arial" w:cs="Arial" w:eastAsia="Arial" w:hAnsi="Arial"/>
                <w:sz w:val="9"/>
                <w:szCs w:val="9"/>
                <w:b w:val="1"/>
                <w:bCs w:val="1"/>
                <w:color w:val="auto"/>
              </w:rPr>
              <w:t>(4)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1,134.4</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4740" w:type="dxa"/>
            <w:vAlign w:val="bottom"/>
            <w:tcBorders>
              <w:top w:val="single" w:sz="8" w:color="CCEEFF"/>
              <w:left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-24765</wp:posOffset>
            </wp:positionV>
            <wp:extent cx="82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p>
      <w:pPr>
        <w:spacing w:after="0" w:line="33"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n/m - the percentage change is not meaningful.</w:t>
      </w:r>
    </w:p>
    <w:p>
      <w:pPr>
        <w:ind w:left="140" w:hanging="132"/>
        <w:spacing w:after="0" w:line="193" w:lineRule="auto"/>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Capital allocation-based income compensation represents the change in accrued carried interest compensation along with acquisition-related, non-cash amortization and impairments.</w:t>
      </w:r>
    </w:p>
    <w:p>
      <w:pPr>
        <w:ind w:left="140" w:hanging="132"/>
        <w:spacing w:after="0" w:line="214" w:lineRule="auto"/>
        <w:tabs>
          <w:tab w:leader="none" w:pos="140" w:val="left"/>
        </w:tabs>
        <w:numPr>
          <w:ilvl w:val="0"/>
          <w:numId w:val="8"/>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In Q1 2026, the firm began reporting technology-related professional fees and servicing costs from general, administrative, and other costs to technology, occupancy, and facility costs to better align</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2"/>
          <w:szCs w:val="12"/>
          <w:i w:val="1"/>
          <w:iCs w:val="1"/>
          <w:color w:val="auto"/>
        </w:rPr>
        <w:t>with the nature of the expenses following the outsourcing and expansion of the firm's technology capabilities through trusted vendor partnerships. Prior periods were recast to reflect this change.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Amount reclassified was $14.2M for Q3 2025.</w:t>
      </w:r>
    </w:p>
    <w:p>
      <w:pPr>
        <w:ind w:left="140" w:hanging="132"/>
        <w:spacing w:after="0" w:line="201" w:lineRule="auto"/>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this earnings release.</w:t>
      </w:r>
    </w:p>
    <w:p>
      <w:pPr>
        <w:spacing w:after="0" w:line="279" w:lineRule="exact"/>
        <w:rPr>
          <w:sz w:val="20"/>
          <w:szCs w:val="20"/>
          <w:color w:val="auto"/>
        </w:rPr>
      </w:pPr>
    </w:p>
    <w:p>
      <w:pPr>
        <w:ind w:right="220"/>
        <w:spacing w:after="0" w:line="39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$1,235.1 million, a decrease of 1.2% from Q3 2025 and 9.6% from Q2 2026.</w:t>
      </w:r>
      <w:r>
        <w:rPr>
          <w:rFonts w:ascii="Arial" w:cs="Arial" w:eastAsia="Arial" w:hAnsi="Arial"/>
          <w:sz w:val="18"/>
          <w:szCs w:val="18"/>
          <w:b w:val="1"/>
          <w:bCs w:val="1"/>
          <w:color w:val="auto"/>
        </w:rPr>
        <w:t xml:space="preserve"> Adjusted operating expenses </w:t>
      </w:r>
      <w:r>
        <w:rPr>
          <w:rFonts w:ascii="Arial" w:cs="Arial" w:eastAsia="Arial" w:hAnsi="Arial"/>
          <w:sz w:val="18"/>
          <w:szCs w:val="18"/>
          <w:color w:val="auto"/>
        </w:rPr>
        <w:t>in</w:t>
      </w:r>
      <w:r>
        <w:rPr>
          <w:rFonts w:ascii="Arial" w:cs="Arial" w:eastAsia="Arial" w:hAnsi="Arial"/>
          <w:sz w:val="18"/>
          <w:szCs w:val="18"/>
          <w:b w:val="1"/>
          <w:bCs w:val="1"/>
          <w:color w:val="auto"/>
        </w:rPr>
        <w:t xml:space="preserve"> </w:t>
      </w:r>
      <w:r>
        <w:rPr>
          <w:rFonts w:ascii="Arial" w:cs="Arial" w:eastAsia="Arial" w:hAnsi="Arial"/>
          <w:sz w:val="18"/>
          <w:szCs w:val="18"/>
          <w:color w:val="auto"/>
        </w:rPr>
        <w:t>Q3 2026 were $1,200.1 million, an increase of 5.8% from Q3 2025 and a decrease of 0.3% from Q2 2026.</w:t>
      </w:r>
    </w:p>
    <w:p>
      <w:pPr>
        <w:spacing w:after="0" w:line="181" w:lineRule="exact"/>
        <w:rPr>
          <w:sz w:val="20"/>
          <w:szCs w:val="20"/>
          <w:color w:val="auto"/>
        </w:rPr>
      </w:pPr>
    </w:p>
    <w:p>
      <w:pPr>
        <w:ind w:left="660" w:right="40" w:hanging="328"/>
        <w:spacing w:after="0" w:line="373" w:lineRule="auto"/>
        <w:tabs>
          <w:tab w:leader="none" w:pos="656" w:val="left"/>
        </w:tabs>
        <w:numPr>
          <w:ilvl w:val="0"/>
          <w:numId w:val="10"/>
        </w:numPr>
        <w:rPr>
          <w:rFonts w:ascii="Arial" w:cs="Arial" w:eastAsia="Arial" w:hAnsi="Arial"/>
          <w:sz w:val="18"/>
          <w:szCs w:val="18"/>
          <w:b w:val="1"/>
          <w:bCs w:val="1"/>
          <w:i w:val="1"/>
          <w:iCs w:val="1"/>
          <w:color w:val="40AEFF"/>
        </w:rPr>
      </w:pPr>
      <w:r>
        <w:rPr>
          <w:rFonts w:ascii="Arial" w:cs="Arial" w:eastAsia="Arial" w:hAnsi="Arial"/>
          <w:sz w:val="18"/>
          <w:szCs w:val="18"/>
          <w:color w:val="auto"/>
        </w:rPr>
        <w:t>Compensation, benefits, and related costs in Q3 2026 of $664.7 million increased $32.2 million from Q3 2025 and decreased $11.2 million from Q2 2026. The increase from Q3 2025 was primarily driven by a higher interim bonus accrual and long-term incentive compensation partially offset by lower salaries and temporary personnel costs. The decrease from Q2 2026 was primarily driven by a lower interim bonus accrual and lower employee benefits. The firm employed 7,640 associates at September 30, 2026, a decrease of 2.4% from 7,830 associates at September 30, 2025, and an increase of 1.3% from 7,544 associates at June 30, 2026.</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1066" w:right="319" w:bottom="1440" w:gutter="0" w:footer="0" w:header="0"/>
        </w:sectPr>
      </w:pPr>
    </w:p>
    <w:bookmarkStart w:id="6" w:name="page7"/>
    <w:bookmarkEnd w:id="6"/>
    <w:p>
      <w:pPr>
        <w:ind w:left="328" w:right="180" w:hanging="328"/>
        <w:spacing w:after="0" w:line="378" w:lineRule="auto"/>
        <w:tabs>
          <w:tab w:leader="none" w:pos="324" w:val="left"/>
        </w:tabs>
        <w:numPr>
          <w:ilvl w:val="0"/>
          <w:numId w:val="11"/>
        </w:numPr>
        <w:rPr>
          <w:rFonts w:ascii="Arial" w:cs="Arial" w:eastAsia="Arial" w:hAnsi="Arial"/>
          <w:sz w:val="18"/>
          <w:szCs w:val="18"/>
          <w:b w:val="1"/>
          <w:bCs w:val="1"/>
          <w:i w:val="1"/>
          <w:iCs w:val="1"/>
          <w:color w:val="40AEFF"/>
        </w:rPr>
      </w:pPr>
      <w:r>
        <w:rPr>
          <w:rFonts w:ascii="Arial" w:cs="Arial" w:eastAsia="Arial" w:hAnsi="Arial"/>
          <w:sz w:val="18"/>
          <w:szCs w:val="18"/>
          <w:color w:val="auto"/>
        </w:rPr>
        <w:t>Distribution and servicing costs in Q3 2026 of $111.0 million increased $15.2 million from Q3 2025 and $4.9 million from Q2 2026. The increases from prior periods were primarily driven by higher average assets under management distributed through third-party intermediaries.</w:t>
      </w:r>
    </w:p>
    <w:p>
      <w:pPr>
        <w:spacing w:after="0" w:line="210" w:lineRule="exact"/>
        <w:rPr>
          <w:rFonts w:ascii="Arial" w:cs="Arial" w:eastAsia="Arial" w:hAnsi="Arial"/>
          <w:sz w:val="18"/>
          <w:szCs w:val="18"/>
          <w:b w:val="1"/>
          <w:bCs w:val="1"/>
          <w:i w:val="1"/>
          <w:iCs w:val="1"/>
          <w:color w:val="40AEFF"/>
        </w:rPr>
      </w:pPr>
    </w:p>
    <w:p>
      <w:pPr>
        <w:ind w:left="328" w:right="40" w:hanging="328"/>
        <w:spacing w:after="0" w:line="369" w:lineRule="auto"/>
        <w:tabs>
          <w:tab w:leader="none" w:pos="324" w:val="left"/>
        </w:tabs>
        <w:numPr>
          <w:ilvl w:val="0"/>
          <w:numId w:val="11"/>
        </w:numPr>
        <w:rPr>
          <w:rFonts w:ascii="Arial" w:cs="Arial" w:eastAsia="Arial" w:hAnsi="Arial"/>
          <w:sz w:val="18"/>
          <w:szCs w:val="18"/>
          <w:b w:val="1"/>
          <w:bCs w:val="1"/>
          <w:i w:val="1"/>
          <w:iCs w:val="1"/>
          <w:color w:val="40AEFF"/>
        </w:rPr>
      </w:pPr>
      <w:r>
        <w:rPr>
          <w:rFonts w:ascii="Arial" w:cs="Arial" w:eastAsia="Arial" w:hAnsi="Arial"/>
          <w:sz w:val="18"/>
          <w:szCs w:val="18"/>
          <w:color w:val="auto"/>
        </w:rPr>
        <w:t>Technology, occupancy, and facility costs in Q3 2026 of $205.1 million increased $7.8 million from Q3 2025 and decreased $0.8 million from Q2 2026. The Q3 2025 and Q2 2026 periods reflect higher technology costs associated with the firm's decision in prior periods to outsource certain technology capabilities, which were partially offset by a reduction in compensation expenses, along with higher costs for cloud-based infrastructure and hosted solutions. The third quarter of 2026 was also impacted by the reversal of about $10 million in accrued technology-related expenses related to work that is expected to be completed in future periods.</w:t>
      </w:r>
    </w:p>
    <w:p>
      <w:pPr>
        <w:spacing w:after="0" w:line="217" w:lineRule="exact"/>
        <w:rPr>
          <w:rFonts w:ascii="Arial" w:cs="Arial" w:eastAsia="Arial" w:hAnsi="Arial"/>
          <w:sz w:val="18"/>
          <w:szCs w:val="18"/>
          <w:b w:val="1"/>
          <w:bCs w:val="1"/>
          <w:i w:val="1"/>
          <w:iCs w:val="1"/>
          <w:color w:val="40AEFF"/>
        </w:rPr>
      </w:pPr>
    </w:p>
    <w:p>
      <w:pPr>
        <w:ind w:left="328" w:right="40" w:hanging="328"/>
        <w:spacing w:after="0" w:line="378" w:lineRule="auto"/>
        <w:tabs>
          <w:tab w:leader="none" w:pos="324" w:val="left"/>
        </w:tabs>
        <w:numPr>
          <w:ilvl w:val="0"/>
          <w:numId w:val="11"/>
        </w:numPr>
        <w:rPr>
          <w:rFonts w:ascii="Arial" w:cs="Arial" w:eastAsia="Arial" w:hAnsi="Arial"/>
          <w:sz w:val="18"/>
          <w:szCs w:val="18"/>
          <w:b w:val="1"/>
          <w:bCs w:val="1"/>
          <w:i w:val="1"/>
          <w:iCs w:val="1"/>
          <w:color w:val="40AEFF"/>
        </w:rPr>
      </w:pPr>
      <w:r>
        <w:rPr>
          <w:rFonts w:ascii="Arial" w:cs="Arial" w:eastAsia="Arial" w:hAnsi="Arial"/>
          <w:sz w:val="18"/>
          <w:szCs w:val="18"/>
          <w:color w:val="auto"/>
        </w:rPr>
        <w:t>General, administrative, and other costs in Q3 2026 of $95.5 million increased $7.9 million from Q3 2025 and decreased $9.4 million from Q2 2026. The changes from prior periods were primarily attributable to period-specific items, including a benefit recognized in Q3 2025 and costs recognized in Q2 2026, neither of which recurred in Q3 2026.</w:t>
      </w:r>
    </w:p>
    <w:p>
      <w:pPr>
        <w:spacing w:after="0" w:line="196" w:lineRule="exact"/>
        <w:rPr>
          <w:rFonts w:ascii="Arial" w:cs="Arial" w:eastAsia="Arial" w:hAnsi="Arial"/>
          <w:sz w:val="18"/>
          <w:szCs w:val="18"/>
          <w:b w:val="1"/>
          <w:bCs w:val="1"/>
          <w:i w:val="1"/>
          <w:iCs w:val="1"/>
          <w:color w:val="40AEFF"/>
        </w:rPr>
      </w:pPr>
    </w:p>
    <w:p>
      <w:pPr>
        <w:ind w:left="328" w:hanging="328"/>
        <w:spacing w:after="0" w:line="378" w:lineRule="auto"/>
        <w:tabs>
          <w:tab w:leader="none" w:pos="324" w:val="left"/>
        </w:tabs>
        <w:numPr>
          <w:ilvl w:val="0"/>
          <w:numId w:val="11"/>
        </w:numPr>
        <w:rPr>
          <w:rFonts w:ascii="Arial" w:cs="Arial" w:eastAsia="Arial" w:hAnsi="Arial"/>
          <w:sz w:val="18"/>
          <w:szCs w:val="18"/>
          <w:b w:val="1"/>
          <w:bCs w:val="1"/>
          <w:i w:val="1"/>
          <w:iCs w:val="1"/>
          <w:color w:val="40AEFF"/>
        </w:rPr>
      </w:pPr>
      <w:r>
        <w:rPr>
          <w:rFonts w:ascii="Arial" w:cs="Arial" w:eastAsia="Arial" w:hAnsi="Arial"/>
          <w:sz w:val="18"/>
          <w:szCs w:val="18"/>
          <w:color w:val="auto"/>
        </w:rPr>
        <w:t>Restructuring charge in Q3 2026 of $4.0 million relates to actions taken under the previously announced broad and ongoing expense management program, which allows the firm to reduce expense growth and realign resources to support investment in existing and future capabilities.</w:t>
      </w:r>
    </w:p>
    <w:p>
      <w:pPr>
        <w:spacing w:after="0" w:line="183"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8"/>
          </w:cols>
          <w:pgMar w:left="652" w:top="1066"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7440" w:type="dxa"/>
            <w:vAlign w:val="bottom"/>
            <w:tcBorders>
              <w:top w:val="single" w:sz="8" w:color="auto"/>
              <w:lef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Three months ended</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r>
      <w:tr>
        <w:trPr>
          <w:trHeight w:val="193"/>
        </w:trPr>
        <w:tc>
          <w:tcPr>
            <w:tcW w:w="7440" w:type="dxa"/>
            <w:vAlign w:val="bottom"/>
            <w:tcBorders>
              <w:left w:val="single" w:sz="8" w:color="auto"/>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9/30/2026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9/30/2025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6/30/2026</w:t>
            </w:r>
          </w:p>
        </w:tc>
      </w:tr>
      <w:tr>
        <w:trPr>
          <w:trHeight w:val="187"/>
        </w:trPr>
        <w:tc>
          <w:tcPr>
            <w:tcW w:w="74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gains (losses) from non-consolidated investment products</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r>
      <w:tr>
        <w:trPr>
          <w:trHeight w:val="198"/>
        </w:trPr>
        <w:tc>
          <w:tcPr>
            <w:tcW w:w="7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Cash and discretionary investments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07"/>
        </w:trPr>
        <w:tc>
          <w:tcPr>
            <w:tcW w:w="744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Dividend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r>
      <w:tr>
        <w:trPr>
          <w:trHeight w:val="198"/>
        </w:trPr>
        <w:tc>
          <w:tcPr>
            <w:tcW w:w="7440" w:type="dxa"/>
            <w:vAlign w:val="bottom"/>
            <w:tcBorders>
              <w:left w:val="single" w:sz="8" w:color="auto"/>
              <w:bottom w:val="single" w:sz="8" w:color="CCEEFF"/>
            </w:tcBorders>
          </w:tcPr>
          <w:p>
            <w:pPr>
              <w:ind w:left="240"/>
              <w:spacing w:after="0"/>
              <w:rPr>
                <w:sz w:val="20"/>
                <w:szCs w:val="20"/>
                <w:color w:val="auto"/>
              </w:rPr>
            </w:pPr>
            <w:r>
              <w:rPr>
                <w:rFonts w:ascii="Arial" w:cs="Arial" w:eastAsia="Arial" w:hAnsi="Arial"/>
                <w:sz w:val="14"/>
                <w:szCs w:val="14"/>
                <w:color w:val="auto"/>
              </w:rPr>
              <w:t>Market-related gains (losses) and equity in earnings (losses)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r>
      <w:tr>
        <w:trPr>
          <w:trHeight w:val="200"/>
        </w:trPr>
        <w:tc>
          <w:tcPr>
            <w:tcW w:w="7440" w:type="dxa"/>
            <w:vAlign w:val="bottom"/>
            <w:tcBorders>
              <w:left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net gains (losses) from cash and discretionary investments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38.4</w:t>
            </w:r>
          </w:p>
        </w:tc>
      </w:tr>
      <w:tr>
        <w:trPr>
          <w:trHeight w:val="198"/>
        </w:trPr>
        <w:tc>
          <w:tcPr>
            <w:tcW w:w="7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Seed capital investments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07"/>
        </w:trPr>
        <w:tc>
          <w:tcPr>
            <w:tcW w:w="744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Dividend income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r>
      <w:tr>
        <w:trPr>
          <w:trHeight w:val="198"/>
        </w:trPr>
        <w:tc>
          <w:tcPr>
            <w:tcW w:w="7440" w:type="dxa"/>
            <w:vAlign w:val="bottom"/>
            <w:tcBorders>
              <w:left w:val="single" w:sz="8" w:color="auto"/>
            </w:tcBorders>
          </w:tcPr>
          <w:p>
            <w:pPr>
              <w:ind w:left="240"/>
              <w:spacing w:after="0"/>
              <w:rPr>
                <w:sz w:val="20"/>
                <w:szCs w:val="20"/>
                <w:color w:val="auto"/>
              </w:rPr>
            </w:pPr>
            <w:r>
              <w:rPr>
                <w:rFonts w:ascii="Arial" w:cs="Arial" w:eastAsia="Arial" w:hAnsi="Arial"/>
                <w:sz w:val="14"/>
                <w:szCs w:val="14"/>
                <w:color w:val="auto"/>
              </w:rPr>
              <w:t>Market-related gains (losses) and equity in earnings (losses)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66.1</w:t>
            </w:r>
          </w:p>
        </w:tc>
      </w:tr>
      <w:tr>
        <w:trPr>
          <w:trHeight w:val="207"/>
        </w:trPr>
        <w:tc>
          <w:tcPr>
            <w:tcW w:w="74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gains (losses) recognized upon deconsolidation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44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color w:val="auto"/>
              </w:rPr>
              <w:t>Investments used to hedge the deferred compensation liabilities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133.7</w:t>
            </w:r>
          </w:p>
        </w:tc>
      </w:tr>
      <w:tr>
        <w:trPr>
          <w:trHeight w:val="200"/>
        </w:trPr>
        <w:tc>
          <w:tcPr>
            <w:tcW w:w="74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net gains (losses) from non-consolidated investment products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238.8</w:t>
            </w:r>
          </w:p>
        </w:tc>
      </w:tr>
      <w:tr>
        <w:trPr>
          <w:trHeight w:val="198"/>
        </w:trPr>
        <w:tc>
          <w:tcPr>
            <w:tcW w:w="744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color w:val="auto"/>
              </w:rPr>
              <w:t>Other investment income (loss)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00"/>
        </w:trPr>
        <w:tc>
          <w:tcPr>
            <w:tcW w:w="74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gains (losses) on investments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237.4</w:t>
            </w:r>
          </w:p>
        </w:tc>
      </w:tr>
      <w:tr>
        <w:trPr>
          <w:trHeight w:val="199"/>
        </w:trPr>
        <w:tc>
          <w:tcPr>
            <w:tcW w:w="7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Net gains (losses) on consolidated investment products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132.6</w:t>
            </w:r>
          </w:p>
        </w:tc>
      </w:tr>
      <w:tr>
        <w:trPr>
          <w:trHeight w:val="202"/>
        </w:trPr>
        <w:tc>
          <w:tcPr>
            <w:tcW w:w="74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gains (losses), including foreign currency gains (losses)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00"/>
        </w:trPr>
        <w:tc>
          <w:tcPr>
            <w:tcW w:w="74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Non-operating income (loss)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238.4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369.1</w:t>
            </w:r>
          </w:p>
        </w:tc>
      </w:tr>
      <w:tr>
        <w:trPr>
          <w:trHeight w:val="46"/>
        </w:trPr>
        <w:tc>
          <w:tcPr>
            <w:tcW w:w="7440" w:type="dxa"/>
            <w:vAlign w:val="bottom"/>
            <w:tcBorders>
              <w:left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r>
      <w:tr>
        <w:trPr>
          <w:trHeight w:val="203"/>
        </w:trPr>
        <w:tc>
          <w:tcPr>
            <w:tcW w:w="7440" w:type="dxa"/>
            <w:vAlign w:val="bottom"/>
            <w:tcBorders>
              <w:top w:val="single" w:sz="8" w:color="CCEEFF"/>
              <w:left w:val="single" w:sz="8" w:color="auto"/>
            </w:tcBorders>
          </w:tcPr>
          <w:p>
            <w:pPr>
              <w:ind w:left="40"/>
              <w:spacing w:after="0" w:line="202" w:lineRule="exact"/>
              <w:rPr>
                <w:sz w:val="20"/>
                <w:szCs w:val="20"/>
                <w:color w:val="auto"/>
              </w:rPr>
            </w:pPr>
            <w:r>
              <w:rPr>
                <w:rFonts w:ascii="Arial" w:cs="Arial" w:eastAsia="Arial" w:hAnsi="Arial"/>
                <w:sz w:val="14"/>
                <w:szCs w:val="14"/>
                <w:b w:val="1"/>
                <w:bCs w:val="1"/>
                <w:color w:val="auto"/>
              </w:rPr>
              <w:t>Adjusted non-operating income (loss)</w:t>
            </w:r>
            <w:r>
              <w:rPr>
                <w:rFonts w:ascii="Arial" w:cs="Arial" w:eastAsia="Arial" w:hAnsi="Arial"/>
                <w:sz w:val="18"/>
                <w:szCs w:val="18"/>
                <w:b w:val="1"/>
                <w:bCs w:val="1"/>
                <w:color w:val="auto"/>
                <w:vertAlign w:val="superscript"/>
              </w:rPr>
              <w:t>(1)</w:t>
            </w:r>
          </w:p>
        </w:tc>
        <w:tc>
          <w:tcPr>
            <w:tcW w:w="2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b w:val="1"/>
                <w:bCs w:val="1"/>
                <w:color w:val="auto"/>
              </w:rPr>
              <w:t>18.0</w:t>
            </w:r>
          </w:p>
        </w:tc>
        <w:tc>
          <w:tcPr>
            <w:tcW w:w="3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b w:val="1"/>
                <w:bCs w:val="1"/>
                <w:color w:val="auto"/>
              </w:rPr>
              <w:t>50.2</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CCEEFF"/>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38.5</w:t>
            </w:r>
          </w:p>
        </w:tc>
      </w:tr>
      <w:tr>
        <w:trPr>
          <w:trHeight w:val="46"/>
        </w:trPr>
        <w:tc>
          <w:tcPr>
            <w:tcW w:w="7440" w:type="dxa"/>
            <w:vAlign w:val="bottom"/>
            <w:tcBorders>
              <w:left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r>
      <w:tr>
        <w:trPr>
          <w:trHeight w:val="20"/>
        </w:trPr>
        <w:tc>
          <w:tcPr>
            <w:tcW w:w="7440" w:type="dxa"/>
            <w:vAlign w:val="bottom"/>
            <w:tcBorders>
              <w:top w:val="single" w:sz="8" w:color="CCEEFF"/>
              <w:lef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-25400</wp:posOffset>
            </wp:positionV>
            <wp:extent cx="82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pacing w:after="0" w:line="79"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this earnings release.</w:t>
      </w:r>
    </w:p>
    <w:p>
      <w:pPr>
        <w:spacing w:after="0" w:line="306" w:lineRule="exact"/>
        <w:rPr>
          <w:sz w:val="20"/>
          <w:szCs w:val="20"/>
          <w:color w:val="auto"/>
        </w:rPr>
      </w:pPr>
    </w:p>
    <w:p>
      <w:pPr>
        <w:ind w:right="120"/>
        <w:spacing w:after="0" w:line="378" w:lineRule="auto"/>
        <w:rPr>
          <w:sz w:val="20"/>
          <w:szCs w:val="20"/>
          <w:color w:val="auto"/>
        </w:rPr>
      </w:pPr>
      <w:r>
        <w:rPr>
          <w:rFonts w:ascii="Arial" w:cs="Arial" w:eastAsia="Arial" w:hAnsi="Arial"/>
          <w:sz w:val="18"/>
          <w:szCs w:val="18"/>
          <w:color w:val="auto"/>
        </w:rPr>
        <w:t>On an adjusted basis, non-operating income (loss) consists of investment gains and losses generated from the firm's cash and discretionary investment portfolio. Lower investment gains during Q3 2026 compared to prior periods were primarily driven by losses on fixed income holdings resulting from rising interest rates, which more than offset higher dividends on cash equivalents and other fixed income holdings.</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320" w:top="1066"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347" w:lineRule="exact"/>
        <w:rPr>
          <w:sz w:val="20"/>
          <w:szCs w:val="20"/>
          <w:color w:val="auto"/>
        </w:rPr>
      </w:pPr>
    </w:p>
    <w:p>
      <w:pPr>
        <w:ind w:right="60"/>
        <w:spacing w:after="0" w:line="396" w:lineRule="auto"/>
        <w:rPr>
          <w:sz w:val="20"/>
          <w:szCs w:val="20"/>
          <w:color w:val="auto"/>
        </w:rPr>
      </w:pPr>
      <w:r>
        <w:rPr>
          <w:rFonts w:ascii="Arial" w:cs="Arial" w:eastAsia="Arial" w:hAnsi="Arial"/>
          <w:sz w:val="18"/>
          <w:szCs w:val="18"/>
          <w:color w:val="auto"/>
        </w:rPr>
        <w:t>The following reconciles the statutory federal income tax rate to the firm's effective income tax rate for the nine months ended September 30, 2026 and 2025:</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8520" w:type="dxa"/>
            <w:vAlign w:val="bottom"/>
            <w:tcBorders>
              <w:top w:val="single" w:sz="8" w:color="auto"/>
              <w:left w:val="single" w:sz="8" w:color="auto"/>
            </w:tcBorders>
            <w:shd w:val="clear" w:color="auto" w:fill="CCEEFF"/>
          </w:tcPr>
          <w:p>
            <w:pPr>
              <w:spacing w:after="0"/>
              <w:rPr>
                <w:sz w:val="18"/>
                <w:szCs w:val="18"/>
                <w:color w:val="auto"/>
              </w:rPr>
            </w:pPr>
          </w:p>
        </w:tc>
        <w:tc>
          <w:tcPr>
            <w:tcW w:w="2740" w:type="dxa"/>
            <w:vAlign w:val="bottom"/>
            <w:tcBorders>
              <w:top w:val="single" w:sz="8" w:color="auto"/>
              <w:bottom w:val="single" w:sz="8" w:color="auto"/>
              <w:right w:val="single" w:sz="8" w:color="auto"/>
            </w:tcBorders>
            <w:gridSpan w:val="3"/>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520" w:type="dxa"/>
            <w:vAlign w:val="bottom"/>
            <w:tcBorders>
              <w:left w:val="single" w:sz="8" w:color="auto"/>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9/30/2025</w:t>
            </w:r>
          </w:p>
        </w:tc>
      </w:tr>
      <w:tr>
        <w:trPr>
          <w:trHeight w:val="197"/>
        </w:trPr>
        <w:tc>
          <w:tcPr>
            <w:tcW w:w="85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Statutory U.S. federal income tax rate</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98"/>
        </w:trPr>
        <w:tc>
          <w:tcPr>
            <w:tcW w:w="85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State income taxes, net of federal income tax benefits</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2.5</w:t>
            </w:r>
          </w:p>
        </w:tc>
      </w:tr>
      <w:tr>
        <w:trPr>
          <w:trHeight w:val="207"/>
        </w:trPr>
        <w:tc>
          <w:tcPr>
            <w:tcW w:w="85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losses attributable to redeemable non-controlling interests</w:t>
            </w:r>
            <w:r>
              <w:rPr>
                <w:rFonts w:ascii="Arial" w:cs="Arial" w:eastAsia="Arial" w:hAnsi="Arial"/>
                <w:sz w:val="9"/>
                <w:szCs w:val="9"/>
                <w:color w:val="auto"/>
              </w:rPr>
              <w:t>(1)</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r>
      <w:tr>
        <w:trPr>
          <w:trHeight w:val="198"/>
        </w:trPr>
        <w:tc>
          <w:tcPr>
            <w:tcW w:w="85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Net excess tax losses (benefits) from stock-based compensation plans activity</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(0.2)</w:t>
            </w:r>
          </w:p>
        </w:tc>
      </w:tr>
      <w:tr>
        <w:trPr>
          <w:trHeight w:val="207"/>
        </w:trPr>
        <w:tc>
          <w:tcPr>
            <w:tcW w:w="85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Valuation allowances</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(0.2)</w:t>
            </w:r>
          </w:p>
        </w:tc>
      </w:tr>
      <w:tr>
        <w:trPr>
          <w:trHeight w:val="198"/>
        </w:trPr>
        <w:tc>
          <w:tcPr>
            <w:tcW w:w="852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color w:val="auto"/>
              </w:rPr>
              <w:t>Other items</w:t>
            </w: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0.7</w:t>
            </w:r>
          </w:p>
        </w:tc>
      </w:tr>
      <w:tr>
        <w:trPr>
          <w:trHeight w:val="225"/>
        </w:trPr>
        <w:tc>
          <w:tcPr>
            <w:tcW w:w="85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23.7 %</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22.8 %</w:t>
            </w:r>
          </w:p>
        </w:tc>
      </w:tr>
      <w:tr>
        <w:trPr>
          <w:trHeight w:val="20"/>
        </w:trPr>
        <w:tc>
          <w:tcPr>
            <w:tcW w:w="8520" w:type="dxa"/>
            <w:vAlign w:val="bottom"/>
            <w:tcBorders>
              <w:top w:val="single" w:sz="8" w:color="CCEEFF"/>
              <w:left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28"/>
        </w:trPr>
        <w:tc>
          <w:tcPr>
            <w:tcW w:w="85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effective income tax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24.0 %</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23.8 %</w:t>
            </w:r>
          </w:p>
        </w:tc>
      </w:tr>
      <w:tr>
        <w:trPr>
          <w:trHeight w:val="20"/>
        </w:trPr>
        <w:tc>
          <w:tcPr>
            <w:tcW w:w="8520" w:type="dxa"/>
            <w:vAlign w:val="bottom"/>
            <w:tcBorders>
              <w:top w:val="single" w:sz="8" w:color="CCEEFF"/>
              <w:left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520" w:type="dxa"/>
            <w:vAlign w:val="bottom"/>
            <w:tcBorders>
              <w:left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-25400</wp:posOffset>
            </wp:positionV>
            <wp:extent cx="8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pacing w:after="0" w:line="67" w:lineRule="exact"/>
        <w:rPr>
          <w:sz w:val="20"/>
          <w:szCs w:val="20"/>
          <w:color w:val="auto"/>
        </w:rPr>
      </w:pPr>
    </w:p>
    <w:p>
      <w:pPr>
        <w:ind w:left="180" w:right="60" w:hanging="172"/>
        <w:spacing w:after="0" w:line="237" w:lineRule="auto"/>
        <w:tabs>
          <w:tab w:leader="none" w:pos="158"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259" w:lineRule="exact"/>
        <w:rPr>
          <w:sz w:val="20"/>
          <w:szCs w:val="20"/>
          <w:color w:val="auto"/>
        </w:rPr>
      </w:pPr>
    </w:p>
    <w:p>
      <w:pPr>
        <w:ind w:right="140"/>
        <w:spacing w:after="0" w:line="386" w:lineRule="auto"/>
        <w:rPr>
          <w:sz w:val="20"/>
          <w:szCs w:val="20"/>
          <w:color w:val="auto"/>
        </w:rPr>
      </w:pPr>
      <w:r>
        <w:rPr>
          <w:rFonts w:ascii="Arial" w:cs="Arial" w:eastAsia="Arial" w:hAnsi="Arial"/>
          <w:sz w:val="18"/>
          <w:szCs w:val="18"/>
          <w:color w:val="auto"/>
        </w:rPr>
        <w:t>The year-to-date 2026 U.S. GAAP effective income tax rate increased compared to 2025 primarily driven by net income attributable to redeemable non-controlling interests. The adjusted effective income tax rate increase was primarily driven by higher valuation allowances in 2026 compared to 2025.</w:t>
      </w:r>
    </w:p>
    <w:p>
      <w:pPr>
        <w:spacing w:after="0" w:line="189" w:lineRule="exact"/>
        <w:rPr>
          <w:sz w:val="20"/>
          <w:szCs w:val="20"/>
          <w:color w:val="auto"/>
        </w:rPr>
      </w:pPr>
    </w:p>
    <w:p>
      <w:pPr>
        <w:ind w:right="200"/>
        <w:spacing w:after="0" w:line="396" w:lineRule="auto"/>
        <w:rPr>
          <w:sz w:val="20"/>
          <w:szCs w:val="20"/>
          <w:color w:val="auto"/>
        </w:rPr>
      </w:pPr>
      <w:r>
        <w:rPr>
          <w:rFonts w:ascii="Arial" w:cs="Arial" w:eastAsia="Arial" w:hAnsi="Arial"/>
          <w:sz w:val="18"/>
          <w:szCs w:val="18"/>
          <w:color w:val="auto"/>
        </w:rPr>
        <w:t>The firm estimates that its effective income tax rate for the full year 2026, on a U.S. GAAP and adjusted basis, will be in the range of 23.5% to 25.5%.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spacing w:after="0" w:line="214" w:lineRule="exact"/>
        <w:rPr>
          <w:sz w:val="20"/>
          <w:szCs w:val="20"/>
          <w:color w:val="auto"/>
        </w:rPr>
      </w:pPr>
    </w:p>
    <w:p>
      <w:pPr>
        <w:jc w:val="both"/>
        <w:ind w:right="440"/>
        <w:spacing w:after="0" w:line="378"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third quarter of 2026 with the U.S. Securities and Exchange Commission later today. The Form 10-Q will include additional information on the firm's unaudited financial results at September 30, 2026.</w:t>
      </w:r>
    </w:p>
    <w:p>
      <w:pPr>
        <w:spacing w:after="0" w:line="197" w:lineRule="exact"/>
        <w:rPr>
          <w:sz w:val="20"/>
          <w:szCs w:val="20"/>
          <w:color w:val="auto"/>
        </w:rPr>
      </w:pPr>
    </w:p>
    <w:p>
      <w:pPr>
        <w:ind w:right="60"/>
        <w:spacing w:after="0" w:line="368"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operations, expenses, earnings, liquidity, cash flows and capital expenditures, industry or market conditions, amount or composition of assets under management, flows into products, regulatory developments, changes in effective fee rate, demand for and pricing of products, new products and services, effective income tax rates, net income and earnings per common share, future transactions, strategic initiatives, general economic conditions, dividends, stock repurchases, and other market factors. For a discussion concerning risks and other factors that could affect future results, see the firm's 2025 Annual Report on Form 10-K and subsequent Form 10-Q Quarterly Reports.</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1174" w:right="319" w:bottom="1440" w:gutter="0" w:footer="0" w:header="0"/>
        </w:sectPr>
      </w:pPr>
    </w:p>
    <w:bookmarkStart w:id="9" w:name="page10"/>
    <w:bookmarkEnd w:id="9"/>
    <w:p>
      <w:pPr>
        <w:spacing w:after="0" w:line="373" w:lineRule="auto"/>
        <w:rPr>
          <w:sz w:val="20"/>
          <w:szCs w:val="20"/>
          <w:color w:val="auto"/>
        </w:rPr>
      </w:pPr>
      <w:r>
        <w:rPr>
          <w:rFonts w:ascii="Arial" w:cs="Arial" w:eastAsia="Arial" w:hAnsi="Arial"/>
          <w:sz w:val="18"/>
          <w:szCs w:val="18"/>
          <w:color w:val="auto"/>
        </w:rPr>
        <w:t>T. Rowe Price (NASDAQ-GS: TROW) is a leading global asset management firm, entrusted with managing $1.86 trillion in client assets at September 30, 2026, about two-thirds of which are retirement-related. Renowned for over 85 years of investment excellence, retirement leadership, and independent proprietary research, the firm leverages its longstanding expertise to ask better questions that can drive better investment decisions. Built on a culture of integrity and prioritizing client interests, T. Rowe Price empowers millions of investors worldwide to thrive amidst evolving markets. Visit troweprice.com/newsroom for news and public policy commentary.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347" w:lineRule="exact"/>
        <w:rPr>
          <w:sz w:val="20"/>
          <w:szCs w:val="20"/>
          <w:color w:val="auto"/>
        </w:rPr>
      </w:pPr>
    </w:p>
    <w:p>
      <w:pPr>
        <w:ind w:right="140"/>
        <w:spacing w:after="0" w:line="396" w:lineRule="auto"/>
        <w:rPr>
          <w:sz w:val="20"/>
          <w:szCs w:val="20"/>
          <w:color w:val="auto"/>
        </w:rPr>
      </w:pPr>
      <w:r>
        <w:rPr>
          <w:rFonts w:ascii="Arial" w:cs="Arial" w:eastAsia="Arial" w:hAnsi="Arial"/>
          <w:sz w:val="18"/>
          <w:szCs w:val="18"/>
          <w:color w:val="auto"/>
        </w:rPr>
        <w:t>T. Rowe Price management will provide an update on the business, review financial results, and take questions on a webcast to be held on Thursday, October 29, 2026, from 8:00 - 8:45 AM (Eastern Time).</w:t>
      </w:r>
    </w:p>
    <w:p>
      <w:pPr>
        <w:spacing w:after="0" w:line="194" w:lineRule="exact"/>
        <w:rPr>
          <w:sz w:val="20"/>
          <w:szCs w:val="20"/>
          <w:color w:val="auto"/>
        </w:rPr>
      </w:pPr>
    </w:p>
    <w:p>
      <w:pPr>
        <w:jc w:val="both"/>
        <w:ind w:right="160"/>
        <w:spacing w:after="0" w:line="378" w:lineRule="auto"/>
        <w:rPr>
          <w:sz w:val="20"/>
          <w:szCs w:val="20"/>
          <w:color w:val="auto"/>
        </w:rPr>
      </w:pPr>
      <w:r>
        <w:rPr>
          <w:rFonts w:ascii="Arial" w:cs="Arial" w:eastAsia="Arial" w:hAnsi="Arial"/>
          <w:sz w:val="18"/>
          <w:szCs w:val="18"/>
          <w:color w:val="auto"/>
        </w:rPr>
        <w:t>To access the webcast or to obtain dial in instructions to ask a question, please visit: investors.troweprice.com. Supplemental materials will be available on the firm's investor relations website. A replay of the webcast will be available on the firm's investor relations website shortly after the event.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4B85"/>
        </w:rPr>
        <w:t>T. ROWE PRICE 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4B85"/>
        </w:rPr>
        <w:t>Public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3B3B3B"/>
        </w:rPr>
        <w:t>Arminta Plater</w:t>
      </w:r>
    </w:p>
    <w:p>
      <w:pPr>
        <w:spacing w:after="0" w:line="234" w:lineRule="auto"/>
        <w:rPr>
          <w:sz w:val="20"/>
          <w:szCs w:val="20"/>
          <w:color w:val="auto"/>
        </w:rPr>
      </w:pPr>
      <w:r>
        <w:rPr>
          <w:rFonts w:ascii="Arial" w:cs="Arial" w:eastAsia="Arial" w:hAnsi="Arial"/>
          <w:sz w:val="18"/>
          <w:szCs w:val="18"/>
          <w:color w:val="3B3B3B"/>
        </w:rPr>
        <w:t>410-577-2813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arminta.plater@troweprice.com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04B85"/>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B3B3B"/>
        </w:rPr>
        <w:t>Linsley Carruth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3B3B3B"/>
        </w:rPr>
        <w:t>410-345-3717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linsley.carruth@troweprice.com</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1066"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Consolidated Statements of Income</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Three months ended</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gridSpan w:val="4"/>
            <w:shd w:val="clear" w:color="auto" w:fill="CCEEFF"/>
          </w:tcPr>
          <w:p>
            <w:pPr>
              <w:jc w:val="right"/>
              <w:ind w:right="588"/>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81"/>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9/30/2026</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96"/>
              </w:rPr>
              <w:t>9/30/2025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6/30/2026</w:t>
            </w:r>
          </w:p>
        </w:tc>
        <w:tc>
          <w:tcPr>
            <w:tcW w:w="140" w:type="dxa"/>
            <w:vAlign w:val="bottom"/>
            <w:tcBorders>
              <w:bottom w:val="single" w:sz="8" w:color="CCEEFF"/>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9/30/2026</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9/30/2025</w:t>
            </w:r>
          </w:p>
        </w:tc>
        <w:tc>
          <w:tcPr>
            <w:tcW w:w="0" w:type="dxa"/>
            <w:vAlign w:val="bottom"/>
          </w:tcPr>
          <w:p>
            <w:pPr>
              <w:spacing w:after="0"/>
              <w:rPr>
                <w:sz w:val="1"/>
                <w:szCs w:val="1"/>
                <w:color w:val="auto"/>
              </w:rPr>
            </w:pPr>
          </w:p>
        </w:tc>
      </w:tr>
      <w:tr>
        <w:trPr>
          <w:trHeight w:val="184"/>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140"/>
              <w:spacing w:after="0"/>
              <w:rPr>
                <w:sz w:val="20"/>
                <w:szCs w:val="20"/>
                <w:color w:val="auto"/>
              </w:rPr>
            </w:pPr>
            <w:r>
              <w:rPr>
                <w:rFonts w:ascii="Arial" w:cs="Arial" w:eastAsia="Arial" w:hAnsi="Arial"/>
                <w:sz w:val="14"/>
                <w:szCs w:val="14"/>
                <w:color w:val="auto"/>
              </w:rPr>
              <w:t>Investment advisory fees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1,796.4</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1,698.7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1,744.8</w:t>
            </w:r>
          </w:p>
        </w:tc>
        <w:tc>
          <w:tcPr>
            <w:tcW w:w="140" w:type="dxa"/>
            <w:vAlign w:val="bottom"/>
            <w:tcBorders>
              <w:right w:val="single" w:sz="8" w:color="auto"/>
            </w:tcBorders>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5,224.2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4,864.7</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Performance-based advisory fees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98"/>
        </w:trPr>
        <w:tc>
          <w:tcPr>
            <w:tcW w:w="4900" w:type="dxa"/>
            <w:vAlign w:val="bottom"/>
          </w:tcPr>
          <w:p>
            <w:pPr>
              <w:ind w:left="140"/>
              <w:spacing w:after="0"/>
              <w:rPr>
                <w:sz w:val="20"/>
                <w:szCs w:val="20"/>
                <w:color w:val="auto"/>
              </w:rPr>
            </w:pPr>
            <w:r>
              <w:rPr>
                <w:rFonts w:ascii="Arial" w:cs="Arial" w:eastAsia="Arial" w:hAnsi="Arial"/>
                <w:sz w:val="14"/>
                <w:szCs w:val="14"/>
                <w:color w:val="auto"/>
              </w:rPr>
              <w:t>Capital allocation-based income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Administrative, distribution, servicing, and other fees</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452.4</w:t>
            </w:r>
          </w:p>
        </w:tc>
        <w:tc>
          <w:tcPr>
            <w:tcW w:w="0" w:type="dxa"/>
            <w:vAlign w:val="bottom"/>
          </w:tcPr>
          <w:p>
            <w:pPr>
              <w:spacing w:after="0"/>
              <w:rPr>
                <w:sz w:val="1"/>
                <w:szCs w:val="1"/>
                <w:color w:val="auto"/>
              </w:rPr>
            </w:pPr>
          </w:p>
        </w:tc>
      </w:tr>
      <w:tr>
        <w:trPr>
          <w:trHeight w:val="235"/>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Net revenues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1,893.5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1,907.4</w:t>
            </w:r>
          </w:p>
        </w:tc>
        <w:tc>
          <w:tcPr>
            <w:tcW w:w="140" w:type="dxa"/>
            <w:vAlign w:val="bottom"/>
            <w:tcBorders>
              <w:bottom w:val="single" w:sz="8" w:color="CCEEFF"/>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5,769.3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5,380.7</w:t>
            </w:r>
          </w:p>
        </w:tc>
        <w:tc>
          <w:tcPr>
            <w:tcW w:w="0" w:type="dxa"/>
            <w:vAlign w:val="bottom"/>
          </w:tcPr>
          <w:p>
            <w:pPr>
              <w:spacing w:after="0"/>
              <w:rPr>
                <w:sz w:val="1"/>
                <w:szCs w:val="1"/>
                <w:color w:val="auto"/>
              </w:rPr>
            </w:pPr>
          </w:p>
        </w:tc>
      </w:tr>
      <w:tr>
        <w:trPr>
          <w:trHeight w:val="201"/>
        </w:trPr>
        <w:tc>
          <w:tcPr>
            <w:tcW w:w="490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40" w:type="dxa"/>
            <w:vAlign w:val="bottom"/>
            <w:tcBorders>
              <w:top w:val="single" w:sz="8" w:color="CCEEFF"/>
              <w:right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Compensation, benefits, and related costs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675.9</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1,939.2</w:t>
            </w:r>
          </w:p>
        </w:tc>
        <w:tc>
          <w:tcPr>
            <w:tcW w:w="0" w:type="dxa"/>
            <w:vAlign w:val="bottom"/>
          </w:tcPr>
          <w:p>
            <w:pPr>
              <w:spacing w:after="0"/>
              <w:rPr>
                <w:sz w:val="1"/>
                <w:szCs w:val="1"/>
                <w:color w:val="auto"/>
              </w:rPr>
            </w:pPr>
          </w:p>
        </w:tc>
      </w:tr>
      <w:tr>
        <w:trPr>
          <w:trHeight w:val="198"/>
        </w:trPr>
        <w:tc>
          <w:tcPr>
            <w:tcW w:w="4900" w:type="dxa"/>
            <w:vAlign w:val="bottom"/>
          </w:tcPr>
          <w:p>
            <w:pPr>
              <w:ind w:left="240"/>
              <w:spacing w:after="0"/>
              <w:rPr>
                <w:sz w:val="20"/>
                <w:szCs w:val="20"/>
                <w:color w:val="auto"/>
              </w:rPr>
            </w:pPr>
            <w:r>
              <w:rPr>
                <w:rFonts w:ascii="Arial" w:cs="Arial" w:eastAsia="Arial" w:hAnsi="Arial"/>
                <w:sz w:val="14"/>
                <w:szCs w:val="14"/>
                <w:color w:val="auto"/>
              </w:rPr>
              <w:t>Acquisition-related retention arrangements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 allocation-based income compensation</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8"/>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Market-related change in deferred compensation liabilities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14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compensation and related costs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2,106.5</w:t>
            </w:r>
          </w:p>
        </w:tc>
        <w:tc>
          <w:tcPr>
            <w:tcW w:w="0" w:type="dxa"/>
            <w:vAlign w:val="bottom"/>
          </w:tcPr>
          <w:p>
            <w:pPr>
              <w:spacing w:after="0"/>
              <w:rPr>
                <w:sz w:val="1"/>
                <w:szCs w:val="1"/>
                <w:color w:val="auto"/>
              </w:rPr>
            </w:pPr>
          </w:p>
        </w:tc>
      </w:tr>
      <w:tr>
        <w:trPr>
          <w:trHeight w:val="198"/>
        </w:trPr>
        <w:tc>
          <w:tcPr>
            <w:tcW w:w="4900" w:type="dxa"/>
            <w:vAlign w:val="bottom"/>
          </w:tcPr>
          <w:p>
            <w:pPr>
              <w:ind w:left="140"/>
              <w:spacing w:after="0"/>
              <w:rPr>
                <w:sz w:val="20"/>
                <w:szCs w:val="20"/>
                <w:color w:val="auto"/>
              </w:rPr>
            </w:pPr>
            <w:r>
              <w:rPr>
                <w:rFonts w:ascii="Arial" w:cs="Arial" w:eastAsia="Arial" w:hAnsi="Arial"/>
                <w:sz w:val="14"/>
                <w:szCs w:val="14"/>
                <w:color w:val="auto"/>
              </w:rPr>
              <w:t>Distribution and servicing costs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106.1</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 and promotion costs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198"/>
        </w:trPr>
        <w:tc>
          <w:tcPr>
            <w:tcW w:w="4900" w:type="dxa"/>
            <w:vAlign w:val="bottom"/>
          </w:tcPr>
          <w:p>
            <w:pPr>
              <w:ind w:left="140"/>
              <w:spacing w:after="0"/>
              <w:rPr>
                <w:sz w:val="20"/>
                <w:szCs w:val="20"/>
                <w:color w:val="auto"/>
              </w:rPr>
            </w:pPr>
            <w:r>
              <w:rPr>
                <w:rFonts w:ascii="Arial" w:cs="Arial" w:eastAsia="Arial" w:hAnsi="Arial"/>
                <w:sz w:val="14"/>
                <w:szCs w:val="14"/>
                <w:color w:val="auto"/>
              </w:rPr>
              <w:t>Product and recordkeeping related costs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83.1</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 occupancy, and facility costs</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w:t>
            </w:r>
          </w:p>
        </w:tc>
        <w:tc>
          <w:tcPr>
            <w:tcW w:w="0" w:type="dxa"/>
            <w:vAlign w:val="bottom"/>
          </w:tcPr>
          <w:p>
            <w:pPr>
              <w:spacing w:after="0"/>
              <w:rPr>
                <w:sz w:val="1"/>
                <w:szCs w:val="1"/>
                <w:color w:val="auto"/>
              </w:rPr>
            </w:pPr>
          </w:p>
        </w:tc>
      </w:tr>
      <w:tr>
        <w:trPr>
          <w:trHeight w:val="203"/>
        </w:trPr>
        <w:tc>
          <w:tcPr>
            <w:tcW w:w="4900" w:type="dxa"/>
            <w:vAlign w:val="bottom"/>
          </w:tcPr>
          <w:p>
            <w:pPr>
              <w:ind w:left="140"/>
              <w:spacing w:after="0" w:line="202" w:lineRule="exact"/>
              <w:rPr>
                <w:sz w:val="20"/>
                <w:szCs w:val="20"/>
                <w:color w:val="auto"/>
              </w:rPr>
            </w:pPr>
            <w:r>
              <w:rPr>
                <w:rFonts w:ascii="Arial" w:cs="Arial" w:eastAsia="Arial" w:hAnsi="Arial"/>
                <w:sz w:val="14"/>
                <w:szCs w:val="14"/>
                <w:color w:val="auto"/>
              </w:rPr>
              <w:t>General, administrative, and other costs</w:t>
            </w:r>
            <w:r>
              <w:rPr>
                <w:rFonts w:ascii="Arial" w:cs="Arial" w:eastAsia="Arial" w:hAnsi="Arial"/>
                <w:sz w:val="18"/>
                <w:szCs w:val="18"/>
                <w:color w:val="auto"/>
                <w:vertAlign w:val="superscript"/>
              </w:rPr>
              <w:t>(2)</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104.9</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271.2</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Acquisition-related amortization, impairments, and other costs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98"/>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Restructuring charge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4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2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1,366.9</w:t>
            </w:r>
          </w:p>
        </w:tc>
        <w:tc>
          <w:tcPr>
            <w:tcW w:w="140" w:type="dxa"/>
            <w:vAlign w:val="bottom"/>
            <w:tcBorders>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3,778.5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3,662.9</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540.5</w:t>
            </w:r>
          </w:p>
        </w:tc>
        <w:tc>
          <w:tcPr>
            <w:tcW w:w="1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1,717.8</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140"/>
              <w:spacing w:after="0"/>
              <w:rPr>
                <w:sz w:val="20"/>
                <w:szCs w:val="20"/>
                <w:color w:val="auto"/>
              </w:rPr>
            </w:pPr>
            <w:r>
              <w:rPr>
                <w:rFonts w:ascii="Arial" w:cs="Arial" w:eastAsia="Arial" w:hAnsi="Arial"/>
                <w:sz w:val="14"/>
                <w:szCs w:val="14"/>
                <w:color w:val="auto"/>
              </w:rPr>
              <w:t>Net gains on investments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237.4</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359.0</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(losses) on consolidated investment products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198"/>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gains (losses), including foreign currency gains (losses)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4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non-operating income</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369.1</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338.4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544.6</w:t>
            </w:r>
          </w:p>
        </w:tc>
        <w:tc>
          <w:tcPr>
            <w:tcW w:w="0" w:type="dxa"/>
            <w:vAlign w:val="bottom"/>
          </w:tcPr>
          <w:p>
            <w:pPr>
              <w:spacing w:after="0"/>
              <w:rPr>
                <w:sz w:val="1"/>
                <w:szCs w:val="1"/>
                <w:color w:val="auto"/>
              </w:rPr>
            </w:pPr>
          </w:p>
        </w:tc>
      </w:tr>
      <w:tr>
        <w:trPr>
          <w:trHeight w:val="34"/>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909.6</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2,262.4</w:t>
            </w:r>
          </w:p>
        </w:tc>
        <w:tc>
          <w:tcPr>
            <w:tcW w:w="0" w:type="dxa"/>
            <w:vAlign w:val="bottom"/>
          </w:tcPr>
          <w:p>
            <w:pPr>
              <w:spacing w:after="0"/>
              <w:rPr>
                <w:sz w:val="1"/>
                <w:szCs w:val="1"/>
                <w:color w:val="auto"/>
              </w:rPr>
            </w:pPr>
          </w:p>
        </w:tc>
      </w:tr>
      <w:tr>
        <w:trPr>
          <w:trHeight w:val="19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w:t>
            </w:r>
          </w:p>
        </w:tc>
        <w:tc>
          <w:tcPr>
            <w:tcW w:w="14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514.7</w:t>
            </w: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695.4</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1,747.7</w:t>
            </w:r>
          </w:p>
        </w:tc>
        <w:tc>
          <w:tcPr>
            <w:tcW w:w="0" w:type="dxa"/>
            <w:vAlign w:val="bottom"/>
          </w:tcPr>
          <w:p>
            <w:pPr>
              <w:spacing w:after="0"/>
              <w:rPr>
                <w:sz w:val="1"/>
                <w:szCs w:val="1"/>
                <w:color w:val="auto"/>
              </w:rPr>
            </w:pPr>
          </w:p>
        </w:tc>
      </w:tr>
      <w:tr>
        <w:trPr>
          <w:trHeight w:val="153"/>
        </w:trPr>
        <w:tc>
          <w:tcPr>
            <w:tcW w:w="4900" w:type="dxa"/>
            <w:vAlign w:val="bottom"/>
          </w:tcPr>
          <w:p>
            <w:pPr>
              <w:ind w:left="140"/>
              <w:spacing w:after="0" w:line="153" w:lineRule="exact"/>
              <w:rPr>
                <w:sz w:val="20"/>
                <w:szCs w:val="20"/>
                <w:color w:val="auto"/>
              </w:rPr>
            </w:pPr>
            <w:r>
              <w:rPr>
                <w:rFonts w:ascii="Arial" w:cs="Arial" w:eastAsia="Arial" w:hAnsi="Arial"/>
                <w:sz w:val="14"/>
                <w:szCs w:val="14"/>
                <w:color w:val="auto"/>
              </w:rPr>
              <w:t>Less: net income (loss) attributable to redeemable non-controlling</w:t>
            </w: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63.4</w:t>
            </w:r>
          </w:p>
        </w:tc>
        <w:tc>
          <w:tcPr>
            <w:tcW w:w="1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85"/>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T. Rowe Price Group, Inc.</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632.0</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1,641.8</w:t>
            </w:r>
          </w:p>
        </w:tc>
        <w:tc>
          <w:tcPr>
            <w:tcW w:w="0" w:type="dxa"/>
            <w:vAlign w:val="bottom"/>
          </w:tcPr>
          <w:p>
            <w:pPr>
              <w:spacing w:after="0"/>
              <w:rPr>
                <w:sz w:val="1"/>
                <w:szCs w:val="1"/>
                <w:color w:val="auto"/>
              </w:rPr>
            </w:pPr>
          </w:p>
        </w:tc>
      </w:tr>
      <w:tr>
        <w:trPr>
          <w:trHeight w:val="153"/>
        </w:trPr>
        <w:tc>
          <w:tcPr>
            <w:tcW w:w="4900" w:type="dxa"/>
            <w:vAlign w:val="bottom"/>
          </w:tcPr>
          <w:p>
            <w:pPr>
              <w:ind w:left="140"/>
              <w:spacing w:after="0" w:line="153" w:lineRule="exact"/>
              <w:rPr>
                <w:sz w:val="20"/>
                <w:szCs w:val="20"/>
                <w:color w:val="auto"/>
              </w:rPr>
            </w:pPr>
            <w:r>
              <w:rPr>
                <w:rFonts w:ascii="Arial" w:cs="Arial" w:eastAsia="Arial" w:hAnsi="Arial"/>
                <w:sz w:val="14"/>
                <w:szCs w:val="14"/>
                <w:color w:val="auto"/>
              </w:rPr>
              <w:t>Less: net income allocated to outstanding restricted stock and stock unit</w:t>
            </w: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16.0</w:t>
            </w:r>
          </w:p>
        </w:tc>
        <w:tc>
          <w:tcPr>
            <w:tcW w:w="1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39.5</w:t>
            </w:r>
          </w:p>
        </w:tc>
        <w:tc>
          <w:tcPr>
            <w:tcW w:w="0" w:type="dxa"/>
            <w:vAlign w:val="bottom"/>
          </w:tcPr>
          <w:p>
            <w:pPr>
              <w:spacing w:after="0"/>
              <w:rPr>
                <w:sz w:val="1"/>
                <w:szCs w:val="1"/>
                <w:color w:val="auto"/>
              </w:rPr>
            </w:pPr>
          </w:p>
        </w:tc>
      </w:tr>
      <w:tr>
        <w:trPr>
          <w:trHeight w:val="185"/>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holders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Net income allocated to T. Rowe Price Group, Inc. common</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595.1</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631.4</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616.0</w:t>
            </w:r>
          </w:p>
        </w:tc>
        <w:tc>
          <w:tcPr>
            <w:tcW w:w="140" w:type="dxa"/>
            <w:vAlign w:val="bottom"/>
            <w:tcBorders>
              <w:right w:val="single" w:sz="8" w:color="auto"/>
            </w:tcBorders>
            <w:shd w:val="clear" w:color="auto" w:fill="CCEEFF"/>
          </w:tcPr>
          <w:p>
            <w:pPr>
              <w:spacing w:after="0"/>
              <w:rPr>
                <w:sz w:val="11"/>
                <w:szCs w:val="11"/>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1,696.8</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1,602.3</w:t>
            </w:r>
          </w:p>
        </w:tc>
        <w:tc>
          <w:tcPr>
            <w:tcW w:w="0" w:type="dxa"/>
            <w:vAlign w:val="bottom"/>
          </w:tcPr>
          <w:p>
            <w:pPr>
              <w:spacing w:after="0"/>
              <w:rPr>
                <w:sz w:val="1"/>
                <w:szCs w:val="1"/>
                <w:color w:val="auto"/>
              </w:rPr>
            </w:pPr>
          </w:p>
        </w:tc>
      </w:tr>
      <w:tr>
        <w:trPr>
          <w:trHeight w:val="178"/>
        </w:trPr>
        <w:tc>
          <w:tcPr>
            <w:tcW w:w="490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stockholders</w:t>
            </w:r>
          </w:p>
        </w:tc>
        <w:tc>
          <w:tcPr>
            <w:tcW w:w="2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 on common stock of T. Rowe Price Group, Inc.</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2.88</w:t>
            </w:r>
          </w:p>
        </w:tc>
        <w:tc>
          <w:tcPr>
            <w:tcW w:w="140" w:type="dxa"/>
            <w:vAlign w:val="bottom"/>
            <w:tcBorders>
              <w:right w:val="single" w:sz="8" w:color="auto"/>
            </w:tcBorders>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2.88</w:t>
            </w:r>
          </w:p>
        </w:tc>
        <w:tc>
          <w:tcPr>
            <w:tcW w:w="1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7.25</w:t>
            </w:r>
          </w:p>
        </w:tc>
        <w:tc>
          <w:tcPr>
            <w:tcW w:w="0" w:type="dxa"/>
            <w:vAlign w:val="bottom"/>
          </w:tcPr>
          <w:p>
            <w:pPr>
              <w:spacing w:after="0"/>
              <w:rPr>
                <w:sz w:val="1"/>
                <w:szCs w:val="1"/>
                <w:color w:val="auto"/>
              </w:rPr>
            </w:pPr>
          </w:p>
        </w:tc>
      </w:tr>
      <w:tr>
        <w:trPr>
          <w:trHeight w:val="21"/>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Weighted-average common shares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40"/>
              <w:spacing w:after="0"/>
              <w:rPr>
                <w:sz w:val="20"/>
                <w:szCs w:val="20"/>
                <w:color w:val="auto"/>
              </w:rPr>
            </w:pPr>
            <w:r>
              <w:rPr>
                <w:rFonts w:ascii="Arial" w:cs="Arial" w:eastAsia="Arial" w:hAnsi="Arial"/>
                <w:sz w:val="14"/>
                <w:szCs w:val="14"/>
                <w:color w:val="auto"/>
              </w:rPr>
              <w:t>Outstanding</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w:t>
            </w:r>
          </w:p>
        </w:tc>
        <w:tc>
          <w:tcPr>
            <w:tcW w:w="14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220.6</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Outstanding assuming dilution</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214.2</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shd w:val="clear" w:color="auto" w:fill="CCEEFF"/>
          </w:tcPr>
          <w:p>
            <w:pPr>
              <w:ind w:left="20"/>
              <w:spacing w:after="0" w:line="177" w:lineRule="exact"/>
              <w:rPr>
                <w:sz w:val="20"/>
                <w:szCs w:val="20"/>
                <w:color w:val="auto"/>
              </w:rPr>
            </w:pPr>
            <w:r>
              <w:rPr>
                <w:rFonts w:ascii="Arial" w:cs="Arial" w:eastAsia="Arial" w:hAnsi="Arial"/>
                <w:sz w:val="14"/>
                <w:szCs w:val="14"/>
                <w:b w:val="1"/>
                <w:bCs w:val="1"/>
                <w:color w:val="auto"/>
              </w:rPr>
              <w:t>Summary of adjusted basis</w:t>
            </w:r>
            <w:r>
              <w:rPr>
                <w:rFonts w:ascii="Arial" w:cs="Arial" w:eastAsia="Arial" w:hAnsi="Arial"/>
                <w:sz w:val="18"/>
                <w:szCs w:val="18"/>
                <w:b w:val="1"/>
                <w:bCs w:val="1"/>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Three months ended</w:t>
            </w: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280" w:type="dxa"/>
            <w:vAlign w:val="bottom"/>
            <w:tcBorders>
              <w:bottom w:val="single" w:sz="8" w:color="auto"/>
            </w:tcBorders>
            <w:gridSpan w:val="4"/>
            <w:shd w:val="clear" w:color="auto" w:fill="CCEEFF"/>
          </w:tcPr>
          <w:p>
            <w:pPr>
              <w:jc w:val="right"/>
              <w:ind w:right="588"/>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221"/>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per-share data)</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9/30/2026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96"/>
              </w:rPr>
              <w:t>9/30/2025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6/30/2026</w:t>
            </w:r>
          </w:p>
        </w:tc>
        <w:tc>
          <w:tcPr>
            <w:tcW w:w="140" w:type="dxa"/>
            <w:vAlign w:val="bottom"/>
            <w:tcBorders>
              <w:bottom w:val="single" w:sz="8" w:color="CCEEFF"/>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9/30/2026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9/30/2025</w:t>
            </w:r>
          </w:p>
        </w:tc>
        <w:tc>
          <w:tcPr>
            <w:tcW w:w="0" w:type="dxa"/>
            <w:vAlign w:val="bottom"/>
          </w:tcPr>
          <w:p>
            <w:pPr>
              <w:spacing w:after="0"/>
              <w:rPr>
                <w:sz w:val="1"/>
                <w:szCs w:val="1"/>
                <w:color w:val="auto"/>
              </w:rPr>
            </w:pPr>
          </w:p>
        </w:tc>
      </w:tr>
      <w:tr>
        <w:trPr>
          <w:trHeight w:val="198"/>
        </w:trPr>
        <w:tc>
          <w:tcPr>
            <w:tcW w:w="490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1,200.1</w:t>
            </w:r>
          </w:p>
        </w:tc>
        <w:tc>
          <w:tcPr>
            <w:tcW w:w="3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1,134.4</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1,203.2</w:t>
            </w:r>
          </w:p>
        </w:tc>
        <w:tc>
          <w:tcPr>
            <w:tcW w:w="140" w:type="dxa"/>
            <w:vAlign w:val="bottom"/>
            <w:tcBorders>
              <w:top w:val="single" w:sz="8" w:color="CCEEFF"/>
              <w:right w:val="single" w:sz="8" w:color="auto"/>
            </w:tcBorders>
          </w:tcPr>
          <w:p>
            <w:pPr>
              <w:spacing w:after="0"/>
              <w:rPr>
                <w:sz w:val="17"/>
                <w:szCs w:val="17"/>
                <w:color w:val="auto"/>
              </w:rPr>
            </w:pPr>
          </w:p>
        </w:tc>
        <w:tc>
          <w:tcPr>
            <w:tcW w:w="1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3,558.5</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3,416.7</w:t>
            </w: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Operating expenses, excluding accrued carried interest related</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1,175.5</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1,111.8</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1,194.9</w:t>
            </w:r>
          </w:p>
        </w:tc>
        <w:tc>
          <w:tcPr>
            <w:tcW w:w="140" w:type="dxa"/>
            <w:vAlign w:val="bottom"/>
            <w:tcBorders>
              <w:right w:val="single" w:sz="8" w:color="auto"/>
            </w:tcBorders>
            <w:shd w:val="clear" w:color="auto" w:fill="CCEEFF"/>
          </w:tcPr>
          <w:p>
            <w:pPr>
              <w:spacing w:after="0"/>
              <w:rPr>
                <w:sz w:val="13"/>
                <w:szCs w:val="13"/>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3,512.7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3,376.9</w:t>
            </w:r>
          </w:p>
        </w:tc>
        <w:tc>
          <w:tcPr>
            <w:tcW w:w="0" w:type="dxa"/>
            <w:vAlign w:val="bottom"/>
          </w:tcPr>
          <w:p>
            <w:pPr>
              <w:spacing w:after="0"/>
              <w:rPr>
                <w:sz w:val="1"/>
                <w:szCs w:val="1"/>
                <w:color w:val="auto"/>
              </w:rPr>
            </w:pPr>
          </w:p>
        </w:tc>
      </w:tr>
      <w:tr>
        <w:trPr>
          <w:trHeight w:val="185"/>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Net operating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809.2</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774.1</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709.1</w:t>
            </w:r>
          </w:p>
        </w:tc>
        <w:tc>
          <w:tcPr>
            <w:tcW w:w="140" w:type="dxa"/>
            <w:vAlign w:val="bottom"/>
            <w:tcBorders>
              <w:right w:val="single" w:sz="8" w:color="auto"/>
            </w:tcBorders>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2,224.4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2,029.1</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income (loss)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199"/>
        </w:trPr>
        <w:tc>
          <w:tcPr>
            <w:tcW w:w="4900" w:type="dxa"/>
            <w:vAlign w:val="bottom"/>
          </w:tcPr>
          <w:p>
            <w:pPr>
              <w:ind w:left="20"/>
              <w:spacing w:after="0"/>
              <w:rPr>
                <w:sz w:val="20"/>
                <w:szCs w:val="20"/>
                <w:color w:val="auto"/>
              </w:rPr>
            </w:pPr>
            <w:r>
              <w:rPr>
                <w:rFonts w:ascii="Arial" w:cs="Arial" w:eastAsia="Arial" w:hAnsi="Arial"/>
                <w:sz w:val="14"/>
                <w:szCs w:val="14"/>
                <w:color w:val="auto"/>
              </w:rPr>
              <w:t>Net income attributable to T. Rowe Price Group, Inc.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629.5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631.7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565.0</w:t>
            </w:r>
          </w:p>
        </w:tc>
        <w:tc>
          <w:tcPr>
            <w:tcW w:w="140" w:type="dxa"/>
            <w:vAlign w:val="bottom"/>
            <w:tcBorders>
              <w:right w:val="single" w:sz="8" w:color="auto"/>
            </w:tcBorders>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1,756.5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1,647.8</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common share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40" w:type="dxa"/>
            <w:vAlign w:val="bottom"/>
            <w:tcBorders>
              <w:bottom w:val="single" w:sz="8" w:color="auto"/>
              <w:right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-1182370</wp:posOffset>
            </wp:positionV>
            <wp:extent cx="889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pacing w:after="0" w:line="100" w:lineRule="exact"/>
        <w:rPr>
          <w:sz w:val="20"/>
          <w:szCs w:val="20"/>
          <w:color w:val="auto"/>
        </w:rPr>
      </w:pPr>
    </w:p>
    <w:p>
      <w:pPr>
        <w:ind w:left="180" w:right="80" w:hanging="161"/>
        <w:spacing w:after="0" w:line="241" w:lineRule="auto"/>
        <w:rPr>
          <w:sz w:val="20"/>
          <w:szCs w:val="20"/>
          <w:color w:val="auto"/>
        </w:rPr>
      </w:pPr>
      <w:r>
        <w:rPr>
          <w:rFonts w:ascii="Arial" w:cs="Arial" w:eastAsia="Arial" w:hAnsi="Arial"/>
          <w:sz w:val="16"/>
          <w:szCs w:val="16"/>
          <w:color w:val="auto"/>
          <w:vertAlign w:val="superscript"/>
        </w:rPr>
        <w:t>(</w:t>
      </w:r>
      <w:r>
        <w:rPr>
          <w:rFonts w:ascii="Arial" w:cs="Arial" w:eastAsia="Arial" w:hAnsi="Arial"/>
          <w:sz w:val="16"/>
          <w:szCs w:val="16"/>
          <w:i w:val="1"/>
          <w:iCs w:val="1"/>
          <w:color w:val="auto"/>
          <w:vertAlign w:val="superscript"/>
        </w:rPr>
        <w:t>1</w:t>
      </w:r>
      <w:r>
        <w:rPr>
          <w:rFonts w:ascii="Arial" w:cs="Arial" w:eastAsia="Arial" w:hAnsi="Arial"/>
          <w:sz w:val="16"/>
          <w:szCs w:val="16"/>
          <w:color w:val="auto"/>
          <w:vertAlign w:val="superscript"/>
        </w:rPr>
        <w:t>)</w:t>
      </w:r>
      <w:r>
        <w:rPr>
          <w:rFonts w:ascii="Arial" w:cs="Arial" w:eastAsia="Arial" w:hAnsi="Arial"/>
          <w:sz w:val="13"/>
          <w:szCs w:val="13"/>
          <w:i w:val="1"/>
          <w:iCs w:val="1"/>
          <w:color w:val="auto"/>
        </w:rPr>
        <w:t xml:space="preserve"> See the reconciliation to the comparable U.S. GAAP measures at the end of this earnings release. </w:t>
      </w:r>
      <w:r>
        <w:rPr>
          <w:rFonts w:ascii="Arial" w:cs="Arial" w:eastAsia="Arial" w:hAnsi="Arial"/>
          <w:sz w:val="16"/>
          <w:szCs w:val="16"/>
          <w:i w:val="1"/>
          <w:iCs w:val="1"/>
          <w:color w:val="auto"/>
          <w:vertAlign w:val="superscript"/>
        </w:rPr>
        <w:t>(2)</w:t>
      </w:r>
      <w:r>
        <w:rPr>
          <w:rFonts w:ascii="Arial" w:cs="Arial" w:eastAsia="Arial" w:hAnsi="Arial"/>
          <w:sz w:val="13"/>
          <w:szCs w:val="13"/>
          <w:i w:val="1"/>
          <w:iCs w:val="1"/>
          <w:color w:val="auto"/>
        </w:rPr>
        <w:t xml:space="preserve"> In Q1 2026, the firm began reporting technology-related professional fees and servicing costs from general, administrative, and other costs to technology, occupancy, and facility costs to better align with the nature of the expenses following the outsourcing and expansion of technology capabilities through trusted vendor partnerships. Prior periods were recast to reflect this change. Amounts reclassified for the three- and nine-month periods ended September 30, 2025 were $14.2M and $43.3M, respectively.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5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Under Management</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860" w:type="dxa"/>
            <w:vAlign w:val="bottom"/>
            <w:tcBorders>
              <w:bottom w:val="single" w:sz="8" w:color="auto"/>
            </w:tcBorders>
            <w:gridSpan w:val="8"/>
            <w:shd w:val="clear" w:color="auto" w:fill="CCEEFF"/>
          </w:tcPr>
          <w:p>
            <w:pPr>
              <w:ind w:left="740"/>
              <w:spacing w:after="0"/>
              <w:rPr>
                <w:sz w:val="20"/>
                <w:szCs w:val="20"/>
                <w:color w:val="auto"/>
              </w:rPr>
            </w:pPr>
            <w:r>
              <w:rPr>
                <w:rFonts w:ascii="Arial" w:cs="Arial" w:eastAsia="Arial" w:hAnsi="Arial"/>
                <w:sz w:val="16"/>
                <w:szCs w:val="16"/>
                <w:color w:val="auto"/>
              </w:rPr>
              <w:t>Nine months ended 9/30/2026</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7" w:lineRule="exact"/>
              <w:rPr>
                <w:sz w:val="20"/>
                <w:szCs w:val="20"/>
                <w:color w:val="auto"/>
              </w:rPr>
            </w:pPr>
            <w:r>
              <w:rPr>
                <w:rFonts w:ascii="Arial" w:cs="Arial" w:eastAsia="Arial" w:hAnsi="Arial"/>
                <w:sz w:val="14"/>
                <w:szCs w:val="14"/>
                <w:color w:val="auto"/>
              </w:rPr>
              <w:t>Fixed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color w:val="auto"/>
              </w:rPr>
              <w:t>Equity</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including money</w:t>
            </w: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color w:val="auto"/>
              </w:rPr>
              <w:t>Multi-asset</w:t>
            </w:r>
            <w:r>
              <w:rPr>
                <w:rFonts w:ascii="Arial" w:cs="Arial" w:eastAsia="Arial" w:hAnsi="Arial"/>
                <w:sz w:val="18"/>
                <w:szCs w:val="18"/>
                <w:color w:val="auto"/>
                <w:vertAlign w:val="superscript"/>
              </w:rPr>
              <w:t>(2)</w:t>
            </w:r>
          </w:p>
        </w:tc>
        <w:tc>
          <w:tcPr>
            <w:tcW w:w="16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color w:val="auto"/>
              </w:rPr>
              <w:t>Alternatives</w:t>
            </w:r>
            <w:r>
              <w:rPr>
                <w:rFonts w:ascii="Arial" w:cs="Arial" w:eastAsia="Arial" w:hAnsi="Arial"/>
                <w:sz w:val="18"/>
                <w:szCs w:val="18"/>
                <w:color w:val="auto"/>
                <w:vertAlign w:val="superscript"/>
              </w:rPr>
              <w:t>(3)</w:t>
            </w:r>
          </w:p>
        </w:tc>
        <w:tc>
          <w:tcPr>
            <w:tcW w:w="280" w:type="dxa"/>
            <w:vAlign w:val="bottom"/>
          </w:tcPr>
          <w:p>
            <w:pPr>
              <w:spacing w:after="0"/>
              <w:rPr>
                <w:sz w:val="12"/>
                <w:szCs w:val="12"/>
                <w:color w:val="auto"/>
              </w:rPr>
            </w:pPr>
          </w:p>
        </w:tc>
        <w:tc>
          <w:tcPr>
            <w:tcW w:w="920" w:type="dxa"/>
            <w:vAlign w:val="bottom"/>
            <w:vMerge w:val="restart"/>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rPr>
              <w:t>market</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1,775.6</w:t>
            </w:r>
          </w:p>
        </w:tc>
        <w:tc>
          <w:tcPr>
            <w:tcW w:w="0" w:type="dxa"/>
            <w:vAlign w:val="bottom"/>
          </w:tcPr>
          <w:p>
            <w:pPr>
              <w:spacing w:after="0"/>
              <w:rPr>
                <w:sz w:val="1"/>
                <w:szCs w:val="1"/>
                <w:color w:val="auto"/>
              </w:rPr>
            </w:pPr>
          </w:p>
        </w:tc>
      </w:tr>
      <w:tr>
        <w:trPr>
          <w:trHeight w:val="75"/>
        </w:trPr>
        <w:tc>
          <w:tcPr>
            <w:tcW w:w="4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prior to manager-driven distributions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Manager-driven distributions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appreciation (depreciation) and income</w:t>
            </w:r>
            <w:r>
              <w:rPr>
                <w:rFonts w:ascii="Arial" w:cs="Arial" w:eastAsia="Arial" w:hAnsi="Arial"/>
                <w:sz w:val="21"/>
                <w:szCs w:val="21"/>
                <w:color w:val="auto"/>
                <w:vertAlign w:val="superscript"/>
              </w:rPr>
              <w:t>(4)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color w:val="auto"/>
              </w:rPr>
              <w:t>Assets under management at September 30, 2026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Firmwide AUM includes assets in which T. Rowe Price Group, Inc. and its affiliates have full discretionary authority along with managed account - model delivery assets.</w:t>
      </w:r>
    </w:p>
    <w:p>
      <w:pPr>
        <w:ind w:left="220" w:hanging="212"/>
        <w:spacing w:after="0" w:line="193" w:lineRule="auto"/>
        <w:tabs>
          <w:tab w:leader="none" w:pos="22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AUM of the multi-asset portfolios have been aggregated and presented in this category and not reported in the equity and fixed income columns.</w:t>
      </w:r>
    </w:p>
    <w:p>
      <w:pPr>
        <w:ind w:left="180" w:right="80" w:hanging="172"/>
        <w:spacing w:after="0" w:line="230" w:lineRule="auto"/>
        <w:tabs>
          <w:tab w:leader="none" w:pos="14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private equity or that have absolute return as its investment objective. Generally, only those strategies with longer than daily liquidity are included. Unfunded capital commitments that do not earn fees were $19.0 billion at September 30, 2026 and $21.6 billion at December 31, 2025, and are not reflected in the AUM above.</w:t>
      </w:r>
    </w:p>
    <w:p>
      <w:pPr>
        <w:spacing w:after="0" w:line="1" w:lineRule="exact"/>
        <w:rPr>
          <w:rFonts w:ascii="Arial" w:cs="Arial" w:eastAsia="Arial" w:hAnsi="Arial"/>
          <w:sz w:val="16"/>
          <w:szCs w:val="16"/>
          <w:i w:val="1"/>
          <w:iCs w:val="1"/>
          <w:color w:val="auto"/>
          <w:vertAlign w:val="superscript"/>
        </w:rPr>
      </w:pPr>
    </w:p>
    <w:p>
      <w:pPr>
        <w:ind w:left="140" w:hanging="132"/>
        <w:spacing w:after="0" w:line="200" w:lineRule="auto"/>
        <w:tabs>
          <w:tab w:leader="none" w:pos="14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of $1.9 billion.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Nine months ended</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19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9/30/2026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9/30/2025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r>
      <w:tr>
        <w:trPr>
          <w:trHeight w:val="200"/>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7320" w:type="dxa"/>
            <w:vAlign w:val="bottom"/>
          </w:tcPr>
          <w:p>
            <w:pPr>
              <w:ind w:left="120"/>
              <w:spacing w:after="0"/>
              <w:rPr>
                <w:sz w:val="20"/>
                <w:szCs w:val="20"/>
                <w:color w:val="auto"/>
              </w:rPr>
            </w:pPr>
            <w:r>
              <w:rPr>
                <w:rFonts w:ascii="Arial" w:cs="Arial" w:eastAsia="Arial" w:hAnsi="Arial"/>
                <w:sz w:val="16"/>
                <w:szCs w:val="16"/>
                <w:color w:val="auto"/>
              </w:rPr>
              <w:t>Equity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3,034.0</w:t>
            </w:r>
          </w:p>
        </w:tc>
        <w:tc>
          <w:tcPr>
            <w:tcW w:w="1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2,894.6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17"/>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including money market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15"/>
        </w:trPr>
        <w:tc>
          <w:tcPr>
            <w:tcW w:w="7320" w:type="dxa"/>
            <w:vAlign w:val="bottom"/>
          </w:tcPr>
          <w:p>
            <w:pPr>
              <w:ind w:left="120"/>
              <w:spacing w:after="0"/>
              <w:rPr>
                <w:sz w:val="20"/>
                <w:szCs w:val="20"/>
                <w:color w:val="auto"/>
              </w:rPr>
            </w:pPr>
            <w:r>
              <w:rPr>
                <w:rFonts w:ascii="Arial" w:cs="Arial" w:eastAsia="Arial" w:hAnsi="Arial"/>
                <w:sz w:val="16"/>
                <w:szCs w:val="16"/>
                <w:color w:val="auto"/>
              </w:rPr>
              <w:t>Multi-asset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12.4 %</w:t>
            </w:r>
          </w:p>
        </w:tc>
      </w:tr>
      <w:tr>
        <w:trPr>
          <w:trHeight w:val="217"/>
        </w:trPr>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Alternatives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183"/>
        </w:trPr>
        <w:tc>
          <w:tcPr>
            <w:tcW w:w="73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investment advisory fees</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5,224.2</w:t>
            </w:r>
          </w:p>
        </w:tc>
        <w:tc>
          <w:tcPr>
            <w:tcW w:w="100" w:type="dxa"/>
            <w:vAlign w:val="bottom"/>
          </w:tcPr>
          <w:p>
            <w:pPr>
              <w:spacing w:after="0"/>
              <w:rPr>
                <w:sz w:val="15"/>
                <w:szCs w:val="15"/>
                <w:color w:val="auto"/>
              </w:rPr>
            </w:pPr>
          </w:p>
        </w:tc>
        <w:tc>
          <w:tcPr>
            <w:tcW w:w="24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4,864.7</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7.4 %</w:t>
            </w:r>
          </w:p>
        </w:tc>
      </w:tr>
      <w:tr>
        <w:trPr>
          <w:trHeight w:val="46"/>
        </w:trPr>
        <w:tc>
          <w:tcPr>
            <w:tcW w:w="73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6"/>
        </w:trPr>
        <w:tc>
          <w:tcPr>
            <w:tcW w:w="73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Average AUM (in billions):</w:t>
            </w: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15"/>
        </w:trPr>
        <w:tc>
          <w:tcPr>
            <w:tcW w:w="7320" w:type="dxa"/>
            <w:vAlign w:val="bottom"/>
          </w:tcPr>
          <w:p>
            <w:pPr>
              <w:ind w:left="120"/>
              <w:spacing w:after="0"/>
              <w:rPr>
                <w:sz w:val="20"/>
                <w:szCs w:val="20"/>
                <w:color w:val="auto"/>
              </w:rPr>
            </w:pPr>
            <w:r>
              <w:rPr>
                <w:rFonts w:ascii="Arial" w:cs="Arial" w:eastAsia="Arial" w:hAnsi="Arial"/>
                <w:sz w:val="16"/>
                <w:szCs w:val="16"/>
                <w:color w:val="auto"/>
              </w:rPr>
              <w:t>Fixed income, including money market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10.5 %</w:t>
            </w:r>
          </w:p>
        </w:tc>
      </w:tr>
      <w:tr>
        <w:trPr>
          <w:trHeight w:val="217"/>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Multi-asset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r>
      <w:tr>
        <w:trPr>
          <w:trHeight w:val="215"/>
        </w:trPr>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Alternatives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12.9 %</w:t>
            </w:r>
          </w:p>
        </w:tc>
      </w:tr>
      <w:tr>
        <w:trPr>
          <w:trHeight w:val="23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average AUM</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11.5 %</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65"/>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Non-Operating Income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gridSpan w:val="6"/>
            <w:shd w:val="clear" w:color="auto" w:fill="CCEEFF"/>
          </w:tcPr>
          <w:p>
            <w:pPr>
              <w:jc w:val="right"/>
              <w:ind w:right="560"/>
              <w:spacing w:after="0"/>
              <w:rPr>
                <w:sz w:val="20"/>
                <w:szCs w:val="20"/>
                <w:color w:val="auto"/>
              </w:rPr>
            </w:pPr>
            <w:r>
              <w:rPr>
                <w:rFonts w:ascii="Arial" w:cs="Arial" w:eastAsia="Arial" w:hAnsi="Arial"/>
                <w:sz w:val="14"/>
                <w:szCs w:val="14"/>
                <w:color w:val="auto"/>
              </w:rPr>
              <w:t>Nine months ended</w:t>
            </w:r>
          </w:p>
        </w:tc>
      </w:tr>
      <w:tr>
        <w:trPr>
          <w:trHeight w:val="19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9/30/2026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9/30/2025</w:t>
            </w:r>
          </w:p>
        </w:tc>
      </w:tr>
      <w:tr>
        <w:trPr>
          <w:trHeight w:val="200"/>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 (losses) from non-consolidated investment products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7320" w:type="dxa"/>
            <w:vAlign w:val="bottom"/>
          </w:tcPr>
          <w:p>
            <w:pPr>
              <w:ind w:left="140"/>
              <w:spacing w:after="0"/>
              <w:rPr>
                <w:sz w:val="20"/>
                <w:szCs w:val="20"/>
                <w:color w:val="auto"/>
              </w:rPr>
            </w:pPr>
            <w:r>
              <w:rPr>
                <w:rFonts w:ascii="Arial" w:cs="Arial" w:eastAsia="Arial" w:hAnsi="Arial"/>
                <w:sz w:val="16"/>
                <w:szCs w:val="16"/>
                <w:color w:val="auto"/>
              </w:rPr>
              <w:t>Cash and discretionary investments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 income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r>
      <w:tr>
        <w:trPr>
          <w:trHeight w:val="215"/>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Market-related gains (losses) and equity in earnings (losses)</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(24.6)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r>
      <w:tr>
        <w:trPr>
          <w:trHeight w:val="210"/>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net gains (losses) from cash and discretionary investments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131.9</w:t>
            </w:r>
          </w:p>
        </w:tc>
      </w:tr>
      <w:tr>
        <w:trPr>
          <w:trHeight w:val="215"/>
        </w:trPr>
        <w:tc>
          <w:tcPr>
            <w:tcW w:w="7320" w:type="dxa"/>
            <w:vAlign w:val="bottom"/>
          </w:tcPr>
          <w:p>
            <w:pPr>
              <w:ind w:left="140"/>
              <w:spacing w:after="0"/>
              <w:rPr>
                <w:sz w:val="20"/>
                <w:szCs w:val="20"/>
                <w:color w:val="auto"/>
              </w:rPr>
            </w:pPr>
            <w:r>
              <w:rPr>
                <w:rFonts w:ascii="Arial" w:cs="Arial" w:eastAsia="Arial" w:hAnsi="Arial"/>
                <w:sz w:val="16"/>
                <w:szCs w:val="16"/>
                <w:color w:val="auto"/>
              </w:rPr>
              <w:t>Seed capital investments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 income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Market-related gains (losses) and equity in earnings (losses)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7"/>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gains (losses) recognized upon deconsolidation</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5"/>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Investments used to hedge the deferred compensation liabilities</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96.7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w:t>
            </w: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net gains (losses) from non-consolidated investment products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291.3</w:t>
            </w:r>
          </w:p>
        </w:tc>
      </w:tr>
      <w:tr>
        <w:trPr>
          <w:trHeight w:val="215"/>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investment income (loss)</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gains (losses) on investments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263.6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359.0</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Net gains (losses) on consolidated investment products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73.2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183.1</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 including foreign currency gains (losses)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(loss)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338.4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544.6</w:t>
            </w:r>
          </w:p>
        </w:tc>
      </w:tr>
      <w:tr>
        <w:trPr>
          <w:trHeight w:val="46"/>
        </w:trPr>
        <w:tc>
          <w:tcPr>
            <w:tcW w:w="7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6"/>
        </w:trPr>
        <w:tc>
          <w:tcPr>
            <w:tcW w:w="7320" w:type="dxa"/>
            <w:vAlign w:val="bottom"/>
            <w:tcBorders>
              <w:top w:val="single" w:sz="8" w:color="CCEEFF"/>
            </w:tcBorders>
          </w:tcPr>
          <w:p>
            <w:pPr>
              <w:ind w:left="20"/>
              <w:spacing w:after="0" w:line="216" w:lineRule="exact"/>
              <w:rPr>
                <w:sz w:val="20"/>
                <w:szCs w:val="20"/>
                <w:color w:val="auto"/>
              </w:rPr>
            </w:pPr>
            <w:r>
              <w:rPr>
                <w:rFonts w:ascii="Arial" w:cs="Arial" w:eastAsia="Arial" w:hAnsi="Arial"/>
                <w:sz w:val="16"/>
                <w:szCs w:val="16"/>
                <w:b w:val="1"/>
                <w:bCs w:val="1"/>
                <w:color w:val="auto"/>
              </w:rPr>
              <w:t>Adjusted non-operating income (loss)</w:t>
            </w:r>
            <w:r>
              <w:rPr>
                <w:rFonts w:ascii="Arial" w:cs="Arial" w:eastAsia="Arial" w:hAnsi="Arial"/>
                <w:sz w:val="21"/>
                <w:szCs w:val="21"/>
                <w:b w:val="1"/>
                <w:bCs w:val="1"/>
                <w:color w:val="auto"/>
                <w:vertAlign w:val="superscript"/>
              </w:rPr>
              <w:t>(1)</w:t>
            </w: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6"/>
                <w:szCs w:val="16"/>
                <w:b w:val="1"/>
                <w:bCs w:val="1"/>
                <w:color w:val="auto"/>
              </w:rPr>
              <w:t>87.4</w:t>
            </w:r>
          </w:p>
        </w:tc>
        <w:tc>
          <w:tcPr>
            <w:tcW w:w="280" w:type="dxa"/>
            <w:vAlign w:val="bottom"/>
            <w:tcBorders>
              <w:top w:val="single" w:sz="8" w:color="CCEEFF"/>
            </w:tcBorders>
            <w:gridSpan w:val="3"/>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132.8</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7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86"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this earnings release.</w:t>
      </w:r>
    </w:p>
    <w:p>
      <w:pPr>
        <w:sectPr>
          <w:pgSz w:w="11900" w:h="16838" w:orient="portrait"/>
          <w:cols w:equalWidth="0" w:num="1">
            <w:col w:w="11240"/>
          </w:cols>
          <w:pgMar w:left="320" w:top="1032"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32" w:right="339" w:bottom="1440" w:gutter="0" w:footer="0" w:header="0"/>
          <w:type w:val="continuous"/>
        </w:sectPr>
      </w:pPr>
    </w:p>
    <w:bookmarkStart w:id="12" w:name="page13"/>
    <w:bookmarkEnd w:id="12"/>
    <w:p>
      <w:pPr>
        <w:ind w:right="700"/>
        <w:spacing w:after="0" w:line="396" w:lineRule="auto"/>
        <w:rPr>
          <w:sz w:val="20"/>
          <w:szCs w:val="20"/>
          <w:color w:val="auto"/>
        </w:rPr>
      </w:pPr>
      <w:r>
        <w:rPr>
          <w:rFonts w:ascii="Arial" w:cs="Arial" w:eastAsia="Arial" w:hAnsi="Arial"/>
          <w:sz w:val="18"/>
          <w:szCs w:val="18"/>
          <w:color w:val="auto"/>
        </w:rPr>
        <w:t>The following table summarizes the cash flows for the nine months ended September 30, 2026 that are attributable to T. Rowe Price, consolidated investment products, and the related eliminations required.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500"/>
              <w:spacing w:after="0"/>
              <w:rPr>
                <w:sz w:val="20"/>
                <w:szCs w:val="20"/>
                <w:color w:val="auto"/>
              </w:rPr>
            </w:pPr>
            <w:r>
              <w:rPr>
                <w:rFonts w:ascii="Arial" w:cs="Arial" w:eastAsia="Arial" w:hAnsi="Arial"/>
                <w:sz w:val="14"/>
                <w:szCs w:val="14"/>
                <w:color w:val="auto"/>
              </w:rPr>
              <w:t>Nine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9/30/2026</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rPr>
              <w:t>Cash flow</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220"/>
              <w:spacing w:after="0" w:line="151" w:lineRule="exact"/>
              <w:rPr>
                <w:sz w:val="20"/>
                <w:szCs w:val="20"/>
                <w:color w:val="auto"/>
              </w:rPr>
            </w:pPr>
            <w:r>
              <w:rPr>
                <w:rFonts w:ascii="Arial" w:cs="Arial" w:eastAsia="Arial" w:hAnsi="Arial"/>
                <w:sz w:val="14"/>
                <w:szCs w:val="14"/>
                <w:color w:val="auto"/>
              </w:rPr>
              <w:t>Cash flow</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220"/>
              <w:spacing w:after="0" w:line="145" w:lineRule="exact"/>
              <w:rPr>
                <w:sz w:val="20"/>
                <w:szCs w:val="20"/>
                <w:color w:val="auto"/>
              </w:rPr>
            </w:pPr>
            <w:r>
              <w:rPr>
                <w:rFonts w:ascii="Arial" w:cs="Arial" w:eastAsia="Arial" w:hAnsi="Arial"/>
                <w:sz w:val="14"/>
                <w:szCs w:val="14"/>
                <w:color w:val="auto"/>
              </w:rPr>
              <w:t>attributable to</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attributable to 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rPr>
              <w:t>consolidated</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color w:val="auto"/>
              </w:rPr>
              <w:t>Rowe Price</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color w:val="auto"/>
              </w:rPr>
              <w:t>investment</w:t>
            </w:r>
          </w:p>
        </w:tc>
        <w:tc>
          <w:tcPr>
            <w:tcW w:w="3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Elims</w:t>
            </w:r>
          </w:p>
        </w:tc>
        <w:tc>
          <w:tcPr>
            <w:tcW w:w="1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89"/>
        </w:trPr>
        <w:tc>
          <w:tcPr>
            <w:tcW w:w="61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Group, Inc.</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rPr>
              <w:t>products</w:t>
            </w:r>
          </w:p>
        </w:tc>
        <w:tc>
          <w:tcPr>
            <w:tcW w:w="3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16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1,776.6</w:t>
            </w:r>
          </w:p>
        </w:tc>
        <w:tc>
          <w:tcPr>
            <w:tcW w:w="0" w:type="dxa"/>
            <w:vAlign w:val="bottom"/>
          </w:tcPr>
          <w:p>
            <w:pPr>
              <w:spacing w:after="0"/>
              <w:rPr>
                <w:sz w:val="1"/>
                <w:szCs w:val="1"/>
                <w:color w:val="auto"/>
              </w:rPr>
            </w:pPr>
          </w:p>
        </w:tc>
      </w:tr>
      <w:tr>
        <w:trPr>
          <w:trHeight w:val="153"/>
        </w:trPr>
        <w:tc>
          <w:tcPr>
            <w:tcW w:w="6160" w:type="dxa"/>
            <w:vAlign w:val="bottom"/>
          </w:tcPr>
          <w:p>
            <w:pPr>
              <w:ind w:left="140"/>
              <w:spacing w:after="0" w:line="153" w:lineRule="exact"/>
              <w:rPr>
                <w:sz w:val="20"/>
                <w:szCs w:val="20"/>
                <w:color w:val="auto"/>
              </w:rPr>
            </w:pPr>
            <w:r>
              <w:rPr>
                <w:rFonts w:ascii="Arial" w:cs="Arial" w:eastAsia="Arial" w:hAnsi="Arial"/>
                <w:sz w:val="14"/>
                <w:szCs w:val="14"/>
                <w:color w:val="auto"/>
              </w:rPr>
              <w:t>Adjustments to reconcile net income (loss) to net cash provided by (used in) operating</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160" w:type="dxa"/>
            <w:vAlign w:val="bottom"/>
          </w:tcPr>
          <w:p>
            <w:pPr>
              <w:ind w:left="140"/>
              <w:spacing w:after="0"/>
              <w:rPr>
                <w:sz w:val="20"/>
                <w:szCs w:val="20"/>
                <w:color w:val="auto"/>
              </w:rPr>
            </w:pPr>
            <w:r>
              <w:rPr>
                <w:rFonts w:ascii="Arial" w:cs="Arial" w:eastAsia="Arial" w:hAnsi="Arial"/>
                <w:sz w:val="14"/>
                <w:szCs w:val="14"/>
                <w:color w:val="auto"/>
              </w:rPr>
              <w:t>activities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amortization and impairments of property, equipment and software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r>
        <w:trPr>
          <w:trHeight w:val="198"/>
        </w:trPr>
        <w:tc>
          <w:tcPr>
            <w:tcW w:w="6160" w:type="dxa"/>
            <w:vAlign w:val="bottom"/>
          </w:tcPr>
          <w:p>
            <w:pPr>
              <w:ind w:left="220"/>
              <w:spacing w:after="0"/>
              <w:rPr>
                <w:sz w:val="20"/>
                <w:szCs w:val="20"/>
                <w:color w:val="auto"/>
              </w:rPr>
            </w:pPr>
            <w:r>
              <w:rPr>
                <w:rFonts w:ascii="Arial" w:cs="Arial" w:eastAsia="Arial" w:hAnsi="Arial"/>
                <w:sz w:val="14"/>
                <w:szCs w:val="14"/>
                <w:color w:val="auto"/>
              </w:rPr>
              <w:t>Amortization and impairments of acquisition-related assets and retention arrangements</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198"/>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(gains) losses recognized on investments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(239.1)</w:t>
            </w:r>
          </w:p>
        </w:tc>
        <w:tc>
          <w:tcPr>
            <w:tcW w:w="0" w:type="dxa"/>
            <w:vAlign w:val="bottom"/>
          </w:tcPr>
          <w:p>
            <w:pPr>
              <w:spacing w:after="0"/>
              <w:rPr>
                <w:sz w:val="1"/>
                <w:szCs w:val="1"/>
                <w:color w:val="auto"/>
              </w:rPr>
            </w:pPr>
          </w:p>
        </w:tc>
      </w:tr>
      <w:tr>
        <w:trPr>
          <w:trHeight w:val="200"/>
        </w:trPr>
        <w:tc>
          <w:tcPr>
            <w:tcW w:w="6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non-cash adjustments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w:t>
            </w:r>
          </w:p>
        </w:tc>
        <w:tc>
          <w:tcPr>
            <w:tcW w:w="0" w:type="dxa"/>
            <w:vAlign w:val="bottom"/>
          </w:tcPr>
          <w:p>
            <w:pPr>
              <w:spacing w:after="0"/>
              <w:rPr>
                <w:sz w:val="1"/>
                <w:szCs w:val="1"/>
                <w:color w:val="auto"/>
              </w:rPr>
            </w:pPr>
          </w:p>
        </w:tc>
      </w:tr>
      <w:tr>
        <w:trPr>
          <w:trHeight w:val="153"/>
        </w:trPr>
        <w:tc>
          <w:tcPr>
            <w:tcW w:w="6160" w:type="dxa"/>
            <w:vAlign w:val="bottom"/>
          </w:tcPr>
          <w:p>
            <w:pPr>
              <w:ind w:left="220"/>
              <w:spacing w:after="0" w:line="153" w:lineRule="exact"/>
              <w:rPr>
                <w:sz w:val="20"/>
                <w:szCs w:val="20"/>
                <w:color w:val="auto"/>
              </w:rPr>
            </w:pPr>
            <w:r>
              <w:rPr>
                <w:rFonts w:ascii="Arial" w:cs="Arial" w:eastAsia="Arial" w:hAnsi="Arial"/>
                <w:sz w:val="14"/>
                <w:szCs w:val="14"/>
                <w:color w:val="auto"/>
              </w:rPr>
              <w:t>Net redemptions from investment products used to economically hedge deferred</w:t>
            </w:r>
          </w:p>
        </w:tc>
        <w:tc>
          <w:tcPr>
            <w:tcW w:w="160" w:type="dxa"/>
            <w:vAlign w:val="bottom"/>
          </w:tcPr>
          <w:p>
            <w:pPr>
              <w:spacing w:after="0"/>
              <w:rPr>
                <w:sz w:val="13"/>
                <w:szCs w:val="13"/>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60.8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85"/>
        </w:trPr>
        <w:tc>
          <w:tcPr>
            <w:tcW w:w="6160" w:type="dxa"/>
            <w:vAlign w:val="bottom"/>
          </w:tcPr>
          <w:p>
            <w:pPr>
              <w:ind w:left="220"/>
              <w:spacing w:after="0"/>
              <w:rPr>
                <w:sz w:val="20"/>
                <w:szCs w:val="20"/>
                <w:color w:val="auto"/>
              </w:rPr>
            </w:pPr>
            <w:r>
              <w:rPr>
                <w:rFonts w:ascii="Arial" w:cs="Arial" w:eastAsia="Arial" w:hAnsi="Arial"/>
                <w:sz w:val="14"/>
                <w:szCs w:val="14"/>
                <w:color w:val="auto"/>
              </w:rPr>
              <w:t>compensation liabilities</w:t>
            </w: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change in trading securities held by consolidated investment products</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(982.4)</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changes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772.6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807.2</w:t>
            </w:r>
          </w:p>
        </w:tc>
        <w:tc>
          <w:tcPr>
            <w:tcW w:w="0" w:type="dxa"/>
            <w:vAlign w:val="bottom"/>
          </w:tcPr>
          <w:p>
            <w:pPr>
              <w:spacing w:after="0"/>
              <w:rPr>
                <w:sz w:val="1"/>
                <w:szCs w:val="1"/>
                <w:color w:val="auto"/>
              </w:rPr>
            </w:pPr>
          </w:p>
        </w:tc>
      </w:tr>
      <w:tr>
        <w:trPr>
          <w:trHeight w:val="20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1,884.9</w:t>
            </w:r>
          </w:p>
        </w:tc>
        <w:tc>
          <w:tcPr>
            <w:tcW w:w="0" w:type="dxa"/>
            <w:vAlign w:val="bottom"/>
          </w:tcPr>
          <w:p>
            <w:pPr>
              <w:spacing w:after="0"/>
              <w:rPr>
                <w:sz w:val="1"/>
                <w:szCs w:val="1"/>
                <w:color w:val="auto"/>
              </w:rPr>
            </w:pPr>
          </w:p>
        </w:tc>
      </w:tr>
      <w:tr>
        <w:trPr>
          <w:trHeight w:val="198"/>
        </w:trPr>
        <w:tc>
          <w:tcPr>
            <w:tcW w:w="616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(714.9)</w:t>
            </w: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(700.8)</w:t>
            </w:r>
          </w:p>
        </w:tc>
        <w:tc>
          <w:tcPr>
            <w:tcW w:w="0" w:type="dxa"/>
            <w:vAlign w:val="bottom"/>
          </w:tcPr>
          <w:p>
            <w:pPr>
              <w:spacing w:after="0"/>
              <w:rPr>
                <w:sz w:val="1"/>
                <w:szCs w:val="1"/>
                <w:color w:val="auto"/>
              </w:rPr>
            </w:pPr>
          </w:p>
        </w:tc>
      </w:tr>
      <w:tr>
        <w:trPr>
          <w:trHeight w:val="153"/>
        </w:trPr>
        <w:tc>
          <w:tcPr>
            <w:tcW w:w="6160" w:type="dxa"/>
            <w:vAlign w:val="bottom"/>
          </w:tcPr>
          <w:p>
            <w:pPr>
              <w:ind w:left="20"/>
              <w:spacing w:after="0" w:line="153" w:lineRule="exact"/>
              <w:rPr>
                <w:sz w:val="20"/>
                <w:szCs w:val="20"/>
                <w:color w:val="auto"/>
              </w:rPr>
            </w:pPr>
            <w:r>
              <w:rPr>
                <w:rFonts w:ascii="Arial" w:cs="Arial" w:eastAsia="Arial" w:hAnsi="Arial"/>
                <w:sz w:val="14"/>
                <w:szCs w:val="14"/>
                <w:color w:val="auto"/>
              </w:rPr>
              <w:t>Effect of exchange rate changes on cash and cash equivalents of consolidated investment</w:t>
            </w:r>
          </w:p>
        </w:tc>
        <w:tc>
          <w:tcPr>
            <w:tcW w:w="160" w:type="dxa"/>
            <w:vAlign w:val="bottom"/>
          </w:tcPr>
          <w:p>
            <w:pPr>
              <w:spacing w:after="0"/>
              <w:rPr>
                <w:sz w:val="13"/>
                <w:szCs w:val="13"/>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 during period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3,378.2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3,417.3</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Unaudited Condensed Consolidated Balance Sheet Information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 and accrued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 of consolidated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 and intangible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compensation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2" w:lineRule="exact"/>
        <w:rPr>
          <w:sz w:val="20"/>
          <w:szCs w:val="20"/>
          <w:color w:val="auto"/>
        </w:rPr>
      </w:pPr>
    </w:p>
    <w:p>
      <w:pPr>
        <w:ind w:left="20" w:right="380"/>
        <w:spacing w:after="0" w:line="252" w:lineRule="auto"/>
        <w:rPr>
          <w:sz w:val="20"/>
          <w:szCs w:val="20"/>
          <w:color w:val="auto"/>
        </w:rPr>
      </w:pPr>
      <w:r>
        <w:rPr>
          <w:rFonts w:ascii="Arial" w:cs="Arial" w:eastAsia="Arial" w:hAnsi="Arial"/>
          <w:sz w:val="14"/>
          <w:szCs w:val="14"/>
          <w:color w:val="auto"/>
        </w:rPr>
        <w:t>Total other liabilities, includes $554.4 million at September 30, 2026 and $21.3 million at December 31, 2025, from consolidated investment products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Non-controlling interests</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20"/>
        <w:spacing w:after="0" w:line="253" w:lineRule="auto"/>
        <w:rPr>
          <w:sz w:val="20"/>
          <w:szCs w:val="20"/>
          <w:color w:val="auto"/>
        </w:rPr>
      </w:pPr>
      <w:r>
        <w:rPr>
          <w:rFonts w:ascii="Arial" w:cs="Arial" w:eastAsia="Arial" w:hAnsi="Arial"/>
          <w:sz w:val="14"/>
          <w:szCs w:val="14"/>
          <w:b w:val="1"/>
          <w:bCs w:val="1"/>
          <w:color w:val="auto"/>
        </w:rPr>
        <w:t>Stockholders' equity attributable to T. Rowe Price Group, Inc., 213.3 common shares outstanding at September 30, 2026 and 218.6 common shares outstanding at December 31, 2025</w:t>
      </w:r>
    </w:p>
    <w:p>
      <w:pPr>
        <w:spacing w:after="0" w:line="65"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This includes both redeemable and non-redeemable non-controlling interest in consolidated entities.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At</w:t>
            </w:r>
          </w:p>
        </w:tc>
        <w:tc>
          <w:tcPr>
            <w:tcW w:w="1000" w:type="dxa"/>
            <w:vAlign w:val="bottom"/>
            <w:tcBorders>
              <w:bottom w:val="single" w:sz="8" w:color="auto"/>
            </w:tcBorders>
          </w:tcPr>
          <w:p>
            <w:pPr>
              <w:spacing w:after="0"/>
              <w:rPr>
                <w:sz w:val="15"/>
                <w:szCs w:val="15"/>
                <w:color w:val="auto"/>
              </w:rPr>
            </w:pPr>
          </w:p>
        </w:tc>
      </w:tr>
      <w:tr>
        <w:trPr>
          <w:trHeight w:val="183"/>
        </w:trPr>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9/30/2026</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12/31/2025</w:t>
            </w:r>
          </w:p>
        </w:tc>
      </w:tr>
      <w:tr>
        <w:trPr>
          <w:trHeight w:val="19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3,774.3</w:t>
            </w: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3,378.2</w:t>
            </w:r>
          </w:p>
        </w:tc>
      </w:tr>
      <w:tr>
        <w:trPr>
          <w:trHeight w:val="203"/>
        </w:trPr>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931.2</w:t>
            </w:r>
          </w:p>
        </w:tc>
      </w:tr>
      <w:tr>
        <w:trPr>
          <w:trHeight w:val="202"/>
        </w:trPr>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4,185.2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3,325.2</w:t>
            </w:r>
          </w:p>
        </w:tc>
      </w:tr>
      <w:tr>
        <w:trPr>
          <w:trHeight w:val="203"/>
        </w:trPr>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2,624.0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1,951.0</w:t>
            </w:r>
          </w:p>
        </w:tc>
      </w:tr>
      <w:tr>
        <w:trPr>
          <w:trHeight w:val="203"/>
        </w:trPr>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359.8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382.9</w:t>
            </w:r>
          </w:p>
        </w:tc>
      </w:tr>
      <w:tr>
        <w:trPr>
          <w:trHeight w:val="203"/>
        </w:trPr>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804.9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845.3</w:t>
            </w:r>
          </w:p>
        </w:tc>
      </w:tr>
      <w:tr>
        <w:trPr>
          <w:trHeight w:val="203"/>
        </w:trPr>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2,875.3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2,917.0</w:t>
            </w:r>
          </w:p>
        </w:tc>
      </w:tr>
      <w:tr>
        <w:trPr>
          <w:trHeight w:val="207"/>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573.2</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611.0</w:t>
            </w:r>
          </w:p>
        </w:tc>
      </w:tr>
      <w:tr>
        <w:trPr>
          <w:trHeight w:val="198"/>
        </w:trPr>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16,148.9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14,341.8</w:t>
            </w:r>
          </w:p>
        </w:tc>
      </w:tr>
      <w:tr>
        <w:trPr>
          <w:trHeight w:val="196"/>
        </w:trPr>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1,255.4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1,176.8</w:t>
            </w:r>
          </w:p>
        </w:tc>
      </w:tr>
      <w:tr>
        <w:trPr>
          <w:trHeight w:val="338"/>
        </w:trPr>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2,280.9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1,111.8</w:t>
            </w:r>
          </w:p>
        </w:tc>
      </w:tr>
      <w:tr>
        <w:trPr>
          <w:trHeight w:val="206"/>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1,193.1</w:t>
            </w:r>
          </w:p>
        </w:tc>
      </w:tr>
      <w:tr>
        <w:trPr>
          <w:trHeight w:val="294"/>
        </w:trPr>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11,370.5</w:t>
            </w:r>
          </w:p>
        </w:tc>
        <w:tc>
          <w:tcPr>
            <w:tcW w:w="3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10,860.1</w:t>
            </w:r>
          </w:p>
        </w:tc>
      </w:tr>
      <w:tr>
        <w:trPr>
          <w:trHeight w:val="21"/>
        </w:trPr>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442" w:lineRule="exact"/>
        <w:rPr>
          <w:sz w:val="20"/>
          <w:szCs w:val="20"/>
          <w:color w:val="auto"/>
        </w:rPr>
      </w:pPr>
    </w:p>
    <w:p>
      <w:pPr>
        <w:sectPr>
          <w:pgSz w:w="11900" w:h="16838" w:orient="portrait"/>
          <w:cols w:equalWidth="0" w:num="2">
            <w:col w:w="8500" w:space="240"/>
            <w:col w:w="2500"/>
          </w:cols>
          <w:pgMar w:left="320" w:top="10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066" w:right="339" w:bottom="1440" w:gutter="0" w:footer="0" w:header="0"/>
          <w:type w:val="continuous"/>
        </w:sectPr>
      </w:pPr>
    </w:p>
    <w:bookmarkStart w:id="13" w:name="page14"/>
    <w:bookmarkEnd w:id="13"/>
    <w:p>
      <w:pPr>
        <w:ind w:right="480"/>
        <w:spacing w:after="0" w:line="396" w:lineRule="auto"/>
        <w:rPr>
          <w:sz w:val="20"/>
          <w:szCs w:val="20"/>
          <w:color w:val="auto"/>
        </w:rPr>
      </w:pPr>
      <w:r>
        <w:rPr>
          <w:rFonts w:ascii="Arial" w:cs="Arial" w:eastAsia="Arial" w:hAnsi="Arial"/>
          <w:sz w:val="18"/>
          <w:szCs w:val="18"/>
          <w:color w:val="auto"/>
        </w:rPr>
        <w:t>The following tables detail changes in the firm's investments in affiliated private investment funds - carried interest and non-controlling interest in consolidated entities.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in affiliated private investment funds - carried interest</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color w:val="auto"/>
              </w:rPr>
              <w:t>Three months ended</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gridSpan w:val="4"/>
            <w:shd w:val="clear" w:color="auto" w:fill="CCEEFF"/>
          </w:tcPr>
          <w:p>
            <w:pPr>
              <w:jc w:val="right"/>
              <w:ind w:right="548"/>
              <w:spacing w:after="0"/>
              <w:rPr>
                <w:sz w:val="20"/>
                <w:szCs w:val="20"/>
                <w:color w:val="auto"/>
              </w:rPr>
            </w:pPr>
            <w:r>
              <w:rPr>
                <w:rFonts w:ascii="Arial" w:cs="Arial" w:eastAsia="Arial" w:hAnsi="Arial"/>
                <w:sz w:val="14"/>
                <w:szCs w:val="14"/>
                <w:color w:val="auto"/>
              </w:rPr>
              <w:t>Nine months ended</w:t>
            </w:r>
          </w:p>
        </w:tc>
      </w:tr>
      <w:tr>
        <w:trPr>
          <w:trHeight w:val="192"/>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9/30/2026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9/30/2025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6/30/2026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9/30/2026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9/30/2025</w:t>
            </w:r>
          </w:p>
        </w:tc>
      </w:tr>
      <w:tr>
        <w:trPr>
          <w:trHeight w:val="200"/>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381.1</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426.9</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Capital allocation-based income:</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7"/>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accrued carried interest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r>
      <w:tr>
        <w:trPr>
          <w:trHeight w:val="198"/>
        </w:trPr>
        <w:tc>
          <w:tcPr>
            <w:tcW w:w="4800" w:type="dxa"/>
            <w:vAlign w:val="bottom"/>
          </w:tcPr>
          <w:p>
            <w:pPr>
              <w:ind w:left="180"/>
              <w:spacing w:after="0"/>
              <w:rPr>
                <w:sz w:val="20"/>
                <w:szCs w:val="20"/>
                <w:color w:val="auto"/>
              </w:rPr>
            </w:pPr>
            <w:r>
              <w:rPr>
                <w:rFonts w:ascii="Arial" w:cs="Arial" w:eastAsia="Arial" w:hAnsi="Arial"/>
                <w:sz w:val="14"/>
                <w:szCs w:val="14"/>
                <w:color w:val="auto"/>
              </w:rPr>
              <w:t>Acquisition-related amortization and impairments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(61.5)</w:t>
            </w:r>
          </w:p>
        </w:tc>
      </w:tr>
      <w:tr>
        <w:trPr>
          <w:trHeight w:val="20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distributions</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w:t>
            </w:r>
          </w:p>
        </w:tc>
      </w:tr>
      <w:tr>
        <w:trPr>
          <w:trHeight w:val="200"/>
        </w:trPr>
        <w:tc>
          <w:tcPr>
            <w:tcW w:w="4800" w:type="dxa"/>
            <w:vAlign w:val="bottom"/>
          </w:tcPr>
          <w:p>
            <w:pPr>
              <w:ind w:left="20"/>
              <w:spacing w:after="0"/>
              <w:rPr>
                <w:sz w:val="20"/>
                <w:szCs w:val="20"/>
                <w:color w:val="auto"/>
              </w:rPr>
            </w:pPr>
            <w:r>
              <w:rPr>
                <w:rFonts w:ascii="Arial" w:cs="Arial" w:eastAsia="Arial" w:hAnsi="Arial"/>
                <w:sz w:val="14"/>
                <w:szCs w:val="14"/>
                <w:color w:val="auto"/>
              </w:rPr>
              <w:t>Balance at end of period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413.1</w:t>
            </w:r>
          </w:p>
        </w:tc>
      </w:tr>
      <w:tr>
        <w:trPr>
          <w:trHeight w:val="21"/>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358"/>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4"/>
          </w:tcPr>
          <w:p>
            <w:pPr>
              <w:spacing w:after="0"/>
              <w:rPr>
                <w:sz w:val="24"/>
                <w:szCs w:val="24"/>
                <w:color w:val="auto"/>
              </w:rPr>
            </w:pPr>
          </w:p>
        </w:tc>
      </w:tr>
      <w:tr>
        <w:trPr>
          <w:trHeight w:val="20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Non-controlling interests (NCI) in consolidated entities</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color w:val="auto"/>
              </w:rPr>
              <w:t>Three months ended</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gridSpan w:val="4"/>
            <w:shd w:val="clear" w:color="auto" w:fill="CCEEFF"/>
          </w:tcPr>
          <w:p>
            <w:pPr>
              <w:jc w:val="right"/>
              <w:ind w:right="548"/>
              <w:spacing w:after="0"/>
              <w:rPr>
                <w:sz w:val="20"/>
                <w:szCs w:val="20"/>
                <w:color w:val="auto"/>
              </w:rPr>
            </w:pPr>
            <w:r>
              <w:rPr>
                <w:rFonts w:ascii="Arial" w:cs="Arial" w:eastAsia="Arial" w:hAnsi="Arial"/>
                <w:sz w:val="14"/>
                <w:szCs w:val="14"/>
                <w:color w:val="auto"/>
              </w:rPr>
              <w:t>Nine months ended</w:t>
            </w:r>
          </w:p>
        </w:tc>
      </w:tr>
      <w:tr>
        <w:trPr>
          <w:trHeight w:val="192"/>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9/30/2026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9/30/2025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6/30/2026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9/30/2026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9/30/2025</w:t>
            </w:r>
          </w:p>
        </w:tc>
      </w:tr>
      <w:tr>
        <w:trPr>
          <w:trHeight w:val="200"/>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161.0</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Capital allocation-based income compensation:</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7"/>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accrued carried interest compensation</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198"/>
        </w:trPr>
        <w:tc>
          <w:tcPr>
            <w:tcW w:w="4800" w:type="dxa"/>
            <w:vAlign w:val="bottom"/>
          </w:tcPr>
          <w:p>
            <w:pPr>
              <w:ind w:left="180"/>
              <w:spacing w:after="0"/>
              <w:rPr>
                <w:sz w:val="20"/>
                <w:szCs w:val="20"/>
                <w:color w:val="auto"/>
              </w:rPr>
            </w:pPr>
            <w:r>
              <w:rPr>
                <w:rFonts w:ascii="Arial" w:cs="Arial" w:eastAsia="Arial" w:hAnsi="Arial"/>
                <w:sz w:val="14"/>
                <w:szCs w:val="14"/>
                <w:color w:val="auto"/>
              </w:rPr>
              <w:t>Acquisition-related amortization and impairments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20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contributions (distributions)</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00"/>
        </w:trPr>
        <w:tc>
          <w:tcPr>
            <w:tcW w:w="4800" w:type="dxa"/>
            <w:vAlign w:val="bottom"/>
          </w:tcPr>
          <w:p>
            <w:pPr>
              <w:ind w:left="20"/>
              <w:spacing w:after="0"/>
              <w:rPr>
                <w:sz w:val="20"/>
                <w:szCs w:val="20"/>
                <w:color w:val="auto"/>
              </w:rPr>
            </w:pPr>
            <w:r>
              <w:rPr>
                <w:rFonts w:ascii="Arial" w:cs="Arial" w:eastAsia="Arial" w:hAnsi="Arial"/>
                <w:sz w:val="14"/>
                <w:szCs w:val="14"/>
                <w:color w:val="auto"/>
              </w:rPr>
              <w:t>Balance at end of period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184.7</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161.0</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184.7</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170.0</w:t>
            </w: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360" w:lineRule="exact"/>
        <w:rPr>
          <w:sz w:val="20"/>
          <w:szCs w:val="20"/>
          <w:color w:val="auto"/>
        </w:rPr>
      </w:pPr>
    </w:p>
    <w:p>
      <w:pPr>
        <w:spacing w:after="0" w:line="369" w:lineRule="auto"/>
        <w:rPr>
          <w:sz w:val="20"/>
          <w:szCs w:val="20"/>
          <w:color w:val="auto"/>
        </w:rPr>
      </w:pPr>
      <w:r>
        <w:rPr>
          <w:rFonts w:ascii="Arial" w:cs="Arial" w:eastAsia="Arial" w:hAnsi="Arial"/>
          <w:sz w:val="18"/>
          <w:szCs w:val="18"/>
          <w:color w:val="auto"/>
        </w:rPr>
        <w:t>The firm believes the non-GAAP financial measures below provide relevant and meaningful information to investors about its core operating results. These measures have been established to increase transparency in evaluating the firm's core business, comparing current results with prior-period results, and making more meaningful comparisons with industry peers. However, non-GAAP financial measures should not be considered as a substitute for financial measures calculated in accordance with U.S. GAAP and may be calculated differently by other companies.</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1066" w:right="479" w:bottom="1440" w:gutter="0" w:footer="0" w:header="0"/>
        </w:sectPr>
      </w:pPr>
    </w:p>
    <w:bookmarkStart w:id="14" w:name="page15"/>
    <w:bookmarkEnd w:id="14"/>
    <w:p>
      <w:pPr>
        <w:ind w:right="240"/>
        <w:spacing w:after="0" w:line="355" w:lineRule="auto"/>
        <w:rPr>
          <w:sz w:val="20"/>
          <w:szCs w:val="20"/>
          <w:color w:val="auto"/>
        </w:rPr>
      </w:pPr>
      <w:r>
        <w:rPr>
          <w:rFonts w:ascii="Arial" w:cs="Arial" w:eastAsia="Arial" w:hAnsi="Arial"/>
          <w:sz w:val="18"/>
          <w:szCs w:val="18"/>
          <w:color w:val="auto"/>
        </w:rPr>
        <w:t>The following schedules reconcile U.S. GAAP financial measures to non-GAAP financial measures for the three months ended September 30, 2026 and 2025 and June 30,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4"/>
                <w:szCs w:val="14"/>
                <w:b w:val="1"/>
                <w:bCs w:val="1"/>
                <w:color w:val="auto"/>
              </w:rPr>
              <w:t>Three months ended 9/30/2026</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Provision</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Net income</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Net operating</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62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per-share data)</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Rowe Price</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00"/>
              <w:spacing w:after="0" w:line="189"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(6)</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Group, Inc.</w:t>
            </w:r>
          </w:p>
        </w:tc>
        <w:tc>
          <w:tcPr>
            <w:tcW w:w="140" w:type="dxa"/>
            <w:vAlign w:val="bottom"/>
          </w:tcPr>
          <w:p>
            <w:pPr>
              <w:spacing w:after="0"/>
              <w:rPr>
                <w:sz w:val="16"/>
                <w:szCs w:val="16"/>
                <w:color w:val="auto"/>
              </w:rPr>
            </w:pPr>
          </w:p>
        </w:tc>
        <w:tc>
          <w:tcPr>
            <w:tcW w:w="1040" w:type="dxa"/>
            <w:vAlign w:val="bottom"/>
          </w:tcPr>
          <w:p>
            <w:pPr>
              <w:jc w:val="right"/>
              <w:ind w:right="14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 (FS line item)</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1,235.1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769.8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78"/>
        </w:trPr>
        <w:tc>
          <w:tcPr>
            <w:tcW w:w="362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20" w:type="dxa"/>
            <w:vAlign w:val="bottom"/>
          </w:tcPr>
          <w:p>
            <w:pPr>
              <w:ind w:left="140"/>
              <w:spacing w:after="0" w:line="153"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9"/>
                <w:szCs w:val="9"/>
                <w:color w:val="auto"/>
              </w:rPr>
              <w:t>(1)</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140"/>
              <w:spacing w:after="0" w:line="149" w:lineRule="exact"/>
              <w:rPr>
                <w:sz w:val="20"/>
                <w:szCs w:val="20"/>
                <w:color w:val="auto"/>
              </w:rPr>
            </w:pPr>
            <w:r>
              <w:rPr>
                <w:rFonts w:ascii="Arial" w:cs="Arial" w:eastAsia="Arial" w:hAnsi="Arial"/>
                <w:sz w:val="14"/>
                <w:szCs w:val="14"/>
                <w:color w:val="auto"/>
              </w:rPr>
              <w:t>(Capital allocation-based income and Compensation</w:t>
            </w:r>
          </w:p>
        </w:tc>
        <w:tc>
          <w:tcPr>
            <w:tcW w:w="18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5"/>
        </w:trPr>
        <w:tc>
          <w:tcPr>
            <w:tcW w:w="3620" w:type="dxa"/>
            <w:vAlign w:val="bottom"/>
          </w:tcPr>
          <w:p>
            <w:pPr>
              <w:ind w:left="140"/>
              <w:spacing w:after="0"/>
              <w:rPr>
                <w:sz w:val="20"/>
                <w:szCs w:val="20"/>
                <w:color w:val="auto"/>
              </w:rPr>
            </w:pPr>
            <w:r>
              <w:rPr>
                <w:rFonts w:ascii="Arial" w:cs="Arial" w:eastAsia="Arial" w:hAnsi="Arial"/>
                <w:sz w:val="14"/>
                <w:szCs w:val="14"/>
                <w:color w:val="auto"/>
              </w:rPr>
              <w:t>and related costs)</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9"/>
                <w:szCs w:val="9"/>
                <w:color w:val="auto"/>
              </w:rPr>
              <w:t>(1)</w:t>
            </w: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related costs)</w:t>
            </w: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9"/>
                <w:szCs w:val="9"/>
                <w:color w:val="auto"/>
              </w:rPr>
              <w:t>(1)</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acquisition-related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33"/>
        </w:trPr>
        <w:tc>
          <w:tcPr>
            <w:tcW w:w="3620" w:type="dxa"/>
            <w:vAlign w:val="bottom"/>
          </w:tcPr>
          <w:p>
            <w:pPr>
              <w:ind w:left="20"/>
              <w:spacing w:after="0" w:line="133" w:lineRule="exact"/>
              <w:rPr>
                <w:sz w:val="20"/>
                <w:szCs w:val="20"/>
                <w:color w:val="auto"/>
              </w:rPr>
            </w:pPr>
            <w:r>
              <w:rPr>
                <w:rFonts w:ascii="Arial" w:cs="Arial" w:eastAsia="Arial" w:hAnsi="Arial"/>
                <w:sz w:val="14"/>
                <w:szCs w:val="14"/>
                <w:color w:val="auto"/>
              </w:rPr>
              <w:t>Deferred compensation liabilities</w:t>
            </w:r>
            <w:r>
              <w:rPr>
                <w:rFonts w:ascii="Arial" w:cs="Arial" w:eastAsia="Arial" w:hAnsi="Arial"/>
                <w:sz w:val="9"/>
                <w:szCs w:val="9"/>
                <w:color w:val="auto"/>
              </w:rPr>
              <w:t>(2)</w:t>
            </w:r>
            <w:r>
              <w:rPr>
                <w:rFonts w:ascii="Arial" w:cs="Arial" w:eastAsia="Arial" w:hAnsi="Arial"/>
                <w:sz w:val="14"/>
                <w:szCs w:val="14"/>
                <w:color w:val="auto"/>
              </w:rPr>
              <w:t xml:space="preserve"> (Compensation and</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94"/>
        </w:trPr>
        <w:tc>
          <w:tcPr>
            <w:tcW w:w="3620" w:type="dxa"/>
            <w:vAlign w:val="bottom"/>
          </w:tcPr>
          <w:p>
            <w:pPr>
              <w:ind w:left="20"/>
              <w:spacing w:after="0"/>
              <w:rPr>
                <w:sz w:val="20"/>
                <w:szCs w:val="20"/>
                <w:color w:val="auto"/>
              </w:rPr>
            </w:pPr>
            <w:r>
              <w:rPr>
                <w:rFonts w:ascii="Arial" w:cs="Arial" w:eastAsia="Arial" w:hAnsi="Arial"/>
                <w:sz w:val="14"/>
                <w:szCs w:val="14"/>
                <w:color w:val="auto"/>
              </w:rPr>
              <w:t>related costs)</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w:t>
            </w:r>
            <w:r>
              <w:rPr>
                <w:rFonts w:ascii="Arial" w:cs="Arial" w:eastAsia="Arial" w:hAnsi="Arial"/>
                <w:sz w:val="9"/>
                <w:szCs w:val="9"/>
                <w:color w:val="auto"/>
              </w:rPr>
              <w:t>(3)</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20" w:type="dxa"/>
            <w:vAlign w:val="bottom"/>
          </w:tcPr>
          <w:p>
            <w:pPr>
              <w:ind w:left="20"/>
              <w:spacing w:after="0"/>
              <w:rPr>
                <w:sz w:val="20"/>
                <w:szCs w:val="20"/>
                <w:color w:val="auto"/>
              </w:rPr>
            </w:pPr>
            <w:r>
              <w:rPr>
                <w:rFonts w:ascii="Arial" w:cs="Arial" w:eastAsia="Arial" w:hAnsi="Arial"/>
                <w:sz w:val="14"/>
                <w:szCs w:val="14"/>
                <w:color w:val="auto"/>
              </w:rPr>
              <w:t>Consolidated investment products</w:t>
            </w:r>
            <w:r>
              <w:rPr>
                <w:rFonts w:ascii="Arial" w:cs="Arial" w:eastAsia="Arial" w:hAnsi="Arial"/>
                <w:sz w:val="9"/>
                <w:szCs w:val="9"/>
                <w:color w:val="auto"/>
              </w:rPr>
              <w:t>(4)</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9"/>
                <w:szCs w:val="9"/>
                <w:color w:val="auto"/>
              </w:rPr>
              <w:t>(5)</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Adjusted Basis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1,200.1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809.2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629.5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4"/>
                <w:szCs w:val="14"/>
                <w:b w:val="1"/>
                <w:bCs w:val="1"/>
                <w:color w:val="auto"/>
              </w:rPr>
              <w:t>Three months ended 9/30/2025</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Provision</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Net income</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Net operating</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9"/>
        </w:trPr>
        <w:tc>
          <w:tcPr>
            <w:tcW w:w="362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per-share data)</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Rowe Price</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Group, Inc.</w:t>
            </w:r>
          </w:p>
        </w:tc>
        <w:tc>
          <w:tcPr>
            <w:tcW w:w="140" w:type="dxa"/>
            <w:vAlign w:val="bottom"/>
          </w:tcPr>
          <w:p>
            <w:pPr>
              <w:spacing w:after="0"/>
              <w:rPr>
                <w:sz w:val="16"/>
                <w:szCs w:val="16"/>
                <w:color w:val="auto"/>
              </w:rPr>
            </w:pPr>
          </w:p>
        </w:tc>
        <w:tc>
          <w:tcPr>
            <w:tcW w:w="1040" w:type="dxa"/>
            <w:vAlign w:val="bottom"/>
          </w:tcPr>
          <w:p>
            <w:pPr>
              <w:jc w:val="right"/>
              <w:ind w:right="14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 (FS line item)</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1,250.3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643.2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78"/>
        </w:trPr>
        <w:tc>
          <w:tcPr>
            <w:tcW w:w="362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20" w:type="dxa"/>
            <w:vAlign w:val="bottom"/>
          </w:tcPr>
          <w:p>
            <w:pPr>
              <w:ind w:left="140"/>
              <w:spacing w:after="0" w:line="153"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7"/>
                <w:szCs w:val="17"/>
                <w:color w:val="auto"/>
                <w:vertAlign w:val="superscript"/>
              </w:rPr>
              <w:t>(1)</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140"/>
              <w:spacing w:after="0" w:line="149" w:lineRule="exact"/>
              <w:rPr>
                <w:sz w:val="20"/>
                <w:szCs w:val="20"/>
                <w:color w:val="auto"/>
              </w:rPr>
            </w:pPr>
            <w:r>
              <w:rPr>
                <w:rFonts w:ascii="Arial" w:cs="Arial" w:eastAsia="Arial" w:hAnsi="Arial"/>
                <w:sz w:val="14"/>
                <w:szCs w:val="14"/>
                <w:color w:val="auto"/>
              </w:rPr>
              <w:t>(Capital allocation-based income and Compensation</w:t>
            </w:r>
          </w:p>
        </w:tc>
        <w:tc>
          <w:tcPr>
            <w:tcW w:w="18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5"/>
        </w:trPr>
        <w:tc>
          <w:tcPr>
            <w:tcW w:w="3620" w:type="dxa"/>
            <w:vAlign w:val="bottom"/>
          </w:tcPr>
          <w:p>
            <w:pPr>
              <w:ind w:left="140"/>
              <w:spacing w:after="0"/>
              <w:rPr>
                <w:sz w:val="20"/>
                <w:szCs w:val="20"/>
                <w:color w:val="auto"/>
              </w:rPr>
            </w:pPr>
            <w:r>
              <w:rPr>
                <w:rFonts w:ascii="Arial" w:cs="Arial" w:eastAsia="Arial" w:hAnsi="Arial"/>
                <w:sz w:val="14"/>
                <w:szCs w:val="14"/>
                <w:color w:val="auto"/>
              </w:rPr>
              <w:t>and related costs)</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related costs)</w:t>
            </w: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acquisition-related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33"/>
        </w:trPr>
        <w:tc>
          <w:tcPr>
            <w:tcW w:w="3620" w:type="dxa"/>
            <w:vAlign w:val="bottom"/>
          </w:tcPr>
          <w:p>
            <w:pPr>
              <w:ind w:left="20"/>
              <w:spacing w:after="0" w:line="133" w:lineRule="exact"/>
              <w:rPr>
                <w:sz w:val="20"/>
                <w:szCs w:val="20"/>
                <w:color w:val="auto"/>
              </w:rPr>
            </w:pPr>
            <w:r>
              <w:rPr>
                <w:rFonts w:ascii="Arial" w:cs="Arial" w:eastAsia="Arial" w:hAnsi="Arial"/>
                <w:sz w:val="12"/>
                <w:szCs w:val="12"/>
                <w:color w:val="auto"/>
              </w:rPr>
              <w:t>Deferred compensation liabilities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(Compensation and</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(50.8)</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94"/>
        </w:trPr>
        <w:tc>
          <w:tcPr>
            <w:tcW w:w="3620" w:type="dxa"/>
            <w:vAlign w:val="bottom"/>
          </w:tcPr>
          <w:p>
            <w:pPr>
              <w:ind w:left="20"/>
              <w:spacing w:after="0"/>
              <w:rPr>
                <w:sz w:val="20"/>
                <w:szCs w:val="20"/>
                <w:color w:val="auto"/>
              </w:rPr>
            </w:pPr>
            <w:r>
              <w:rPr>
                <w:rFonts w:ascii="Arial" w:cs="Arial" w:eastAsia="Arial" w:hAnsi="Arial"/>
                <w:sz w:val="14"/>
                <w:szCs w:val="14"/>
                <w:color w:val="auto"/>
              </w:rPr>
              <w:t>related costs)</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w:t>
            </w:r>
            <w:r>
              <w:rPr>
                <w:rFonts w:ascii="Arial" w:cs="Arial" w:eastAsia="Arial" w:hAnsi="Arial"/>
                <w:sz w:val="18"/>
                <w:szCs w:val="18"/>
                <w:color w:val="auto"/>
                <w:vertAlign w:val="superscript"/>
              </w:rPr>
              <w:t>(3)</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4"/>
                <w:szCs w:val="14"/>
                <w:color w:val="auto"/>
              </w:rPr>
              <w:t>Consolidated investment products</w:t>
            </w:r>
            <w:r>
              <w:rPr>
                <w:rFonts w:ascii="Arial" w:cs="Arial" w:eastAsia="Arial" w:hAnsi="Arial"/>
                <w:sz w:val="18"/>
                <w:szCs w:val="18"/>
                <w:color w:val="auto"/>
                <w:vertAlign w:val="superscript"/>
              </w:rPr>
              <w:t>(4)</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Adjusted Basis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1,134.4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774.1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 except per-share data)</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U.S. GAAP Basis (FS line item)</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adjustments:</w:t>
      </w:r>
    </w:p>
    <w:p>
      <w:pPr>
        <w:spacing w:after="0" w:line="20" w:lineRule="exact"/>
        <w:rPr>
          <w:sz w:val="20"/>
          <w:szCs w:val="20"/>
          <w:color w:val="auto"/>
        </w:rPr>
      </w:pPr>
      <w:r>
        <w:rPr>
          <w:sz w:val="20"/>
          <w:szCs w:val="20"/>
          <w:color w:val="auto"/>
        </w:rPr>
        <w:br w:type="column"/>
      </w:r>
    </w:p>
    <w:p>
      <w:pPr>
        <w:ind w:left="2720"/>
        <w:spacing w:after="0"/>
        <w:rPr>
          <w:sz w:val="20"/>
          <w:szCs w:val="20"/>
          <w:color w:val="auto"/>
        </w:rPr>
      </w:pPr>
      <w:r>
        <w:rPr>
          <w:rFonts w:ascii="Arial" w:cs="Arial" w:eastAsia="Arial" w:hAnsi="Arial"/>
          <w:sz w:val="14"/>
          <w:szCs w:val="14"/>
          <w:b w:val="1"/>
          <w:bCs w:val="1"/>
          <w:color w:val="auto"/>
        </w:rPr>
        <w:t>Three months ended 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-104140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Provision</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Net income</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8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(benefit) for</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Rowe Price</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Group, Inc.</w:t>
            </w:r>
          </w:p>
        </w:tc>
        <w:tc>
          <w:tcPr>
            <w:tcW w:w="16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2"/>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1,366.9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540.5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632.0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-144780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980" w:space="720"/>
            <w:col w:w="7540"/>
          </w:cols>
          <w:pgMar w:left="320" w:top="1062" w:right="339" w:bottom="1440" w:gutter="0" w:footer="0" w:header="0"/>
        </w:sectPr>
      </w:pPr>
    </w:p>
    <w:tbl>
      <w:tblPr>
        <w:tblLayout w:type="fixed"/>
        <w:tblInd w:w="0" w:type="dxa"/>
        <w:tblCellMar>
          <w:top w:w="0" w:type="dxa"/>
          <w:left w:w="0" w:type="dxa"/>
          <w:bottom w:w="0" w:type="dxa"/>
          <w:right w:w="0" w:type="dxa"/>
        </w:tblCellMar>
      </w:tblPr>
      <w:tr>
        <w:trPr>
          <w:trHeight w:val="185"/>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140"/>
              <w:spacing w:after="0" w:line="153"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7"/>
                <w:szCs w:val="17"/>
                <w:color w:val="auto"/>
                <w:vertAlign w:val="superscript"/>
              </w:rPr>
              <w:t>(1)</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Arial" w:cs="Arial" w:eastAsia="Arial" w:hAnsi="Arial"/>
                <w:sz w:val="14"/>
                <w:szCs w:val="14"/>
                <w:color w:val="auto"/>
              </w:rPr>
              <w:t>(Capital allocation-based income and Compensation</w:t>
            </w:r>
          </w:p>
        </w:tc>
        <w:tc>
          <w:tcPr>
            <w:tcW w:w="3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00" w:type="dxa"/>
            <w:vAlign w:val="bottom"/>
          </w:tcPr>
          <w:p>
            <w:pPr>
              <w:ind w:left="140"/>
              <w:spacing w:after="0"/>
              <w:rPr>
                <w:sz w:val="20"/>
                <w:szCs w:val="20"/>
                <w:color w:val="auto"/>
              </w:rPr>
            </w:pPr>
            <w:r>
              <w:rPr>
                <w:rFonts w:ascii="Arial" w:cs="Arial" w:eastAsia="Arial" w:hAnsi="Arial"/>
                <w:sz w:val="14"/>
                <w:szCs w:val="14"/>
                <w:color w:val="auto"/>
              </w:rPr>
              <w:t>and related costs)</w:t>
            </w:r>
          </w:p>
        </w:tc>
        <w:tc>
          <w:tcPr>
            <w:tcW w:w="3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7"/>
                <w:szCs w:val="17"/>
                <w:color w:val="auto"/>
                <w:vertAlign w:val="superscript"/>
              </w:rPr>
              <w:t>(1)</w:t>
            </w:r>
          </w:p>
        </w:tc>
        <w:tc>
          <w:tcPr>
            <w:tcW w:w="3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related costs)</w:t>
            </w:r>
          </w:p>
        </w:tc>
        <w:tc>
          <w:tcPr>
            <w:tcW w:w="3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acquisition-related</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33"/>
        </w:trPr>
        <w:tc>
          <w:tcPr>
            <w:tcW w:w="3700" w:type="dxa"/>
            <w:vAlign w:val="bottom"/>
          </w:tcPr>
          <w:p>
            <w:pPr>
              <w:ind w:left="20"/>
              <w:spacing w:after="0" w:line="133" w:lineRule="exact"/>
              <w:rPr>
                <w:sz w:val="20"/>
                <w:szCs w:val="20"/>
                <w:color w:val="auto"/>
              </w:rPr>
            </w:pPr>
            <w:r>
              <w:rPr>
                <w:rFonts w:ascii="Arial" w:cs="Arial" w:eastAsia="Arial" w:hAnsi="Arial"/>
                <w:sz w:val="12"/>
                <w:szCs w:val="12"/>
                <w:color w:val="auto"/>
              </w:rPr>
              <w:t>Deferred compensation liabilities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(Compensation and</w:t>
            </w:r>
          </w:p>
        </w:tc>
        <w:tc>
          <w:tcPr>
            <w:tcW w:w="3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126.5</w:t>
            </w: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(133.7)</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94"/>
        </w:trPr>
        <w:tc>
          <w:tcPr>
            <w:tcW w:w="3700" w:type="dxa"/>
            <w:vAlign w:val="bottom"/>
          </w:tcPr>
          <w:p>
            <w:pPr>
              <w:ind w:left="20"/>
              <w:spacing w:after="0"/>
              <w:rPr>
                <w:sz w:val="20"/>
                <w:szCs w:val="20"/>
                <w:color w:val="auto"/>
              </w:rPr>
            </w:pPr>
            <w:r>
              <w:rPr>
                <w:rFonts w:ascii="Arial" w:cs="Arial" w:eastAsia="Arial" w:hAnsi="Arial"/>
                <w:sz w:val="14"/>
                <w:szCs w:val="14"/>
                <w:color w:val="auto"/>
              </w:rPr>
              <w:t>related costs)</w:t>
            </w:r>
          </w:p>
        </w:tc>
        <w:tc>
          <w:tcPr>
            <w:tcW w:w="3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w:t>
            </w:r>
            <w:r>
              <w:rPr>
                <w:rFonts w:ascii="Arial" w:cs="Arial" w:eastAsia="Arial" w:hAnsi="Arial"/>
                <w:sz w:val="18"/>
                <w:szCs w:val="18"/>
                <w:color w:val="auto"/>
                <w:vertAlign w:val="superscript"/>
              </w:rPr>
              <w:t>(3)</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4"/>
                <w:szCs w:val="14"/>
                <w:color w:val="auto"/>
              </w:rPr>
              <w:t>Consolidated investment products</w:t>
            </w:r>
            <w:r>
              <w:rPr>
                <w:rFonts w:ascii="Arial" w:cs="Arial" w:eastAsia="Arial" w:hAnsi="Arial"/>
                <w:sz w:val="18"/>
                <w:szCs w:val="18"/>
                <w:color w:val="auto"/>
                <w:vertAlign w:val="superscript"/>
              </w:rPr>
              <w:t>(4)</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96"/>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1,203.2</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709.1</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565.0</w:t>
            </w: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the nine months ended September 30, 2026 and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Nine months ended 9/30/2026</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Provision</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Net income</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Net operating</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362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per-share data)</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Rowe Price</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00"/>
              <w:spacing w:after="0" w:line="189"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(6)</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Group, Inc.</w:t>
            </w:r>
          </w:p>
        </w:tc>
        <w:tc>
          <w:tcPr>
            <w:tcW w:w="14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3,778.5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1,990.8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center"/>
              <w:ind w:left="568"/>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620" w:type="dxa"/>
            <w:vAlign w:val="bottom"/>
          </w:tcPr>
          <w:p>
            <w:pPr>
              <w:ind w:left="140"/>
              <w:spacing w:after="0" w:line="153"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7"/>
                <w:szCs w:val="17"/>
                <w:color w:val="auto"/>
                <w:vertAlign w:val="superscript"/>
              </w:rPr>
              <w:t>(1)</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20" w:type="dxa"/>
            <w:vAlign w:val="bottom"/>
          </w:tcPr>
          <w:p>
            <w:pPr>
              <w:ind w:left="140"/>
              <w:spacing w:after="0" w:line="145" w:lineRule="exact"/>
              <w:rPr>
                <w:sz w:val="20"/>
                <w:szCs w:val="20"/>
                <w:color w:val="auto"/>
              </w:rPr>
            </w:pPr>
            <w:r>
              <w:rPr>
                <w:rFonts w:ascii="Arial" w:cs="Arial" w:eastAsia="Arial" w:hAnsi="Arial"/>
                <w:sz w:val="14"/>
                <w:szCs w:val="14"/>
                <w:color w:val="auto"/>
              </w:rPr>
              <w:t>(Capital allocation-based income and Compensation</w:t>
            </w:r>
          </w:p>
        </w:tc>
        <w:tc>
          <w:tcPr>
            <w:tcW w:w="18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ind w:left="56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3620" w:type="dxa"/>
            <w:vAlign w:val="bottom"/>
          </w:tcPr>
          <w:p>
            <w:pPr>
              <w:ind w:left="140"/>
              <w:spacing w:after="0"/>
              <w:rPr>
                <w:sz w:val="20"/>
                <w:szCs w:val="20"/>
                <w:color w:val="auto"/>
              </w:rPr>
            </w:pPr>
            <w:r>
              <w:rPr>
                <w:rFonts w:ascii="Arial" w:cs="Arial" w:eastAsia="Arial" w:hAnsi="Arial"/>
                <w:sz w:val="14"/>
                <w:szCs w:val="14"/>
                <w:color w:val="auto"/>
              </w:rPr>
              <w:t>and related costs)</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ind w:left="56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related costs)</w:t>
            </w: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acquisition-related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left="568"/>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33"/>
        </w:trPr>
        <w:tc>
          <w:tcPr>
            <w:tcW w:w="3620" w:type="dxa"/>
            <w:vAlign w:val="bottom"/>
          </w:tcPr>
          <w:p>
            <w:pPr>
              <w:ind w:left="20"/>
              <w:spacing w:after="0" w:line="133" w:lineRule="exact"/>
              <w:rPr>
                <w:sz w:val="20"/>
                <w:szCs w:val="20"/>
                <w:color w:val="auto"/>
              </w:rPr>
            </w:pPr>
            <w:r>
              <w:rPr>
                <w:rFonts w:ascii="Arial" w:cs="Arial" w:eastAsia="Arial" w:hAnsi="Arial"/>
                <w:sz w:val="12"/>
                <w:szCs w:val="12"/>
                <w:color w:val="auto"/>
              </w:rPr>
              <w:t>Deferred compensation liabilities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(Compensation and</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(107.0)</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center"/>
              <w:ind w:left="56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94"/>
        </w:trPr>
        <w:tc>
          <w:tcPr>
            <w:tcW w:w="3620" w:type="dxa"/>
            <w:vAlign w:val="bottom"/>
          </w:tcPr>
          <w:p>
            <w:pPr>
              <w:ind w:left="20"/>
              <w:spacing w:after="0"/>
              <w:rPr>
                <w:sz w:val="20"/>
                <w:szCs w:val="20"/>
                <w:color w:val="auto"/>
              </w:rPr>
            </w:pPr>
            <w:r>
              <w:rPr>
                <w:rFonts w:ascii="Arial" w:cs="Arial" w:eastAsia="Arial" w:hAnsi="Arial"/>
                <w:sz w:val="14"/>
                <w:szCs w:val="14"/>
                <w:color w:val="auto"/>
              </w:rPr>
              <w:t>related costs)</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w:t>
            </w:r>
            <w:r>
              <w:rPr>
                <w:rFonts w:ascii="Arial" w:cs="Arial" w:eastAsia="Arial" w:hAnsi="Arial"/>
                <w:sz w:val="18"/>
                <w:szCs w:val="18"/>
                <w:color w:val="auto"/>
                <w:vertAlign w:val="superscript"/>
              </w:rPr>
              <w:t>(3)</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left="56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4"/>
                <w:szCs w:val="14"/>
                <w:color w:val="auto"/>
              </w:rPr>
              <w:t>Consolidated investment products</w:t>
            </w:r>
            <w:r>
              <w:rPr>
                <w:rFonts w:ascii="Arial" w:cs="Arial" w:eastAsia="Arial" w:hAnsi="Arial"/>
                <w:sz w:val="18"/>
                <w:szCs w:val="18"/>
                <w:color w:val="auto"/>
                <w:vertAlign w:val="superscript"/>
              </w:rPr>
              <w:t>(4)</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left="54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3,558.5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2,224.4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555.3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center"/>
              <w:ind w:left="568"/>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62" w:right="33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 except per-share data)</w:t>
      </w:r>
    </w:p>
    <w:p>
      <w:pPr>
        <w:spacing w:after="0" w:line="37" w:lineRule="exact"/>
        <w:rPr>
          <w:sz w:val="20"/>
          <w:szCs w:val="20"/>
          <w:color w:val="auto"/>
        </w:rPr>
      </w:pPr>
    </w:p>
    <w:p>
      <w:pPr>
        <w:ind w:left="20" w:right="500"/>
        <w:spacing w:after="0" w:line="282" w:lineRule="auto"/>
        <w:rPr>
          <w:sz w:val="20"/>
          <w:szCs w:val="20"/>
          <w:color w:val="auto"/>
        </w:rPr>
      </w:pPr>
      <w:r>
        <w:rPr>
          <w:rFonts w:ascii="Arial" w:cs="Arial" w:eastAsia="Arial" w:hAnsi="Arial"/>
          <w:sz w:val="16"/>
          <w:szCs w:val="16"/>
          <w:b w:val="1"/>
          <w:bCs w:val="1"/>
          <w:color w:val="auto"/>
        </w:rPr>
        <w:t xml:space="preserve">U.S. GAAP Basis (FS line item) </w:t>
      </w:r>
      <w:r>
        <w:rPr>
          <w:rFonts w:ascii="Arial" w:cs="Arial" w:eastAsia="Arial" w:hAnsi="Arial"/>
          <w:sz w:val="16"/>
          <w:szCs w:val="16"/>
          <w:color w:val="auto"/>
        </w:rPr>
        <w:t>Non-GAAP adjustments: Acquisition-related:</w:t>
      </w:r>
    </w:p>
    <w:p>
      <w:pPr>
        <w:spacing w:after="0" w:line="20" w:lineRule="exact"/>
        <w:rPr>
          <w:sz w:val="20"/>
          <w:szCs w:val="20"/>
          <w:color w:val="auto"/>
        </w:rPr>
      </w:pPr>
      <w:r>
        <w:rPr>
          <w:sz w:val="20"/>
          <w:szCs w:val="20"/>
          <w:color w:val="auto"/>
        </w:rPr>
        <w:br w:type="column"/>
      </w:r>
    </w:p>
    <w:p>
      <w:pPr>
        <w:ind w:left="2800"/>
        <w:spacing w:after="0"/>
        <w:rPr>
          <w:sz w:val="20"/>
          <w:szCs w:val="20"/>
          <w:color w:val="auto"/>
        </w:rPr>
      </w:pPr>
      <w:r>
        <w:rPr>
          <w:rFonts w:ascii="Arial" w:cs="Arial" w:eastAsia="Arial" w:hAnsi="Arial"/>
          <w:sz w:val="14"/>
          <w:szCs w:val="14"/>
          <w:b w:val="1"/>
          <w:bCs w:val="1"/>
          <w:color w:val="auto"/>
        </w:rPr>
        <w:t>Nine months ended 9/30/2025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-104140</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Provision</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Net income</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Net operating</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Rowe Price</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Group, Inc.</w:t>
            </w:r>
          </w:p>
        </w:tc>
        <w:tc>
          <w:tcPr>
            <w:tcW w:w="140" w:type="dxa"/>
            <w:vAlign w:val="bottom"/>
          </w:tcPr>
          <w:p>
            <w:pPr>
              <w:spacing w:after="0"/>
              <w:rPr>
                <w:sz w:val="16"/>
                <w:szCs w:val="16"/>
                <w:color w:val="auto"/>
              </w:rPr>
            </w:pPr>
          </w:p>
        </w:tc>
        <w:tc>
          <w:tcPr>
            <w:tcW w:w="1040" w:type="dxa"/>
            <w:vAlign w:val="bottom"/>
          </w:tcPr>
          <w:p>
            <w:pPr>
              <w:jc w:val="right"/>
              <w:ind w:right="14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2"/>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3,662.9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1,717.8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1,641.8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-144780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128905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19" w:lineRule="exact"/>
        <w:rPr>
          <w:sz w:val="20"/>
          <w:szCs w:val="20"/>
          <w:color w:val="auto"/>
        </w:rPr>
      </w:pPr>
    </w:p>
    <w:p>
      <w:pPr>
        <w:sectPr>
          <w:pgSz w:w="11900" w:h="16838" w:orient="portrait"/>
          <w:cols w:equalWidth="0" w:num="2">
            <w:col w:w="2900" w:space="720"/>
            <w:col w:w="7620"/>
          </w:cols>
          <w:pgMar w:left="320" w:top="1062" w:right="339" w:bottom="1440" w:gutter="0" w:footer="0" w:header="0"/>
        </w:sectPr>
      </w:pPr>
    </w:p>
    <w:tbl>
      <w:tblPr>
        <w:tblLayout w:type="fixed"/>
        <w:tblInd w:w="0" w:type="dxa"/>
        <w:tblCellMar>
          <w:top w:w="0" w:type="dxa"/>
          <w:left w:w="0" w:type="dxa"/>
          <w:bottom w:w="0" w:type="dxa"/>
          <w:right w:w="0" w:type="dxa"/>
        </w:tblCellMar>
      </w:tblPr>
      <w:tr>
        <w:trPr>
          <w:trHeight w:val="153"/>
        </w:trPr>
        <w:tc>
          <w:tcPr>
            <w:tcW w:w="3620" w:type="dxa"/>
            <w:vAlign w:val="bottom"/>
          </w:tcPr>
          <w:p>
            <w:pPr>
              <w:ind w:left="140"/>
              <w:spacing w:after="0" w:line="153"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7"/>
                <w:szCs w:val="17"/>
                <w:color w:val="auto"/>
                <w:vertAlign w:val="superscript"/>
              </w:rPr>
              <w:t>(1)</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140"/>
              <w:spacing w:after="0" w:line="149" w:lineRule="exact"/>
              <w:rPr>
                <w:sz w:val="20"/>
                <w:szCs w:val="20"/>
                <w:color w:val="auto"/>
              </w:rPr>
            </w:pPr>
            <w:r>
              <w:rPr>
                <w:rFonts w:ascii="Arial" w:cs="Arial" w:eastAsia="Arial" w:hAnsi="Arial"/>
                <w:sz w:val="14"/>
                <w:szCs w:val="14"/>
                <w:color w:val="auto"/>
              </w:rPr>
              <w:t>(Capital allocation-based income and Compensation</w:t>
            </w:r>
          </w:p>
        </w:tc>
        <w:tc>
          <w:tcPr>
            <w:tcW w:w="38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85"/>
        </w:trPr>
        <w:tc>
          <w:tcPr>
            <w:tcW w:w="3620" w:type="dxa"/>
            <w:vAlign w:val="bottom"/>
          </w:tcPr>
          <w:p>
            <w:pPr>
              <w:ind w:left="140"/>
              <w:spacing w:after="0"/>
              <w:rPr>
                <w:sz w:val="20"/>
                <w:szCs w:val="20"/>
                <w:color w:val="auto"/>
              </w:rPr>
            </w:pPr>
            <w:r>
              <w:rPr>
                <w:rFonts w:ascii="Arial" w:cs="Arial" w:eastAsia="Arial" w:hAnsi="Arial"/>
                <w:sz w:val="14"/>
                <w:szCs w:val="14"/>
                <w:color w:val="auto"/>
              </w:rPr>
              <w:t>and related costs)</w:t>
            </w:r>
          </w:p>
        </w:tc>
        <w:tc>
          <w:tcPr>
            <w:tcW w:w="3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7"/>
                <w:szCs w:val="17"/>
                <w:color w:val="auto"/>
                <w:vertAlign w:val="superscript"/>
              </w:rPr>
              <w:t>(1)</w:t>
            </w:r>
          </w:p>
        </w:tc>
        <w:tc>
          <w:tcPr>
            <w:tcW w:w="3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related costs)</w:t>
            </w:r>
          </w:p>
        </w:tc>
        <w:tc>
          <w:tcPr>
            <w:tcW w:w="3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acquisition-related</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133"/>
        </w:trPr>
        <w:tc>
          <w:tcPr>
            <w:tcW w:w="3620" w:type="dxa"/>
            <w:vAlign w:val="bottom"/>
          </w:tcPr>
          <w:p>
            <w:pPr>
              <w:ind w:left="20"/>
              <w:spacing w:after="0" w:line="133" w:lineRule="exact"/>
              <w:rPr>
                <w:sz w:val="20"/>
                <w:szCs w:val="20"/>
                <w:color w:val="auto"/>
              </w:rPr>
            </w:pPr>
            <w:r>
              <w:rPr>
                <w:rFonts w:ascii="Arial" w:cs="Arial" w:eastAsia="Arial" w:hAnsi="Arial"/>
                <w:sz w:val="12"/>
                <w:szCs w:val="12"/>
                <w:color w:val="auto"/>
              </w:rPr>
              <w:t>Deferred compensation liabilities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(Compensation and</w:t>
            </w:r>
          </w:p>
        </w:tc>
        <w:tc>
          <w:tcPr>
            <w:tcW w:w="3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(109.9)</w:t>
            </w: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(112.8)</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94"/>
        </w:trPr>
        <w:tc>
          <w:tcPr>
            <w:tcW w:w="3620" w:type="dxa"/>
            <w:vAlign w:val="bottom"/>
          </w:tcPr>
          <w:p>
            <w:pPr>
              <w:ind w:left="20"/>
              <w:spacing w:after="0"/>
              <w:rPr>
                <w:sz w:val="20"/>
                <w:szCs w:val="20"/>
                <w:color w:val="auto"/>
              </w:rPr>
            </w:pPr>
            <w:r>
              <w:rPr>
                <w:rFonts w:ascii="Arial" w:cs="Arial" w:eastAsia="Arial" w:hAnsi="Arial"/>
                <w:sz w:val="14"/>
                <w:szCs w:val="14"/>
                <w:color w:val="auto"/>
              </w:rPr>
              <w:t>related costs)</w:t>
            </w:r>
          </w:p>
        </w:tc>
        <w:tc>
          <w:tcPr>
            <w:tcW w:w="3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w:t>
            </w:r>
            <w:r>
              <w:rPr>
                <w:rFonts w:ascii="Arial" w:cs="Arial" w:eastAsia="Arial" w:hAnsi="Arial"/>
                <w:sz w:val="18"/>
                <w:szCs w:val="18"/>
                <w:color w:val="auto"/>
                <w:vertAlign w:val="superscript"/>
              </w:rPr>
              <w:t>(3)</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4"/>
                <w:szCs w:val="14"/>
                <w:color w:val="auto"/>
              </w:rPr>
              <w:t>Consolidated investment products</w:t>
            </w:r>
            <w:r>
              <w:rPr>
                <w:rFonts w:ascii="Arial" w:cs="Arial" w:eastAsia="Arial" w:hAnsi="Arial"/>
                <w:sz w:val="18"/>
                <w:szCs w:val="18"/>
                <w:color w:val="auto"/>
                <w:vertAlign w:val="superscript"/>
              </w:rPr>
              <w:t>(4)</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3,416.7</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2,029.1</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1,647.8</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right="140" w:hanging="332"/>
        <w:spacing w:after="0" w:line="233" w:lineRule="auto"/>
        <w:tabs>
          <w:tab w:leader="none" w:pos="322"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These non-GAAP adjustments remove the impact of acquisition-related amortization of intangible assets, amortization of acquired investment and non-controlling interest basis differences and amortization of compensation-related arrangements. The firm believes adjusting for these charges helps the reader's ability to understand core operating results and increases comparability period to period.</w:t>
      </w:r>
    </w:p>
    <w:p>
      <w:pPr>
        <w:spacing w:after="0" w:line="231" w:lineRule="exact"/>
        <w:rPr>
          <w:rFonts w:ascii="Arial" w:cs="Arial" w:eastAsia="Arial" w:hAnsi="Arial"/>
          <w:sz w:val="21"/>
          <w:szCs w:val="21"/>
          <w:color w:val="auto"/>
          <w:vertAlign w:val="superscript"/>
        </w:rPr>
      </w:pPr>
    </w:p>
    <w:p>
      <w:pPr>
        <w:ind w:left="340" w:right="40" w:hanging="332"/>
        <w:spacing w:after="0" w:line="246" w:lineRule="auto"/>
        <w:tabs>
          <w:tab w:leader="none" w:pos="322"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eliminates the compensation expense impact from market valuation changes in deferred compensation liabilities, including the supplemental savings plan and restricted fund units, and the related net gains (losses) on investments used as economic hedges against the related liabilities. The liabilities are adjusted based on the performance of hypothetical investments selected by participants. The firm uses investment products to economically hedge the market risk associated with the supplemental savings plan liability and the expected settlement value of unvested restricted fund units. The firm believes it is useful to offset the non-operating investment income (loss) of the hedges against the related compensation expense and remove the net impact to help the reader's ability to understand the firm's core operating results and to increase comparability period to period.</w:t>
      </w:r>
    </w:p>
    <w:p>
      <w:pPr>
        <w:spacing w:after="0" w:line="177" w:lineRule="exact"/>
        <w:rPr>
          <w:rFonts w:ascii="Arial" w:cs="Arial" w:eastAsia="Arial" w:hAnsi="Arial"/>
          <w:sz w:val="21"/>
          <w:szCs w:val="21"/>
          <w:color w:val="auto"/>
          <w:vertAlign w:val="superscript"/>
        </w:rPr>
      </w:pPr>
    </w:p>
    <w:p>
      <w:pPr>
        <w:ind w:left="340" w:right="100" w:hanging="332"/>
        <w:spacing w:after="0" w:line="214" w:lineRule="exact"/>
        <w:tabs>
          <w:tab w:leader="none" w:pos="322"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This non</w:t>
      </w:r>
      <w:r>
        <w:rPr>
          <w:rFonts w:ascii="MS PGothic" w:cs="MS PGothic" w:eastAsia="MS PGothic" w:hAnsi="MS PGothic"/>
          <w:sz w:val="16"/>
          <w:szCs w:val="16"/>
          <w:color w:val="auto"/>
        </w:rPr>
        <w:t>‑</w:t>
      </w:r>
      <w:r>
        <w:rPr>
          <w:rFonts w:ascii="Arial" w:cs="Arial" w:eastAsia="Arial" w:hAnsi="Arial"/>
          <w:sz w:val="16"/>
          <w:szCs w:val="16"/>
          <w:color w:val="auto"/>
        </w:rPr>
        <w:t>GAAP adjustment removes the impact of actions taken as part of the firm’s broad, ongoing plan to reduce expense growth and realign resources to invest in existing and future capabilities. The firm believes this adjustment helps the reader’s ability to understand the firm's core operating results and increases comparability period to period.</w:t>
      </w:r>
    </w:p>
    <w:p>
      <w:pPr>
        <w:spacing w:after="0" w:line="219" w:lineRule="exact"/>
        <w:rPr>
          <w:rFonts w:ascii="Arial" w:cs="Arial" w:eastAsia="Arial" w:hAnsi="Arial"/>
          <w:sz w:val="21"/>
          <w:szCs w:val="21"/>
          <w:color w:val="auto"/>
          <w:vertAlign w:val="superscript"/>
        </w:rPr>
      </w:pPr>
    </w:p>
    <w:p>
      <w:pPr>
        <w:ind w:left="340" w:right="60" w:hanging="332"/>
        <w:spacing w:after="0" w:line="246" w:lineRule="auto"/>
        <w:tabs>
          <w:tab w:leader="none" w:pos="322"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the impact of the consolidated investment products by adding back their operating expenses and subtracting their investment income. The operating expense adjustment represents their operating expenses net of related investment advisory and administrative fees. The adjustment to net income attributable to T. Rowe Price Group, Inc. represents the consolidated investment products' net income, net of redeemable non-controlling interests. The firm believes this adjustment helps the reader’s ability to understand core operating results and increases comparability period to period.</w:t>
      </w:r>
    </w:p>
    <w:p>
      <w:pPr>
        <w:spacing w:after="0" w:line="213" w:lineRule="exact"/>
        <w:rPr>
          <w:rFonts w:ascii="Arial" w:cs="Arial" w:eastAsia="Arial" w:hAnsi="Arial"/>
          <w:sz w:val="21"/>
          <w:szCs w:val="21"/>
          <w:color w:val="auto"/>
          <w:vertAlign w:val="superscript"/>
        </w:rPr>
      </w:pPr>
    </w:p>
    <w:p>
      <w:pPr>
        <w:ind w:left="340" w:right="560" w:hanging="332"/>
        <w:spacing w:after="0" w:line="246" w:lineRule="auto"/>
        <w:tabs>
          <w:tab w:leader="none" w:pos="322"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non-operating income (loss) earned on those investments that are not economic hedges for the deferred compensation liabilities and are not part of the cash and discretionary investment portfolio. The firm retains gains from cash and discretionary investments in non-GAAP measures, as they are considered part of the firm's core operations. The firm believes adjusting for the remaining non-operating income (loss) helps the reader’s ability to understand the firm's core operating results and increases comparability period to period. Additionally, the firm does not emphasize this portion of non-operating income (loss) when assessing the firm's performance.</w:t>
      </w:r>
    </w:p>
    <w:p>
      <w:pPr>
        <w:spacing w:after="0" w:line="213" w:lineRule="exact"/>
        <w:rPr>
          <w:rFonts w:ascii="Arial" w:cs="Arial" w:eastAsia="Arial" w:hAnsi="Arial"/>
          <w:sz w:val="21"/>
          <w:szCs w:val="21"/>
          <w:color w:val="auto"/>
          <w:vertAlign w:val="superscript"/>
        </w:rPr>
      </w:pPr>
    </w:p>
    <w:p>
      <w:pPr>
        <w:ind w:left="340" w:right="140" w:hanging="332"/>
        <w:spacing w:after="0" w:line="235" w:lineRule="auto"/>
        <w:tabs>
          <w:tab w:leader="none" w:pos="322"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 xml:space="preserve">The income tax impacts were calculated in order to achieve an overall year-to-date non-GAAP effective income tax rate of 24.0% in 2026 and 23.8% in 2025. As such, </w:t>
      </w:r>
      <w:r>
        <w:rPr>
          <w:rFonts w:ascii="Arial" w:cs="Arial" w:eastAsia="Arial" w:hAnsi="Arial"/>
          <w:sz w:val="14"/>
          <w:szCs w:val="14"/>
          <w:color w:val="auto"/>
        </w:rPr>
        <w:t>the non-GAAP effective income tax rate for the third quarter was 23.9% in 2026 and 23.4% in 2025.</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62" w:right="339" w:bottom="1440" w:gutter="0" w:footer="0" w:header="0"/>
          <w:type w:val="continuous"/>
        </w:sectPr>
      </w:pPr>
    </w:p>
    <w:bookmarkStart w:id="17" w:name="page18"/>
    <w:bookmarkEnd w:id="17"/>
    <w:p>
      <w:pPr>
        <w:jc w:val="both"/>
        <w:ind w:left="340" w:right="220" w:hanging="332"/>
        <w:spacing w:after="0" w:line="238" w:lineRule="auto"/>
        <w:tabs>
          <w:tab w:leader="none" w:pos="322"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Inc. divided by the weighted-average common shares outstanding assuming dilution. The calculation of adjusted net income allocated to common stockholders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4"/>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9/30/2026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9/30/2025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6/30/2026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9/30/2025</w:t>
            </w:r>
          </w:p>
        </w:tc>
      </w:tr>
      <w:tr>
        <w:trPr>
          <w:trHeight w:val="19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Inc.</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629.5</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1,647.8</w:t>
            </w:r>
          </w:p>
        </w:tc>
      </w:tr>
      <w:tr>
        <w:trPr>
          <w:trHeight w:val="162"/>
        </w:trPr>
        <w:tc>
          <w:tcPr>
            <w:tcW w:w="4860" w:type="dxa"/>
            <w:vAlign w:val="bottom"/>
          </w:tcPr>
          <w:p>
            <w:pPr>
              <w:ind w:left="140"/>
              <w:spacing w:after="0" w:line="162" w:lineRule="exact"/>
              <w:rPr>
                <w:sz w:val="20"/>
                <w:szCs w:val="20"/>
                <w:color w:val="auto"/>
              </w:rPr>
            </w:pPr>
            <w:r>
              <w:rPr>
                <w:rFonts w:ascii="Arial" w:cs="Arial" w:eastAsia="Arial" w:hAnsi="Arial"/>
                <w:sz w:val="16"/>
                <w:szCs w:val="16"/>
                <w:color w:val="auto"/>
              </w:rPr>
              <w:t>Less: adjusted net income allocated to outstanding restricted</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 and stock unit holders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611.9</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2026-10-29T06:09:30Z</dcterms:created>
  <dcterms:modified xsi:type="dcterms:W3CDTF">2026-10-29T06:09:30Z</dcterms:modified>
</cp:coreProperties>
</file>