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99"/>
        <w:spacing w:after="0"/>
        <w:rPr>
          <w:sz w:val="20"/>
          <w:szCs w:val="20"/>
          <w:color w:val="auto"/>
        </w:rPr>
      </w:pPr>
      <w:r>
        <w:rPr>
          <w:rFonts w:ascii="Arial" w:cs="Arial" w:eastAsia="Arial" w:hAnsi="Arial"/>
          <w:sz w:val="17"/>
          <w:szCs w:val="17"/>
          <w:b w:val="1"/>
          <w:bCs w:val="1"/>
          <w:color w:val="auto"/>
        </w:rPr>
        <w:t>UNITED STATES</w:t>
      </w:r>
    </w:p>
    <w:p>
      <w:pPr>
        <w:spacing w:after="0" w:line="26" w:lineRule="exact"/>
        <w:rPr>
          <w:sz w:val="24"/>
          <w:szCs w:val="24"/>
          <w:color w:val="auto"/>
        </w:rPr>
      </w:pPr>
    </w:p>
    <w:p>
      <w:pPr>
        <w:jc w:val="center"/>
        <w:ind w:right="-299"/>
        <w:spacing w:after="0"/>
        <w:rPr>
          <w:sz w:val="20"/>
          <w:szCs w:val="20"/>
          <w:color w:val="auto"/>
        </w:rPr>
      </w:pPr>
      <w:r>
        <w:rPr>
          <w:rFonts w:ascii="Arial" w:cs="Arial" w:eastAsia="Arial" w:hAnsi="Arial"/>
          <w:sz w:val="17"/>
          <w:szCs w:val="17"/>
          <w:b w:val="1"/>
          <w:bCs w:val="1"/>
          <w:color w:val="auto"/>
        </w:rPr>
        <w:t>SECURITIES AND EXCHANGE COMMISSION</w:t>
      </w:r>
    </w:p>
    <w:p>
      <w:pPr>
        <w:spacing w:after="0" w:line="6" w:lineRule="exact"/>
        <w:rPr>
          <w:sz w:val="24"/>
          <w:szCs w:val="24"/>
          <w:color w:val="auto"/>
        </w:rPr>
      </w:pPr>
    </w:p>
    <w:p>
      <w:pPr>
        <w:jc w:val="center"/>
        <w:ind w:right="-299"/>
        <w:spacing w:after="0"/>
        <w:rPr>
          <w:sz w:val="20"/>
          <w:szCs w:val="20"/>
          <w:color w:val="auto"/>
        </w:rPr>
      </w:pPr>
      <w:r>
        <w:rPr>
          <w:rFonts w:ascii="Arial" w:cs="Arial" w:eastAsia="Arial" w:hAnsi="Arial"/>
          <w:sz w:val="17"/>
          <w:szCs w:val="17"/>
          <w:b w:val="1"/>
          <w:bCs w:val="1"/>
          <w:color w:val="auto"/>
        </w:rPr>
        <w:t>Washington, D.C. 20549</w:t>
      </w:r>
    </w:p>
    <w:p>
      <w:pPr>
        <w:spacing w:after="0" w:line="17" w:lineRule="exact"/>
        <w:rPr>
          <w:sz w:val="24"/>
          <w:szCs w:val="24"/>
          <w:color w:val="auto"/>
        </w:rPr>
      </w:pPr>
    </w:p>
    <w:p>
      <w:pPr>
        <w:ind w:left="4360"/>
        <w:spacing w:after="0"/>
        <w:rPr>
          <w:sz w:val="20"/>
          <w:szCs w:val="20"/>
          <w:color w:val="auto"/>
        </w:rPr>
      </w:pPr>
      <w:r>
        <w:rPr>
          <w:rFonts w:ascii="Arial" w:cs="Arial" w:eastAsia="Arial" w:hAnsi="Arial"/>
          <w:sz w:val="17"/>
          <w:szCs w:val="17"/>
          <w:color w:val="auto"/>
        </w:rPr>
        <w:t>___________________________</w:t>
      </w:r>
    </w:p>
    <w:p>
      <w:pPr>
        <w:spacing w:after="0" w:line="169" w:lineRule="exact"/>
        <w:rPr>
          <w:sz w:val="24"/>
          <w:szCs w:val="24"/>
          <w:color w:val="auto"/>
        </w:rPr>
      </w:pPr>
    </w:p>
    <w:p>
      <w:pPr>
        <w:jc w:val="center"/>
        <w:ind w:right="-299"/>
        <w:spacing w:after="0"/>
        <w:rPr>
          <w:sz w:val="20"/>
          <w:szCs w:val="20"/>
          <w:color w:val="auto"/>
        </w:rPr>
      </w:pPr>
      <w:r>
        <w:rPr>
          <w:rFonts w:ascii="Arial" w:cs="Arial" w:eastAsia="Arial" w:hAnsi="Arial"/>
          <w:sz w:val="20"/>
          <w:szCs w:val="20"/>
          <w:b w:val="1"/>
          <w:bCs w:val="1"/>
          <w:color w:val="auto"/>
        </w:rPr>
        <w:t>FORM 8-K</w:t>
      </w:r>
    </w:p>
    <w:p>
      <w:pPr>
        <w:spacing w:after="0" w:line="203" w:lineRule="exact"/>
        <w:rPr>
          <w:sz w:val="24"/>
          <w:szCs w:val="24"/>
          <w:color w:val="auto"/>
        </w:rPr>
      </w:pPr>
    </w:p>
    <w:p>
      <w:pPr>
        <w:jc w:val="center"/>
        <w:ind w:right="-299"/>
        <w:spacing w:after="0"/>
        <w:rPr>
          <w:sz w:val="20"/>
          <w:szCs w:val="20"/>
          <w:color w:val="auto"/>
        </w:rPr>
      </w:pPr>
      <w:r>
        <w:rPr>
          <w:rFonts w:ascii="Arial" w:cs="Arial" w:eastAsia="Arial" w:hAnsi="Arial"/>
          <w:sz w:val="17"/>
          <w:szCs w:val="17"/>
          <w:b w:val="1"/>
          <w:bCs w:val="1"/>
          <w:color w:val="auto"/>
        </w:rPr>
        <w:t>CURRENT REPORT</w:t>
      </w:r>
    </w:p>
    <w:p>
      <w:pPr>
        <w:spacing w:after="0" w:line="26" w:lineRule="exact"/>
        <w:rPr>
          <w:sz w:val="24"/>
          <w:szCs w:val="24"/>
          <w:color w:val="auto"/>
        </w:rPr>
      </w:pPr>
    </w:p>
    <w:p>
      <w:pPr>
        <w:jc w:val="center"/>
        <w:ind w:right="-299"/>
        <w:spacing w:after="0"/>
        <w:rPr>
          <w:sz w:val="20"/>
          <w:szCs w:val="20"/>
          <w:color w:val="auto"/>
        </w:rPr>
      </w:pPr>
      <w:r>
        <w:rPr>
          <w:rFonts w:ascii="Arial" w:cs="Arial" w:eastAsia="Arial" w:hAnsi="Arial"/>
          <w:sz w:val="17"/>
          <w:szCs w:val="17"/>
          <w:b w:val="1"/>
          <w:bCs w:val="1"/>
          <w:color w:val="auto"/>
        </w:rPr>
        <w:t>Pursuant to Section 13 of the Securities Exchange Act of 1934</w:t>
      </w:r>
    </w:p>
    <w:p>
      <w:pPr>
        <w:spacing w:after="0" w:line="372" w:lineRule="exact"/>
        <w:rPr>
          <w:sz w:val="24"/>
          <w:szCs w:val="24"/>
          <w:color w:val="auto"/>
        </w:rPr>
      </w:pPr>
    </w:p>
    <w:p>
      <w:pPr>
        <w:jc w:val="center"/>
        <w:ind w:right="-299"/>
        <w:spacing w:after="0"/>
        <w:rPr>
          <w:sz w:val="20"/>
          <w:szCs w:val="20"/>
          <w:color w:val="auto"/>
        </w:rPr>
      </w:pPr>
      <w:r>
        <w:rPr>
          <w:rFonts w:ascii="Arial" w:cs="Arial" w:eastAsia="Arial" w:hAnsi="Arial"/>
          <w:sz w:val="14"/>
          <w:szCs w:val="14"/>
          <w:b w:val="1"/>
          <w:bCs w:val="1"/>
          <w:color w:val="auto"/>
        </w:rPr>
        <w:t xml:space="preserve">Date of Report (Date of earliest event reported): </w:t>
      </w:r>
      <w:r>
        <w:rPr>
          <w:rFonts w:ascii="Arial" w:cs="Arial" w:eastAsia="Arial" w:hAnsi="Arial"/>
          <w:sz w:val="15"/>
          <w:szCs w:val="15"/>
          <w:b w:val="1"/>
          <w:bCs w:val="1"/>
          <w:color w:val="auto"/>
        </w:rPr>
        <w:t>July 31, 2023</w:t>
      </w:r>
    </w:p>
    <w:p>
      <w:pPr>
        <w:spacing w:after="0" w:line="197" w:lineRule="exact"/>
        <w:rPr>
          <w:sz w:val="24"/>
          <w:szCs w:val="24"/>
          <w:color w:val="auto"/>
        </w:rPr>
      </w:pPr>
    </w:p>
    <w:p>
      <w:pPr>
        <w:jc w:val="center"/>
        <w:ind w:right="-299"/>
        <w:spacing w:after="0"/>
        <w:rPr>
          <w:sz w:val="20"/>
          <w:szCs w:val="20"/>
          <w:color w:val="auto"/>
        </w:rPr>
      </w:pPr>
      <w:r>
        <w:rPr>
          <w:rFonts w:ascii="Arial" w:cs="Arial" w:eastAsia="Arial" w:hAnsi="Arial"/>
          <w:sz w:val="31"/>
          <w:szCs w:val="31"/>
          <w:b w:val="1"/>
          <w:bCs w:val="1"/>
          <w:u w:val="single" w:color="auto"/>
          <w:color w:val="auto"/>
        </w:rPr>
        <w:t>T. Rowe Price Group, Inc.</w:t>
      </w:r>
    </w:p>
    <w:p>
      <w:pPr>
        <w:spacing w:after="0" w:line="37" w:lineRule="exact"/>
        <w:rPr>
          <w:sz w:val="24"/>
          <w:szCs w:val="24"/>
          <w:color w:val="auto"/>
        </w:rPr>
      </w:pPr>
    </w:p>
    <w:p>
      <w:pPr>
        <w:jc w:val="center"/>
        <w:ind w:right="-299"/>
        <w:spacing w:after="0"/>
        <w:rPr>
          <w:sz w:val="20"/>
          <w:szCs w:val="20"/>
          <w:color w:val="auto"/>
        </w:rPr>
      </w:pPr>
      <w:r>
        <w:rPr>
          <w:rFonts w:ascii="Arial" w:cs="Arial" w:eastAsia="Arial" w:hAnsi="Arial"/>
          <w:sz w:val="14"/>
          <w:szCs w:val="14"/>
          <w:color w:val="auto"/>
        </w:rPr>
        <w:t>(Exact name of registrant as specified in its charter)</w:t>
      </w:r>
    </w:p>
    <w:p>
      <w:pPr>
        <w:spacing w:after="0" w:line="79" w:lineRule="exact"/>
        <w:rPr>
          <w:sz w:val="24"/>
          <w:szCs w:val="24"/>
          <w:color w:val="auto"/>
        </w:rPr>
      </w:pPr>
    </w:p>
    <w:tbl>
      <w:tblPr>
        <w:tblLayout w:type="fixed"/>
        <w:tblInd w:w="3260" w:type="dxa"/>
        <w:tblCellMar>
          <w:top w:w="0" w:type="dxa"/>
          <w:left w:w="0" w:type="dxa"/>
          <w:bottom w:w="0" w:type="dxa"/>
          <w:right w:w="0" w:type="dxa"/>
        </w:tblCellMar>
      </w:tblPr>
      <w:tr>
        <w:trPr>
          <w:trHeight w:val="195"/>
        </w:trPr>
        <w:tc>
          <w:tcPr>
            <w:tcW w:w="1540" w:type="dxa"/>
            <w:vAlign w:val="bottom"/>
            <w:gridSpan w:val="4"/>
          </w:tcPr>
          <w:p>
            <w:pPr>
              <w:jc w:val="center"/>
              <w:ind w:right="740"/>
              <w:spacing w:after="0"/>
              <w:rPr>
                <w:sz w:val="20"/>
                <w:szCs w:val="20"/>
                <w:color w:val="auto"/>
              </w:rPr>
            </w:pPr>
            <w:r>
              <w:rPr>
                <w:rFonts w:ascii="Arial" w:cs="Arial" w:eastAsia="Arial" w:hAnsi="Arial"/>
                <w:sz w:val="17"/>
                <w:szCs w:val="17"/>
                <w:b w:val="1"/>
                <w:bCs w:val="1"/>
                <w:color w:val="auto"/>
                <w:w w:val="96"/>
              </w:rPr>
              <w:t>Maryland</w:t>
            </w:r>
          </w:p>
        </w:tc>
        <w:tc>
          <w:tcPr>
            <w:tcW w:w="1500" w:type="dxa"/>
            <w:vAlign w:val="bottom"/>
            <w:gridSpan w:val="2"/>
          </w:tcPr>
          <w:p>
            <w:pPr>
              <w:ind w:left="760"/>
              <w:spacing w:after="0"/>
              <w:rPr>
                <w:sz w:val="20"/>
                <w:szCs w:val="20"/>
                <w:color w:val="auto"/>
              </w:rPr>
            </w:pPr>
            <w:r>
              <w:rPr>
                <w:rFonts w:ascii="Arial" w:cs="Arial" w:eastAsia="Arial" w:hAnsi="Arial"/>
                <w:sz w:val="17"/>
                <w:szCs w:val="17"/>
                <w:b w:val="1"/>
                <w:bCs w:val="1"/>
                <w:color w:val="auto"/>
                <w:w w:val="88"/>
              </w:rPr>
              <w:t>000-32191</w:t>
            </w:r>
          </w:p>
        </w:tc>
        <w:tc>
          <w:tcPr>
            <w:tcW w:w="380" w:type="dxa"/>
            <w:vAlign w:val="bottom"/>
          </w:tcPr>
          <w:p>
            <w:pPr>
              <w:spacing w:after="0"/>
              <w:rPr>
                <w:sz w:val="16"/>
                <w:szCs w:val="16"/>
                <w:color w:val="auto"/>
              </w:rPr>
            </w:pPr>
          </w:p>
        </w:tc>
        <w:tc>
          <w:tcPr>
            <w:tcW w:w="1760" w:type="dxa"/>
            <w:vAlign w:val="bottom"/>
            <w:gridSpan w:val="4"/>
          </w:tcPr>
          <w:p>
            <w:pPr>
              <w:jc w:val="center"/>
              <w:ind w:left="626"/>
              <w:spacing w:after="0"/>
              <w:rPr>
                <w:sz w:val="20"/>
                <w:szCs w:val="20"/>
                <w:color w:val="auto"/>
              </w:rPr>
            </w:pPr>
            <w:r>
              <w:rPr>
                <w:rFonts w:ascii="Arial" w:cs="Arial" w:eastAsia="Arial" w:hAnsi="Arial"/>
                <w:sz w:val="17"/>
                <w:szCs w:val="17"/>
                <w:b w:val="1"/>
                <w:bCs w:val="1"/>
                <w:color w:val="auto"/>
                <w:w w:val="90"/>
              </w:rPr>
              <w:t>52-2264646</w:t>
            </w:r>
          </w:p>
        </w:tc>
      </w:tr>
      <w:tr>
        <w:trPr>
          <w:trHeight w:val="20"/>
        </w:trPr>
        <w:tc>
          <w:tcPr>
            <w:tcW w:w="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2"/>
        </w:trPr>
        <w:tc>
          <w:tcPr>
            <w:tcW w:w="40" w:type="dxa"/>
            <w:vAlign w:val="bottom"/>
          </w:tcPr>
          <w:p>
            <w:pPr>
              <w:spacing w:after="0"/>
              <w:rPr>
                <w:sz w:val="15"/>
                <w:szCs w:val="15"/>
                <w:color w:val="auto"/>
              </w:rPr>
            </w:pPr>
          </w:p>
        </w:tc>
        <w:tc>
          <w:tcPr>
            <w:tcW w:w="720" w:type="dxa"/>
            <w:vAlign w:val="bottom"/>
            <w:gridSpan w:val="2"/>
          </w:tcPr>
          <w:p>
            <w:pPr>
              <w:jc w:val="center"/>
              <w:spacing w:after="0"/>
              <w:rPr>
                <w:sz w:val="20"/>
                <w:szCs w:val="20"/>
                <w:color w:val="auto"/>
              </w:rPr>
            </w:pPr>
            <w:r>
              <w:rPr>
                <w:rFonts w:ascii="Arial" w:cs="Arial" w:eastAsia="Arial" w:hAnsi="Arial"/>
                <w:sz w:val="14"/>
                <w:szCs w:val="14"/>
                <w:color w:val="auto"/>
                <w:w w:val="90"/>
              </w:rPr>
              <w:t>(State of</w:t>
            </w:r>
          </w:p>
        </w:tc>
        <w:tc>
          <w:tcPr>
            <w:tcW w:w="780" w:type="dxa"/>
            <w:vAlign w:val="bottom"/>
          </w:tcPr>
          <w:p>
            <w:pPr>
              <w:spacing w:after="0"/>
              <w:rPr>
                <w:sz w:val="15"/>
                <w:szCs w:val="15"/>
                <w:color w:val="auto"/>
              </w:rPr>
            </w:pPr>
          </w:p>
        </w:tc>
        <w:tc>
          <w:tcPr>
            <w:tcW w:w="1880" w:type="dxa"/>
            <w:vAlign w:val="bottom"/>
            <w:gridSpan w:val="3"/>
          </w:tcPr>
          <w:p>
            <w:pPr>
              <w:ind w:left="760"/>
              <w:spacing w:after="0"/>
              <w:rPr>
                <w:sz w:val="20"/>
                <w:szCs w:val="20"/>
                <w:color w:val="auto"/>
              </w:rPr>
            </w:pPr>
            <w:r>
              <w:rPr>
                <w:rFonts w:ascii="Arial" w:cs="Arial" w:eastAsia="Arial" w:hAnsi="Arial"/>
                <w:sz w:val="14"/>
                <w:szCs w:val="14"/>
                <w:color w:val="auto"/>
              </w:rPr>
              <w:t>(Commission</w:t>
            </w:r>
          </w:p>
        </w:tc>
        <w:tc>
          <w:tcPr>
            <w:tcW w:w="1760" w:type="dxa"/>
            <w:vAlign w:val="bottom"/>
            <w:gridSpan w:val="4"/>
          </w:tcPr>
          <w:p>
            <w:pPr>
              <w:jc w:val="center"/>
              <w:ind w:left="626"/>
              <w:spacing w:after="0"/>
              <w:rPr>
                <w:sz w:val="20"/>
                <w:szCs w:val="20"/>
                <w:color w:val="auto"/>
              </w:rPr>
            </w:pPr>
            <w:r>
              <w:rPr>
                <w:rFonts w:ascii="Arial" w:cs="Arial" w:eastAsia="Arial" w:hAnsi="Arial"/>
                <w:sz w:val="14"/>
                <w:szCs w:val="14"/>
                <w:color w:val="auto"/>
                <w:w w:val="94"/>
              </w:rPr>
              <w:t>(IRS Employer</w:t>
            </w:r>
          </w:p>
        </w:tc>
      </w:tr>
      <w:tr>
        <w:trPr>
          <w:trHeight w:val="180"/>
        </w:trPr>
        <w:tc>
          <w:tcPr>
            <w:tcW w:w="1540" w:type="dxa"/>
            <w:vAlign w:val="bottom"/>
            <w:gridSpan w:val="4"/>
          </w:tcPr>
          <w:p>
            <w:pPr>
              <w:jc w:val="center"/>
              <w:ind w:right="740"/>
              <w:spacing w:after="0"/>
              <w:rPr>
                <w:sz w:val="20"/>
                <w:szCs w:val="20"/>
                <w:color w:val="auto"/>
              </w:rPr>
            </w:pPr>
            <w:r>
              <w:rPr>
                <w:rFonts w:ascii="Arial" w:cs="Arial" w:eastAsia="Arial" w:hAnsi="Arial"/>
                <w:sz w:val="14"/>
                <w:szCs w:val="14"/>
                <w:color w:val="auto"/>
                <w:w w:val="93"/>
              </w:rPr>
              <w:t>incorporation)</w:t>
            </w:r>
          </w:p>
        </w:tc>
        <w:tc>
          <w:tcPr>
            <w:tcW w:w="1880" w:type="dxa"/>
            <w:vAlign w:val="bottom"/>
            <w:gridSpan w:val="3"/>
          </w:tcPr>
          <w:p>
            <w:pPr>
              <w:ind w:left="760"/>
              <w:spacing w:after="0"/>
              <w:rPr>
                <w:sz w:val="20"/>
                <w:szCs w:val="20"/>
                <w:color w:val="auto"/>
              </w:rPr>
            </w:pPr>
            <w:r>
              <w:rPr>
                <w:rFonts w:ascii="Arial" w:cs="Arial" w:eastAsia="Arial" w:hAnsi="Arial"/>
                <w:sz w:val="14"/>
                <w:szCs w:val="14"/>
                <w:color w:val="auto"/>
              </w:rPr>
              <w:t>File Number)</w:t>
            </w:r>
          </w:p>
        </w:tc>
        <w:tc>
          <w:tcPr>
            <w:tcW w:w="1760" w:type="dxa"/>
            <w:vAlign w:val="bottom"/>
            <w:gridSpan w:val="4"/>
          </w:tcPr>
          <w:p>
            <w:pPr>
              <w:jc w:val="center"/>
              <w:ind w:left="646"/>
              <w:spacing w:after="0"/>
              <w:rPr>
                <w:sz w:val="20"/>
                <w:szCs w:val="20"/>
                <w:color w:val="auto"/>
              </w:rPr>
            </w:pPr>
            <w:r>
              <w:rPr>
                <w:rFonts w:ascii="Arial" w:cs="Arial" w:eastAsia="Arial" w:hAnsi="Arial"/>
                <w:sz w:val="14"/>
                <w:szCs w:val="14"/>
                <w:color w:val="auto"/>
                <w:w w:val="95"/>
              </w:rPr>
              <w:t>Identification No.)</w:t>
            </w:r>
          </w:p>
        </w:tc>
      </w:tr>
      <w:tr>
        <w:trPr>
          <w:trHeight w:val="499"/>
        </w:trPr>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740" w:type="dxa"/>
            <w:vAlign w:val="bottom"/>
            <w:gridSpan w:val="9"/>
          </w:tcPr>
          <w:p>
            <w:pPr>
              <w:spacing w:after="0"/>
              <w:rPr>
                <w:sz w:val="20"/>
                <w:szCs w:val="20"/>
                <w:color w:val="auto"/>
              </w:rPr>
            </w:pPr>
            <w:r>
              <w:rPr>
                <w:rFonts w:ascii="Arial" w:cs="Arial" w:eastAsia="Arial" w:hAnsi="Arial"/>
                <w:sz w:val="17"/>
                <w:szCs w:val="17"/>
                <w:b w:val="1"/>
                <w:bCs w:val="1"/>
                <w:color w:val="auto"/>
              </w:rPr>
              <w:t>100 East Pratt Street, Baltimore, Maryland 21202</w:t>
            </w:r>
          </w:p>
        </w:tc>
      </w:tr>
      <w:tr>
        <w:trPr>
          <w:trHeight w:val="20"/>
        </w:trPr>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980" w:type="dxa"/>
            <w:vAlign w:val="bottom"/>
            <w:gridSpan w:val="5"/>
            <w:shd w:val="clear" w:color="auto" w:fill="000000"/>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r>
      <w:tr>
        <w:trPr>
          <w:trHeight w:val="298"/>
        </w:trPr>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980" w:type="dxa"/>
            <w:vAlign w:val="bottom"/>
            <w:gridSpan w:val="5"/>
          </w:tcPr>
          <w:p>
            <w:pPr>
              <w:ind w:left="200"/>
              <w:spacing w:after="0"/>
              <w:rPr>
                <w:sz w:val="20"/>
                <w:szCs w:val="20"/>
                <w:color w:val="auto"/>
              </w:rPr>
            </w:pPr>
            <w:r>
              <w:rPr>
                <w:rFonts w:ascii="Arial" w:cs="Arial" w:eastAsia="Arial" w:hAnsi="Arial"/>
                <w:sz w:val="14"/>
                <w:szCs w:val="14"/>
                <w:color w:val="auto"/>
              </w:rPr>
              <w:t>(Address of principal executive offices)</w:t>
            </w:r>
          </w:p>
        </w:tc>
        <w:tc>
          <w:tcPr>
            <w:tcW w:w="1760" w:type="dxa"/>
            <w:vAlign w:val="bottom"/>
            <w:gridSpan w:val="4"/>
          </w:tcPr>
          <w:p>
            <w:pPr>
              <w:ind w:left="380"/>
              <w:spacing w:after="0"/>
              <w:rPr>
                <w:sz w:val="20"/>
                <w:szCs w:val="20"/>
                <w:color w:val="auto"/>
              </w:rPr>
            </w:pPr>
            <w:r>
              <w:rPr>
                <w:rFonts w:ascii="Arial" w:cs="Arial" w:eastAsia="Arial" w:hAnsi="Arial"/>
                <w:sz w:val="14"/>
                <w:szCs w:val="14"/>
                <w:color w:val="auto"/>
              </w:rPr>
              <w:t>(Zip Code)</w:t>
            </w:r>
          </w:p>
        </w:tc>
      </w:tr>
    </w:tbl>
    <w:p>
      <w:pPr>
        <w:spacing w:after="0" w:line="251" w:lineRule="exact"/>
        <w:rPr>
          <w:sz w:val="24"/>
          <w:szCs w:val="24"/>
          <w:color w:val="auto"/>
        </w:rPr>
      </w:pPr>
    </w:p>
    <w:p>
      <w:pPr>
        <w:jc w:val="center"/>
        <w:ind w:right="-299"/>
        <w:spacing w:after="0"/>
        <w:rPr>
          <w:sz w:val="20"/>
          <w:szCs w:val="20"/>
          <w:color w:val="auto"/>
        </w:rPr>
      </w:pPr>
      <w:r>
        <w:rPr>
          <w:rFonts w:ascii="Arial" w:cs="Arial" w:eastAsia="Arial" w:hAnsi="Arial"/>
          <w:sz w:val="14"/>
          <w:szCs w:val="14"/>
          <w:color w:val="auto"/>
        </w:rPr>
        <w:t xml:space="preserve">Registrant's telephone number, including area code: </w:t>
      </w:r>
      <w:r>
        <w:rPr>
          <w:rFonts w:ascii="Arial" w:cs="Arial" w:eastAsia="Arial" w:hAnsi="Arial"/>
          <w:sz w:val="16"/>
          <w:szCs w:val="16"/>
          <w:b w:val="1"/>
          <w:bCs w:val="1"/>
          <w:u w:val="single" w:color="auto"/>
          <w:color w:val="auto"/>
        </w:rPr>
        <w:t>(410) 345-2000</w:t>
      </w:r>
    </w:p>
    <w:p>
      <w:pPr>
        <w:spacing w:after="0" w:line="212" w:lineRule="exact"/>
        <w:rPr>
          <w:sz w:val="24"/>
          <w:szCs w:val="24"/>
          <w:color w:val="auto"/>
        </w:rPr>
      </w:pPr>
    </w:p>
    <w:p>
      <w:pPr>
        <w:jc w:val="center"/>
        <w:ind w:right="-299"/>
        <w:spacing w:after="0"/>
        <w:rPr>
          <w:sz w:val="20"/>
          <w:szCs w:val="20"/>
          <w:color w:val="auto"/>
        </w:rPr>
      </w:pPr>
      <w:r>
        <w:rPr>
          <w:rFonts w:ascii="Arial" w:cs="Arial" w:eastAsia="Arial" w:hAnsi="Arial"/>
          <w:sz w:val="14"/>
          <w:szCs w:val="14"/>
          <w:color w:val="auto"/>
        </w:rPr>
        <w:t>N/A</w:t>
      </w:r>
    </w:p>
    <w:p>
      <w:pPr>
        <w:spacing w:after="0" w:line="19" w:lineRule="exact"/>
        <w:rPr>
          <w:sz w:val="24"/>
          <w:szCs w:val="24"/>
          <w:color w:val="auto"/>
        </w:rPr>
      </w:pPr>
    </w:p>
    <w:p>
      <w:pPr>
        <w:jc w:val="center"/>
        <w:ind w:right="-299"/>
        <w:spacing w:after="0"/>
        <w:rPr>
          <w:sz w:val="20"/>
          <w:szCs w:val="20"/>
          <w:color w:val="auto"/>
        </w:rPr>
      </w:pPr>
      <w:r>
        <w:rPr>
          <w:rFonts w:ascii="Arial" w:cs="Arial" w:eastAsia="Arial" w:hAnsi="Arial"/>
          <w:sz w:val="14"/>
          <w:szCs w:val="14"/>
          <w:color w:val="auto"/>
        </w:rPr>
        <w:t>(Former Name of Former Address, if Changed Since Last Report)</w:t>
      </w:r>
    </w:p>
    <w:p>
      <w:pPr>
        <w:spacing w:after="0" w:line="190" w:lineRule="exact"/>
        <w:rPr>
          <w:sz w:val="24"/>
          <w:szCs w:val="24"/>
          <w:color w:val="auto"/>
        </w:rPr>
      </w:pPr>
    </w:p>
    <w:p>
      <w:pPr>
        <w:spacing w:after="0"/>
        <w:rPr>
          <w:sz w:val="20"/>
          <w:szCs w:val="20"/>
          <w:color w:val="auto"/>
        </w:rPr>
      </w:pPr>
      <w:r>
        <w:rPr>
          <w:rFonts w:ascii="Arial" w:cs="Arial" w:eastAsia="Arial" w:hAnsi="Arial"/>
          <w:sz w:val="14"/>
          <w:szCs w:val="14"/>
          <w:color w:val="auto"/>
        </w:rPr>
        <w:t>Check the appropriate box below if the Form 8-K filing is intended to simultaneously satisfy the filing obligation of the registrant under any of the following provisions:</w:t>
      </w:r>
    </w:p>
    <w:p>
      <w:pPr>
        <w:spacing w:after="0" w:line="200" w:lineRule="exact"/>
        <w:rPr>
          <w:sz w:val="24"/>
          <w:szCs w:val="24"/>
          <w:color w:val="auto"/>
        </w:rPr>
      </w:pPr>
    </w:p>
    <w:p>
      <w:pPr>
        <w:ind w:left="280" w:hanging="275"/>
        <w:spacing w:after="0"/>
        <w:tabs>
          <w:tab w:leader="none" w:pos="28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Written communications pursuant to Rule 425 under the Securities Act (17 CFR 230.425)</w:t>
      </w:r>
    </w:p>
    <w:p>
      <w:pPr>
        <w:spacing w:after="0" w:line="199" w:lineRule="exact"/>
        <w:rPr>
          <w:rFonts w:ascii="MS PGothic" w:cs="MS PGothic" w:eastAsia="MS PGothic" w:hAnsi="MS PGothic"/>
          <w:sz w:val="14"/>
          <w:szCs w:val="14"/>
          <w:color w:val="auto"/>
        </w:rPr>
      </w:pPr>
    </w:p>
    <w:p>
      <w:pPr>
        <w:ind w:left="280" w:hanging="275"/>
        <w:spacing w:after="0"/>
        <w:tabs>
          <w:tab w:leader="none" w:pos="28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Soliciting material pursuant to Rule 14a-12 under the Exchange Act (17 CFR 240.14a-12)</w:t>
      </w:r>
    </w:p>
    <w:p>
      <w:pPr>
        <w:spacing w:after="0" w:line="199" w:lineRule="exact"/>
        <w:rPr>
          <w:rFonts w:ascii="MS PGothic" w:cs="MS PGothic" w:eastAsia="MS PGothic" w:hAnsi="MS PGothic"/>
          <w:sz w:val="14"/>
          <w:szCs w:val="14"/>
          <w:color w:val="auto"/>
        </w:rPr>
      </w:pPr>
    </w:p>
    <w:p>
      <w:pPr>
        <w:ind w:left="280" w:hanging="275"/>
        <w:spacing w:after="0"/>
        <w:tabs>
          <w:tab w:leader="none" w:pos="28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Pre-commencement communications pursuant to Rule 14d-2(b) under the Exchange Act (17 CFR 240.14d-2(b))</w:t>
      </w:r>
    </w:p>
    <w:p>
      <w:pPr>
        <w:spacing w:after="0" w:line="199" w:lineRule="exact"/>
        <w:rPr>
          <w:rFonts w:ascii="MS PGothic" w:cs="MS PGothic" w:eastAsia="MS PGothic" w:hAnsi="MS PGothic"/>
          <w:sz w:val="14"/>
          <w:szCs w:val="14"/>
          <w:color w:val="auto"/>
        </w:rPr>
      </w:pPr>
    </w:p>
    <w:p>
      <w:pPr>
        <w:ind w:left="280" w:hanging="275"/>
        <w:spacing w:after="0"/>
        <w:tabs>
          <w:tab w:leader="none" w:pos="28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Pre-commencement communications pursuant to Rule 13e-4(c) under the Exchange Act (17 CFR 240.13e-4(c))</w:t>
      </w:r>
    </w:p>
    <w:p>
      <w:pPr>
        <w:spacing w:after="0" w:line="274" w:lineRule="exact"/>
        <w:rPr>
          <w:sz w:val="24"/>
          <w:szCs w:val="24"/>
          <w:color w:val="auto"/>
        </w:rPr>
      </w:pPr>
    </w:p>
    <w:p>
      <w:pPr>
        <w:spacing w:after="0"/>
        <w:rPr>
          <w:sz w:val="20"/>
          <w:szCs w:val="20"/>
          <w:color w:val="auto"/>
        </w:rPr>
      </w:pPr>
      <w:r>
        <w:rPr>
          <w:rFonts w:ascii="Arial" w:cs="Arial" w:eastAsia="Arial" w:hAnsi="Arial"/>
          <w:sz w:val="14"/>
          <w:szCs w:val="14"/>
          <w:color w:val="auto"/>
        </w:rPr>
        <w:t>Securities registered pursuant to Section 12(b) of the Act:</w:t>
      </w:r>
    </w:p>
    <w:p>
      <w:pPr>
        <w:sectPr>
          <w:pgSz w:w="11900" w:h="16838" w:orient="portrait"/>
          <w:cols w:equalWidth="0" w:num="1">
            <w:col w:w="11000"/>
          </w:cols>
          <w:pgMar w:left="300" w:top="815" w:right="599" w:bottom="1440" w:gutter="0" w:footer="0" w:header="0"/>
        </w:sectPr>
      </w:pPr>
    </w:p>
    <w:p>
      <w:pPr>
        <w:spacing w:after="0" w:line="107" w:lineRule="exact"/>
        <w:rPr>
          <w:sz w:val="24"/>
          <w:szCs w:val="24"/>
          <w:color w:val="auto"/>
        </w:rPr>
      </w:pPr>
    </w:p>
    <w:p>
      <w:pPr>
        <w:ind w:left="2660"/>
        <w:spacing w:after="0"/>
        <w:rPr>
          <w:sz w:val="20"/>
          <w:szCs w:val="20"/>
          <w:color w:val="auto"/>
        </w:rPr>
      </w:pPr>
      <w:r>
        <w:rPr>
          <w:rFonts w:ascii="Arial" w:cs="Arial" w:eastAsia="Arial" w:hAnsi="Arial"/>
          <w:sz w:val="13"/>
          <w:szCs w:val="13"/>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Trading Symbol</w:t>
      </w:r>
    </w:p>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Name of each exchange on which registered</w:t>
      </w:r>
    </w:p>
    <w:p>
      <w:pPr>
        <w:spacing w:after="0" w:line="49" w:lineRule="exact"/>
        <w:rPr>
          <w:sz w:val="24"/>
          <w:szCs w:val="24"/>
          <w:color w:val="auto"/>
        </w:rPr>
      </w:pPr>
    </w:p>
    <w:p>
      <w:pPr>
        <w:sectPr>
          <w:pgSz w:w="11900" w:h="16838" w:orient="portrait"/>
          <w:cols w:equalWidth="0" w:num="3">
            <w:col w:w="3940" w:space="720"/>
            <w:col w:w="1060" w:space="360"/>
            <w:col w:w="4920"/>
          </w:cols>
          <w:pgMar w:left="300" w:top="815" w:right="599" w:bottom="1440" w:gutter="0" w:footer="0" w:header="0"/>
          <w:type w:val="continuous"/>
        </w:sectPr>
      </w:pPr>
    </w:p>
    <w:p>
      <w:pPr>
        <w:ind w:left="2240"/>
        <w:spacing w:after="0"/>
        <w:rPr>
          <w:sz w:val="20"/>
          <w:szCs w:val="20"/>
          <w:color w:val="auto"/>
        </w:rPr>
      </w:pPr>
      <w:r>
        <w:rPr>
          <w:rFonts w:ascii="Arial" w:cs="Arial" w:eastAsia="Arial" w:hAnsi="Arial"/>
          <w:sz w:val="14"/>
          <w:szCs w:val="14"/>
          <w:color w:val="auto"/>
        </w:rPr>
        <w:t>Common Stock, par value $0.20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TROW</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The NASDAQ Stock Market LLC</w:t>
      </w:r>
    </w:p>
    <w:p>
      <w:pPr>
        <w:spacing w:after="0" w:line="200" w:lineRule="exact"/>
        <w:rPr>
          <w:sz w:val="24"/>
          <w:szCs w:val="24"/>
          <w:color w:val="auto"/>
        </w:rPr>
      </w:pPr>
    </w:p>
    <w:p>
      <w:pPr>
        <w:sectPr>
          <w:pgSz w:w="11900" w:h="16838" w:orient="portrait"/>
          <w:cols w:equalWidth="0" w:num="3">
            <w:col w:w="4260" w:space="720"/>
            <w:col w:w="860" w:space="720"/>
            <w:col w:w="4440"/>
          </w:cols>
          <w:pgMar w:left="300" w:top="815" w:right="599" w:bottom="1440" w:gutter="0" w:footer="0" w:header="0"/>
          <w:type w:val="continuous"/>
        </w:sectPr>
      </w:pPr>
    </w:p>
    <w:p>
      <w:pPr>
        <w:spacing w:after="0" w:line="74" w:lineRule="exact"/>
        <w:rPr>
          <w:sz w:val="24"/>
          <w:szCs w:val="24"/>
          <w:color w:val="auto"/>
        </w:rPr>
      </w:pPr>
    </w:p>
    <w:p>
      <w:pPr>
        <w:spacing w:after="0" w:line="258" w:lineRule="auto"/>
        <w:rPr>
          <w:sz w:val="20"/>
          <w:szCs w:val="20"/>
          <w:color w:val="auto"/>
        </w:rPr>
      </w:pPr>
      <w:r>
        <w:rPr>
          <w:rFonts w:ascii="Arial" w:cs="Arial" w:eastAsia="Arial" w:hAnsi="Arial"/>
          <w:sz w:val="14"/>
          <w:szCs w:val="14"/>
          <w:color w:val="auto"/>
        </w:rPr>
        <w:t>Indicate by check mark whether the registrant is an emerging growth company as defined in Rule 405 of the Securities Act of 1933 (230.405 of this chapter) or Rule 12b-2 of the Securities Exchange Act of 1934 (§240.12-2 of this chapter).</w:t>
      </w:r>
    </w:p>
    <w:p>
      <w:pPr>
        <w:ind w:left="1580"/>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129" w:lineRule="exact"/>
        <w:rPr>
          <w:sz w:val="24"/>
          <w:szCs w:val="24"/>
          <w:color w:val="auto"/>
        </w:rPr>
      </w:pPr>
    </w:p>
    <w:p>
      <w:pPr>
        <w:ind w:right="260"/>
        <w:spacing w:after="0" w:line="186"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532765</wp:posOffset>
            </wp:positionV>
            <wp:extent cx="71869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000"/>
          </w:cols>
          <w:pgMar w:left="300" w:top="815" w:right="59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7"/>
          <w:szCs w:val="17"/>
          <w:b w:val="1"/>
          <w:bCs w:val="1"/>
          <w:color w:val="auto"/>
        </w:rPr>
        <w:t>Section 5 - Corporate Governance and Management</w:t>
      </w:r>
    </w:p>
    <w:p>
      <w:pPr>
        <w:spacing w:after="0" w:line="7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5.02. Departure of Directors or Certain Officers; Election of Directors; Appointment of Certain Officers; Compensatory Arrangements of Certain Officers.</w:t>
      </w:r>
    </w:p>
    <w:p>
      <w:pPr>
        <w:spacing w:after="0" w:line="206" w:lineRule="exact"/>
        <w:rPr>
          <w:sz w:val="20"/>
          <w:szCs w:val="20"/>
          <w:color w:val="auto"/>
        </w:rPr>
      </w:pPr>
    </w:p>
    <w:p>
      <w:pPr>
        <w:jc w:val="both"/>
        <w:spacing w:after="0" w:line="233" w:lineRule="auto"/>
        <w:rPr>
          <w:sz w:val="20"/>
          <w:szCs w:val="20"/>
          <w:color w:val="auto"/>
        </w:rPr>
      </w:pPr>
      <w:r>
        <w:rPr>
          <w:rFonts w:ascii="Arial" w:cs="Arial" w:eastAsia="Arial" w:hAnsi="Arial"/>
          <w:sz w:val="16"/>
          <w:szCs w:val="16"/>
          <w:color w:val="auto"/>
        </w:rPr>
        <w:t>On July 31, 2023, the Board of Directors (the “Board”) of T. Rowe Price Group, Inc. (the “Company”) increased the number of directors from 11 to 12, and elected Ms. Cynthia F. Smith as a director of the Company. Ms. Smith was appointed to the Audit Committee and to the Executive Compensation and Management Development Committee.</w:t>
      </w:r>
    </w:p>
    <w:p>
      <w:pPr>
        <w:spacing w:after="0" w:line="175"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The Board determined that Ms. Smith is an “independent director” in accordance with the NASDAQ Listed Company Rules, the rules and regulations of the Securities and Exchange Commission and the Company’s Corporate Governance Guidelines.</w:t>
      </w:r>
    </w:p>
    <w:p>
      <w:pPr>
        <w:spacing w:after="0" w:line="175" w:lineRule="exact"/>
        <w:rPr>
          <w:sz w:val="20"/>
          <w:szCs w:val="20"/>
          <w:color w:val="auto"/>
        </w:rPr>
      </w:pPr>
    </w:p>
    <w:p>
      <w:pPr>
        <w:ind w:right="80"/>
        <w:spacing w:after="0" w:line="231" w:lineRule="auto"/>
        <w:rPr>
          <w:sz w:val="20"/>
          <w:szCs w:val="20"/>
          <w:color w:val="auto"/>
        </w:rPr>
      </w:pPr>
      <w:r>
        <w:rPr>
          <w:rFonts w:ascii="Arial" w:cs="Arial" w:eastAsia="Arial" w:hAnsi="Arial"/>
          <w:sz w:val="16"/>
          <w:szCs w:val="16"/>
          <w:color w:val="auto"/>
        </w:rPr>
        <w:t>Ms. Smith has been the senior vice president for regional business and distribution development of MetLife, Inc. (“MetLife”), one of the world's leading financial services companies, providing insurance, annuities, employee benefits and asset management, since 2016, and has been with MetLife since 1993. Previously, Ms. Smith served as vice president of: the customer unit (Midwest) in MetLife’s group benefits national accounts organization; the group, voluntary &amp; worksite sales regional market (Southeast region); MetLife’s executive benefits sales organization; group insurance underwriting; strategic planning for the institutional business organization; and institutional business service, operations, and underwriting. Additionally, served held a variety of roles in MetLife’s finance organization, including chief financial officer of sales and service and the institutional financial planning officer.</w:t>
      </w:r>
    </w:p>
    <w:p>
      <w:pPr>
        <w:spacing w:after="0" w:line="168" w:lineRule="exact"/>
        <w:rPr>
          <w:sz w:val="20"/>
          <w:szCs w:val="20"/>
          <w:color w:val="auto"/>
        </w:rPr>
      </w:pPr>
    </w:p>
    <w:p>
      <w:pPr>
        <w:ind w:right="340"/>
        <w:spacing w:after="0" w:line="251" w:lineRule="auto"/>
        <w:rPr>
          <w:sz w:val="20"/>
          <w:szCs w:val="20"/>
          <w:color w:val="auto"/>
        </w:rPr>
      </w:pPr>
      <w:r>
        <w:rPr>
          <w:rFonts w:ascii="Arial" w:cs="Arial" w:eastAsia="Arial" w:hAnsi="Arial"/>
          <w:sz w:val="16"/>
          <w:szCs w:val="16"/>
          <w:color w:val="auto"/>
        </w:rPr>
        <w:t>Ms. Smith earned a B.A. in accounting from Aurora University and a M.B.A. with a concentration in information technology from Benedictine University. She is a certified management accountant and a graduate of the executive management program at the Smith College.</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color w:val="auto"/>
        </w:rPr>
        <w:t>Ms. Smith is a member of the boards of directors for Versant Health and MetLife Legal Plans, Inc., which are both wholly owned subsidiaries of MetLife.</w:t>
      </w:r>
    </w:p>
    <w:p>
      <w:pPr>
        <w:spacing w:after="0" w:line="2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9 - Financial Statements and Exhibits.</w:t>
      </w:r>
    </w:p>
    <w:p>
      <w:pPr>
        <w:spacing w:after="0" w:line="2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9.01. Financial Statements and Exhibits.</w:t>
      </w:r>
    </w:p>
    <w:p>
      <w:pPr>
        <w:spacing w:after="0" w:line="208" w:lineRule="exact"/>
        <w:rPr>
          <w:sz w:val="20"/>
          <w:szCs w:val="20"/>
          <w:color w:val="auto"/>
        </w:rPr>
      </w:pPr>
    </w:p>
    <w:p>
      <w:pPr>
        <w:spacing w:after="0"/>
        <w:rPr>
          <w:sz w:val="20"/>
          <w:szCs w:val="20"/>
          <w:color w:val="auto"/>
        </w:rPr>
      </w:pPr>
      <w:r>
        <w:rPr>
          <w:rFonts w:ascii="Arial" w:cs="Arial" w:eastAsia="Arial" w:hAnsi="Arial"/>
          <w:sz w:val="14"/>
          <w:szCs w:val="14"/>
          <w:color w:val="auto"/>
        </w:rPr>
        <w:t>(d) Exhibits.</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99.1 Press Release Dated August 3, 2023.</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SIGNATURES</w:t>
      </w:r>
    </w:p>
    <w:p>
      <w:pPr>
        <w:spacing w:after="0" w:line="199" w:lineRule="exact"/>
        <w:rPr>
          <w:sz w:val="20"/>
          <w:szCs w:val="20"/>
          <w:color w:val="auto"/>
        </w:rPr>
      </w:pPr>
    </w:p>
    <w:p>
      <w:pPr>
        <w:ind w:right="480"/>
        <w:spacing w:after="0" w:line="251" w:lineRule="auto"/>
        <w:rPr>
          <w:sz w:val="20"/>
          <w:szCs w:val="20"/>
          <w:color w:val="auto"/>
        </w:rPr>
      </w:pPr>
      <w:r>
        <w:rPr>
          <w:rFonts w:ascii="Arial" w:cs="Arial" w:eastAsia="Arial" w:hAnsi="Arial"/>
          <w:sz w:val="16"/>
          <w:szCs w:val="16"/>
          <w:color w:val="auto"/>
        </w:rPr>
        <w:t>Pursuant to the requirements of the Securities Exchange Act of 1934, as amended, the registrant has duly caused this report to be signed on its behalf by the undersigned hereunto duly authorized.</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 Rowe Price Group, Inc.</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color w:val="auto"/>
        </w:rPr>
        <w:t>By: /s/ David Oestreicher</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David Oestreicher</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Vice President, General Counsel and Secretary</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Date: August 3, 2023</w:t>
      </w:r>
    </w:p>
    <w:p>
      <w:pPr>
        <w:sectPr>
          <w:pgSz w:w="11900" w:h="16838" w:orient="portrait"/>
          <w:cols w:equalWidth="0" w:num="1">
            <w:col w:w="11280"/>
          </w:cols>
          <w:pgMar w:left="300" w:top="804" w:right="319" w:bottom="1440" w:gutter="0" w:footer="0" w:header="0"/>
        </w:sectPr>
      </w:pPr>
    </w:p>
    <w:bookmarkStart w:id="2" w:name="page3"/>
    <w:bookmarkEnd w:id="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9618980</wp:posOffset>
            </wp:positionV>
            <wp:extent cx="7110730" cy="196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0730" cy="19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2023-08-03T09:14:47Z</dcterms:created>
  <dcterms:modified xsi:type="dcterms:W3CDTF">2023-08-03T09:14:47Z</dcterms:modified>
</cp:coreProperties>
</file>