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4" w:lineRule="auto"/>
        <w:framePr w:w="1060" w:h="130" w:wrap="auto" w:vAnchor="page" w:hAnchor="page" w:x="6820" w:y="4861"/>
        <w:rPr>
          <w:rFonts w:ascii="Arial" w:cs="Arial" w:eastAsia="Arial" w:hAnsi="Arial"/>
          <w:sz w:val="14"/>
          <w:szCs w:val="14"/>
          <w:b w:val="1"/>
          <w:bCs w:val="1"/>
          <w:u w:val="single" w:color="auto"/>
          <w:color w:val="auto"/>
        </w:rPr>
      </w:pPr>
      <w:r>
        <w:rPr>
          <w:rFonts w:ascii="Arial" w:cs="Arial" w:eastAsia="Arial" w:hAnsi="Arial"/>
          <w:sz w:val="14"/>
          <w:szCs w:val="14"/>
          <w:b w:val="1"/>
          <w:bCs w:val="1"/>
          <w:u w:val="single" w:color="auto"/>
          <w:color w:val="auto"/>
        </w:rPr>
        <w:t>(410) 345-2000</w:t>
      </w:r>
    </w:p>
    <w:p>
      <w:pPr>
        <w:spacing w:after="0" w:line="202" w:lineRule="auto"/>
        <w:framePr w:w="620" w:h="107" w:wrap="auto" w:vAnchor="page" w:hAnchor="page" w:x="7100" w:y="4488"/>
        <w:rPr>
          <w:rFonts w:ascii="Arial" w:cs="Arial" w:eastAsia="Arial" w:hAnsi="Arial"/>
          <w:sz w:val="11"/>
          <w:szCs w:val="11"/>
          <w:b w:val="1"/>
          <w:bCs w:val="1"/>
          <w:u w:val="single" w:color="auto"/>
          <w:color w:val="auto"/>
        </w:rPr>
      </w:pPr>
      <w:r>
        <w:rPr>
          <w:rFonts w:ascii="Arial" w:cs="Arial" w:eastAsia="Arial" w:hAnsi="Arial"/>
          <w:sz w:val="11"/>
          <w:szCs w:val="11"/>
          <w:b w:val="1"/>
          <w:bCs w:val="1"/>
          <w:u w:val="single" w:color="auto"/>
          <w:color w:val="auto"/>
        </w:rPr>
        <w:t>(Zip Code)</w:t>
      </w:r>
    </w:p>
    <w:p>
      <w:pPr>
        <w:jc w:val="center"/>
        <w:ind w:right="-7"/>
        <w:spacing w:after="0"/>
        <w:rPr>
          <w:sz w:val="20"/>
          <w:szCs w:val="20"/>
          <w:color w:val="auto"/>
        </w:rPr>
      </w:pPr>
      <w:r>
        <w:rPr>
          <w:rFonts w:ascii="Arial" w:cs="Arial" w:eastAsia="Arial" w:hAnsi="Arial"/>
          <w:sz w:val="14"/>
          <w:szCs w:val="14"/>
          <w:b w:val="1"/>
          <w:bCs w:val="1"/>
          <w:color w:val="auto"/>
        </w:rPr>
        <w:t>UNITED STATES</w:t>
      </w:r>
    </w:p>
    <w:p>
      <w:pPr>
        <w:spacing w:after="0" w:line="28" w:lineRule="exact"/>
        <w:rPr>
          <w:rFonts w:ascii="Arial" w:cs="Arial" w:eastAsia="Arial" w:hAnsi="Arial"/>
          <w:sz w:val="11"/>
          <w:szCs w:val="11"/>
          <w:b w:val="1"/>
          <w:bCs w:val="1"/>
          <w:u w:val="single" w:color="auto"/>
          <w:color w:val="auto"/>
        </w:rPr>
      </w:pPr>
    </w:p>
    <w:p>
      <w:pPr>
        <w:jc w:val="center"/>
        <w:ind w:right="-7"/>
        <w:spacing w:after="0"/>
        <w:rPr>
          <w:sz w:val="20"/>
          <w:szCs w:val="20"/>
          <w:color w:val="auto"/>
        </w:rPr>
      </w:pPr>
      <w:r>
        <w:rPr>
          <w:rFonts w:ascii="Arial" w:cs="Arial" w:eastAsia="Arial" w:hAnsi="Arial"/>
          <w:sz w:val="14"/>
          <w:szCs w:val="14"/>
          <w:b w:val="1"/>
          <w:bCs w:val="1"/>
          <w:color w:val="auto"/>
        </w:rPr>
        <w:t>SECURITIES AND EXCHANGE COMMISSION</w:t>
      </w:r>
    </w:p>
    <w:p>
      <w:pPr>
        <w:spacing w:after="0" w:line="10" w:lineRule="exact"/>
        <w:rPr>
          <w:rFonts w:ascii="Arial" w:cs="Arial" w:eastAsia="Arial" w:hAnsi="Arial"/>
          <w:sz w:val="11"/>
          <w:szCs w:val="11"/>
          <w:b w:val="1"/>
          <w:bCs w:val="1"/>
          <w:u w:val="single" w:color="auto"/>
          <w:color w:val="auto"/>
        </w:rPr>
      </w:pPr>
    </w:p>
    <w:p>
      <w:pPr>
        <w:jc w:val="center"/>
        <w:ind w:right="-7"/>
        <w:spacing w:after="0"/>
        <w:rPr>
          <w:sz w:val="20"/>
          <w:szCs w:val="20"/>
          <w:color w:val="auto"/>
        </w:rPr>
      </w:pPr>
      <w:r>
        <w:rPr>
          <w:rFonts w:ascii="Arial" w:cs="Arial" w:eastAsia="Arial" w:hAnsi="Arial"/>
          <w:sz w:val="14"/>
          <w:szCs w:val="14"/>
          <w:b w:val="1"/>
          <w:bCs w:val="1"/>
          <w:color w:val="auto"/>
        </w:rPr>
        <w:t>Washington, D.C. 20549</w:t>
      </w:r>
    </w:p>
    <w:p>
      <w:pPr>
        <w:spacing w:after="0" w:line="19" w:lineRule="exact"/>
        <w:rPr>
          <w:rFonts w:ascii="Arial" w:cs="Arial" w:eastAsia="Arial" w:hAnsi="Arial"/>
          <w:sz w:val="11"/>
          <w:szCs w:val="11"/>
          <w:b w:val="1"/>
          <w:bCs w:val="1"/>
          <w:u w:val="single" w:color="auto"/>
          <w:color w:val="auto"/>
        </w:rPr>
      </w:pPr>
    </w:p>
    <w:p>
      <w:pPr>
        <w:ind w:left="4568"/>
        <w:spacing w:after="0"/>
        <w:rPr>
          <w:sz w:val="20"/>
          <w:szCs w:val="20"/>
          <w:color w:val="auto"/>
        </w:rPr>
      </w:pPr>
      <w:r>
        <w:rPr>
          <w:rFonts w:ascii="Arial" w:cs="Arial" w:eastAsia="Arial" w:hAnsi="Arial"/>
          <w:sz w:val="14"/>
          <w:szCs w:val="14"/>
          <w:color w:val="auto"/>
        </w:rPr>
        <w:t>___________________________</w:t>
      </w:r>
    </w:p>
    <w:p>
      <w:pPr>
        <w:spacing w:after="0" w:line="148" w:lineRule="exact"/>
        <w:rPr>
          <w:rFonts w:ascii="Arial" w:cs="Arial" w:eastAsia="Arial" w:hAnsi="Arial"/>
          <w:sz w:val="11"/>
          <w:szCs w:val="11"/>
          <w:b w:val="1"/>
          <w:bCs w:val="1"/>
          <w:u w:val="single" w:color="auto"/>
          <w:color w:val="auto"/>
        </w:rPr>
      </w:pPr>
    </w:p>
    <w:p>
      <w:pPr>
        <w:jc w:val="center"/>
        <w:ind w:right="-7"/>
        <w:spacing w:after="0"/>
        <w:rPr>
          <w:sz w:val="20"/>
          <w:szCs w:val="20"/>
          <w:color w:val="auto"/>
        </w:rPr>
      </w:pPr>
      <w:r>
        <w:rPr>
          <w:rFonts w:ascii="Arial" w:cs="Arial" w:eastAsia="Arial" w:hAnsi="Arial"/>
          <w:sz w:val="17"/>
          <w:szCs w:val="17"/>
          <w:b w:val="1"/>
          <w:bCs w:val="1"/>
          <w:color w:val="auto"/>
        </w:rPr>
        <w:t>FORM 8-K</w:t>
      </w:r>
    </w:p>
    <w:p>
      <w:pPr>
        <w:spacing w:after="0" w:line="170" w:lineRule="exact"/>
        <w:rPr>
          <w:rFonts w:ascii="Arial" w:cs="Arial" w:eastAsia="Arial" w:hAnsi="Arial"/>
          <w:sz w:val="11"/>
          <w:szCs w:val="11"/>
          <w:b w:val="1"/>
          <w:bCs w:val="1"/>
          <w:u w:val="single" w:color="auto"/>
          <w:color w:val="auto"/>
        </w:rPr>
      </w:pPr>
    </w:p>
    <w:p>
      <w:pPr>
        <w:jc w:val="center"/>
        <w:ind w:right="-7"/>
        <w:spacing w:after="0"/>
        <w:rPr>
          <w:sz w:val="20"/>
          <w:szCs w:val="20"/>
          <w:color w:val="auto"/>
        </w:rPr>
      </w:pPr>
      <w:r>
        <w:rPr>
          <w:rFonts w:ascii="Arial" w:cs="Arial" w:eastAsia="Arial" w:hAnsi="Arial"/>
          <w:sz w:val="14"/>
          <w:szCs w:val="14"/>
          <w:b w:val="1"/>
          <w:bCs w:val="1"/>
          <w:color w:val="auto"/>
        </w:rPr>
        <w:t>CURRENT REPORT</w:t>
      </w:r>
    </w:p>
    <w:p>
      <w:pPr>
        <w:spacing w:after="0" w:line="28" w:lineRule="exact"/>
        <w:rPr>
          <w:rFonts w:ascii="Arial" w:cs="Arial" w:eastAsia="Arial" w:hAnsi="Arial"/>
          <w:sz w:val="11"/>
          <w:szCs w:val="11"/>
          <w:b w:val="1"/>
          <w:bCs w:val="1"/>
          <w:u w:val="single" w:color="auto"/>
          <w:color w:val="auto"/>
        </w:rPr>
      </w:pPr>
    </w:p>
    <w:p>
      <w:pPr>
        <w:jc w:val="center"/>
        <w:ind w:right="-7"/>
        <w:spacing w:after="0"/>
        <w:rPr>
          <w:sz w:val="20"/>
          <w:szCs w:val="20"/>
          <w:color w:val="auto"/>
        </w:rPr>
      </w:pPr>
      <w:r>
        <w:rPr>
          <w:rFonts w:ascii="Arial" w:cs="Arial" w:eastAsia="Arial" w:hAnsi="Arial"/>
          <w:sz w:val="14"/>
          <w:szCs w:val="14"/>
          <w:b w:val="1"/>
          <w:bCs w:val="1"/>
          <w:color w:val="auto"/>
        </w:rPr>
        <w:t>Pursuant to Section 13 of the Securities Exchange Act of 1934</w:t>
      </w:r>
    </w:p>
    <w:p>
      <w:pPr>
        <w:spacing w:after="0" w:line="320" w:lineRule="exact"/>
        <w:rPr>
          <w:rFonts w:ascii="Arial" w:cs="Arial" w:eastAsia="Arial" w:hAnsi="Arial"/>
          <w:sz w:val="11"/>
          <w:szCs w:val="11"/>
          <w:b w:val="1"/>
          <w:bCs w:val="1"/>
          <w:u w:val="single" w:color="auto"/>
          <w:color w:val="auto"/>
        </w:rPr>
      </w:pPr>
    </w:p>
    <w:p>
      <w:pPr>
        <w:jc w:val="center"/>
        <w:ind w:right="-7"/>
        <w:spacing w:after="0"/>
        <w:rPr>
          <w:sz w:val="20"/>
          <w:szCs w:val="20"/>
          <w:color w:val="auto"/>
        </w:rPr>
      </w:pPr>
      <w:r>
        <w:rPr>
          <w:rFonts w:ascii="Arial" w:cs="Arial" w:eastAsia="Arial" w:hAnsi="Arial"/>
          <w:sz w:val="12"/>
          <w:szCs w:val="12"/>
          <w:b w:val="1"/>
          <w:bCs w:val="1"/>
          <w:color w:val="auto"/>
        </w:rPr>
        <w:t xml:space="preserve">Date of Report (Date of earliest event reported): </w:t>
      </w:r>
      <w:r>
        <w:rPr>
          <w:rFonts w:ascii="Arial" w:cs="Arial" w:eastAsia="Arial" w:hAnsi="Arial"/>
          <w:sz w:val="13"/>
          <w:szCs w:val="13"/>
          <w:b w:val="1"/>
          <w:bCs w:val="1"/>
          <w:color w:val="auto"/>
        </w:rPr>
        <w:t>October 27, 2023</w:t>
      </w:r>
    </w:p>
    <w:p>
      <w:pPr>
        <w:spacing w:after="0" w:line="165" w:lineRule="exact"/>
        <w:rPr>
          <w:rFonts w:ascii="Arial" w:cs="Arial" w:eastAsia="Arial" w:hAnsi="Arial"/>
          <w:sz w:val="11"/>
          <w:szCs w:val="11"/>
          <w:b w:val="1"/>
          <w:bCs w:val="1"/>
          <w:u w:val="single" w:color="auto"/>
          <w:color w:val="auto"/>
        </w:rPr>
      </w:pPr>
    </w:p>
    <w:p>
      <w:pPr>
        <w:jc w:val="center"/>
        <w:ind w:right="-7"/>
        <w:spacing w:after="0"/>
        <w:rPr>
          <w:sz w:val="20"/>
          <w:szCs w:val="20"/>
          <w:color w:val="auto"/>
        </w:rPr>
      </w:pPr>
      <w:r>
        <w:rPr>
          <w:rFonts w:ascii="Arial" w:cs="Arial" w:eastAsia="Arial" w:hAnsi="Arial"/>
          <w:sz w:val="26"/>
          <w:szCs w:val="26"/>
          <w:b w:val="1"/>
          <w:bCs w:val="1"/>
          <w:u w:val="single" w:color="auto"/>
          <w:color w:val="auto"/>
        </w:rPr>
        <w:t>T. Rowe Price Group, Inc.</w:t>
      </w:r>
    </w:p>
    <w:p>
      <w:pPr>
        <w:spacing w:after="0" w:line="34" w:lineRule="exact"/>
        <w:rPr>
          <w:rFonts w:ascii="Arial" w:cs="Arial" w:eastAsia="Arial" w:hAnsi="Arial"/>
          <w:sz w:val="11"/>
          <w:szCs w:val="11"/>
          <w:b w:val="1"/>
          <w:bCs w:val="1"/>
          <w:u w:val="single" w:color="auto"/>
          <w:color w:val="auto"/>
        </w:rPr>
      </w:pPr>
    </w:p>
    <w:p>
      <w:pPr>
        <w:jc w:val="center"/>
        <w:ind w:right="-7"/>
        <w:spacing w:after="0"/>
        <w:rPr>
          <w:sz w:val="20"/>
          <w:szCs w:val="20"/>
          <w:color w:val="auto"/>
        </w:rPr>
      </w:pPr>
      <w:r>
        <w:rPr>
          <w:rFonts w:ascii="Arial" w:cs="Arial" w:eastAsia="Arial" w:hAnsi="Arial"/>
          <w:sz w:val="12"/>
          <w:szCs w:val="12"/>
          <w:color w:val="auto"/>
        </w:rPr>
        <w:t>(Exact name of registrant as specified in its charter)</w:t>
      </w:r>
    </w:p>
    <w:p>
      <w:pPr>
        <w:spacing w:after="0" w:line="71" w:lineRule="exact"/>
        <w:rPr>
          <w:rFonts w:ascii="Arial" w:cs="Arial" w:eastAsia="Arial" w:hAnsi="Arial"/>
          <w:sz w:val="11"/>
          <w:szCs w:val="11"/>
          <w:b w:val="1"/>
          <w:bCs w:val="1"/>
          <w:u w:val="single" w:color="auto"/>
          <w:color w:val="auto"/>
        </w:rPr>
      </w:pPr>
    </w:p>
    <w:tbl>
      <w:tblPr>
        <w:tblLayout w:type="fixed"/>
        <w:tblInd w:w="3628"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Maryland</w:t>
            </w:r>
          </w:p>
        </w:tc>
        <w:tc>
          <w:tcPr>
            <w:tcW w:w="1280" w:type="dxa"/>
            <w:vAlign w:val="bottom"/>
            <w:gridSpan w:val="2"/>
          </w:tcPr>
          <w:p>
            <w:pPr>
              <w:jc w:val="center"/>
              <w:ind w:left="596"/>
              <w:spacing w:after="0"/>
              <w:rPr>
                <w:sz w:val="20"/>
                <w:szCs w:val="20"/>
                <w:color w:val="auto"/>
              </w:rPr>
            </w:pPr>
            <w:r>
              <w:rPr>
                <w:rFonts w:ascii="Arial" w:cs="Arial" w:eastAsia="Arial" w:hAnsi="Arial"/>
                <w:sz w:val="14"/>
                <w:szCs w:val="14"/>
                <w:b w:val="1"/>
                <w:bCs w:val="1"/>
                <w:color w:val="auto"/>
                <w:w w:val="92"/>
              </w:rPr>
              <w:t>000-32191</w:t>
            </w:r>
          </w:p>
        </w:tc>
        <w:tc>
          <w:tcPr>
            <w:tcW w:w="460" w:type="dxa"/>
            <w:vAlign w:val="bottom"/>
          </w:tcPr>
          <w:p>
            <w:pPr>
              <w:spacing w:after="0"/>
              <w:rPr>
                <w:sz w:val="14"/>
                <w:szCs w:val="14"/>
                <w:color w:val="auto"/>
              </w:rPr>
            </w:pPr>
          </w:p>
        </w:tc>
        <w:tc>
          <w:tcPr>
            <w:tcW w:w="1360" w:type="dxa"/>
            <w:vAlign w:val="bottom"/>
            <w:gridSpan w:val="3"/>
          </w:tcPr>
          <w:p>
            <w:pPr>
              <w:jc w:val="center"/>
              <w:ind w:left="396"/>
              <w:spacing w:after="0"/>
              <w:rPr>
                <w:sz w:val="20"/>
                <w:szCs w:val="20"/>
                <w:color w:val="auto"/>
              </w:rPr>
            </w:pPr>
            <w:r>
              <w:rPr>
                <w:rFonts w:ascii="Arial" w:cs="Arial" w:eastAsia="Arial" w:hAnsi="Arial"/>
                <w:sz w:val="14"/>
                <w:szCs w:val="14"/>
                <w:b w:val="1"/>
                <w:bCs w:val="1"/>
                <w:color w:val="auto"/>
                <w:w w:val="93"/>
              </w:rPr>
              <w:t>52-2264646</w:t>
            </w: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20" w:type="dxa"/>
            <w:vAlign w:val="bottom"/>
          </w:tcPr>
          <w:p>
            <w:pPr>
              <w:ind w:left="100"/>
              <w:spacing w:after="0"/>
              <w:rPr>
                <w:sz w:val="20"/>
                <w:szCs w:val="20"/>
                <w:color w:val="auto"/>
              </w:rPr>
            </w:pPr>
            <w:r>
              <w:rPr>
                <w:rFonts w:ascii="Arial" w:cs="Arial" w:eastAsia="Arial" w:hAnsi="Arial"/>
                <w:sz w:val="12"/>
                <w:szCs w:val="12"/>
                <w:color w:val="auto"/>
              </w:rPr>
              <w:t>(State of</w:t>
            </w:r>
          </w:p>
        </w:tc>
        <w:tc>
          <w:tcPr>
            <w:tcW w:w="660" w:type="dxa"/>
            <w:vAlign w:val="bottom"/>
          </w:tcPr>
          <w:p>
            <w:pPr>
              <w:spacing w:after="0"/>
              <w:rPr>
                <w:sz w:val="12"/>
                <w:szCs w:val="12"/>
                <w:color w:val="auto"/>
              </w:rPr>
            </w:pPr>
          </w:p>
        </w:tc>
        <w:tc>
          <w:tcPr>
            <w:tcW w:w="1740" w:type="dxa"/>
            <w:vAlign w:val="bottom"/>
            <w:gridSpan w:val="3"/>
          </w:tcPr>
          <w:p>
            <w:pPr>
              <w:jc w:val="center"/>
              <w:ind w:left="96"/>
              <w:spacing w:after="0"/>
              <w:rPr>
                <w:sz w:val="20"/>
                <w:szCs w:val="20"/>
                <w:color w:val="auto"/>
              </w:rPr>
            </w:pPr>
            <w:r>
              <w:rPr>
                <w:rFonts w:ascii="Arial" w:cs="Arial" w:eastAsia="Arial" w:hAnsi="Arial"/>
                <w:sz w:val="12"/>
                <w:szCs w:val="12"/>
                <w:color w:val="auto"/>
                <w:w w:val="94"/>
              </w:rPr>
              <w:t>(Commission</w:t>
            </w:r>
          </w:p>
        </w:tc>
        <w:tc>
          <w:tcPr>
            <w:tcW w:w="1360" w:type="dxa"/>
            <w:vAlign w:val="bottom"/>
            <w:gridSpan w:val="3"/>
          </w:tcPr>
          <w:p>
            <w:pPr>
              <w:jc w:val="center"/>
              <w:ind w:left="376"/>
              <w:spacing w:after="0"/>
              <w:rPr>
                <w:sz w:val="20"/>
                <w:szCs w:val="20"/>
                <w:color w:val="auto"/>
              </w:rPr>
            </w:pPr>
            <w:r>
              <w:rPr>
                <w:rFonts w:ascii="Arial" w:cs="Arial" w:eastAsia="Arial" w:hAnsi="Arial"/>
                <w:sz w:val="12"/>
                <w:szCs w:val="12"/>
                <w:color w:val="auto"/>
                <w:w w:val="92"/>
              </w:rPr>
              <w:t>(IRS Employer</w:t>
            </w:r>
          </w:p>
        </w:tc>
      </w:tr>
      <w:tr>
        <w:trPr>
          <w:trHeight w:val="153"/>
        </w:trPr>
        <w:tc>
          <w:tcPr>
            <w:tcW w:w="1300" w:type="dxa"/>
            <w:vAlign w:val="bottom"/>
            <w:gridSpan w:val="3"/>
          </w:tcPr>
          <w:p>
            <w:pPr>
              <w:jc w:val="center"/>
              <w:ind w:right="620"/>
              <w:spacing w:after="0"/>
              <w:rPr>
                <w:sz w:val="20"/>
                <w:szCs w:val="20"/>
                <w:color w:val="auto"/>
              </w:rPr>
            </w:pPr>
            <w:r>
              <w:rPr>
                <w:rFonts w:ascii="Arial" w:cs="Arial" w:eastAsia="Arial" w:hAnsi="Arial"/>
                <w:sz w:val="12"/>
                <w:szCs w:val="12"/>
                <w:color w:val="auto"/>
                <w:w w:val="92"/>
              </w:rPr>
              <w:t>incorporation)</w:t>
            </w:r>
          </w:p>
        </w:tc>
        <w:tc>
          <w:tcPr>
            <w:tcW w:w="1740" w:type="dxa"/>
            <w:vAlign w:val="bottom"/>
            <w:gridSpan w:val="3"/>
          </w:tcPr>
          <w:p>
            <w:pPr>
              <w:jc w:val="center"/>
              <w:ind w:left="116"/>
              <w:spacing w:after="0"/>
              <w:rPr>
                <w:sz w:val="20"/>
                <w:szCs w:val="20"/>
                <w:color w:val="auto"/>
              </w:rPr>
            </w:pPr>
            <w:r>
              <w:rPr>
                <w:rFonts w:ascii="Arial" w:cs="Arial" w:eastAsia="Arial" w:hAnsi="Arial"/>
                <w:sz w:val="12"/>
                <w:szCs w:val="12"/>
                <w:color w:val="auto"/>
                <w:w w:val="92"/>
              </w:rPr>
              <w:t>File Number)</w:t>
            </w:r>
          </w:p>
        </w:tc>
        <w:tc>
          <w:tcPr>
            <w:tcW w:w="1360" w:type="dxa"/>
            <w:vAlign w:val="bottom"/>
            <w:gridSpan w:val="3"/>
          </w:tcPr>
          <w:p>
            <w:pPr>
              <w:jc w:val="center"/>
              <w:ind w:left="396"/>
              <w:spacing w:after="0"/>
              <w:rPr>
                <w:sz w:val="20"/>
                <w:szCs w:val="20"/>
                <w:color w:val="auto"/>
              </w:rPr>
            </w:pPr>
            <w:r>
              <w:rPr>
                <w:rFonts w:ascii="Arial" w:cs="Arial" w:eastAsia="Arial" w:hAnsi="Arial"/>
                <w:sz w:val="12"/>
                <w:szCs w:val="12"/>
                <w:color w:val="auto"/>
                <w:w w:val="96"/>
              </w:rPr>
              <w:t>Identification No.)</w:t>
            </w:r>
          </w:p>
        </w:tc>
      </w:tr>
    </w:tbl>
    <w:p>
      <w:pPr>
        <w:spacing w:after="0" w:line="275" w:lineRule="exact"/>
        <w:rPr>
          <w:rFonts w:ascii="Arial" w:cs="Arial" w:eastAsia="Arial" w:hAnsi="Arial"/>
          <w:sz w:val="11"/>
          <w:szCs w:val="11"/>
          <w:b w:val="1"/>
          <w:bCs w:val="1"/>
          <w:u w:val="single" w:color="auto"/>
          <w:color w:val="auto"/>
        </w:rPr>
      </w:pPr>
    </w:p>
    <w:p>
      <w:pPr>
        <w:jc w:val="center"/>
        <w:ind w:right="-7"/>
        <w:spacing w:after="0"/>
        <w:rPr>
          <w:sz w:val="20"/>
          <w:szCs w:val="20"/>
          <w:color w:val="auto"/>
        </w:rPr>
      </w:pPr>
      <w:r>
        <w:rPr>
          <w:rFonts w:ascii="Arial" w:cs="Arial" w:eastAsia="Arial" w:hAnsi="Arial"/>
          <w:sz w:val="14"/>
          <w:szCs w:val="14"/>
          <w:b w:val="1"/>
          <w:bCs w:val="1"/>
          <w:u w:val="single" w:color="auto"/>
          <w:color w:val="auto"/>
        </w:rPr>
        <w:t>100 East Pratt Street, Baltimore, Maryland 21202</w:t>
      </w:r>
    </w:p>
    <w:p>
      <w:pPr>
        <w:spacing w:after="0" w:line="113" w:lineRule="exact"/>
        <w:rPr>
          <w:rFonts w:ascii="Arial" w:cs="Arial" w:eastAsia="Arial" w:hAnsi="Arial"/>
          <w:sz w:val="11"/>
          <w:szCs w:val="11"/>
          <w:b w:val="1"/>
          <w:bCs w:val="1"/>
          <w:u w:val="single" w:color="auto"/>
          <w:color w:val="auto"/>
        </w:rPr>
      </w:pPr>
    </w:p>
    <w:p>
      <w:pPr>
        <w:ind w:left="4188"/>
        <w:spacing w:after="0"/>
        <w:rPr>
          <w:sz w:val="20"/>
          <w:szCs w:val="20"/>
          <w:color w:val="auto"/>
        </w:rPr>
      </w:pPr>
      <w:r>
        <w:rPr>
          <w:rFonts w:ascii="Arial" w:cs="Arial" w:eastAsia="Arial" w:hAnsi="Arial"/>
          <w:sz w:val="12"/>
          <w:szCs w:val="12"/>
          <w:color w:val="auto"/>
        </w:rPr>
        <w:t>(Address of principal executive offices)</w:t>
      </w:r>
    </w:p>
    <w:p>
      <w:pPr>
        <w:spacing w:after="0" w:line="258" w:lineRule="exact"/>
        <w:rPr>
          <w:rFonts w:ascii="Arial" w:cs="Arial" w:eastAsia="Arial" w:hAnsi="Arial"/>
          <w:sz w:val="11"/>
          <w:szCs w:val="11"/>
          <w:b w:val="1"/>
          <w:bCs w:val="1"/>
          <w:u w:val="single" w:color="auto"/>
          <w:color w:val="auto"/>
        </w:rPr>
      </w:pPr>
    </w:p>
    <w:p>
      <w:pPr>
        <w:ind w:left="3768"/>
        <w:spacing w:after="0"/>
        <w:rPr>
          <w:sz w:val="20"/>
          <w:szCs w:val="20"/>
          <w:color w:val="auto"/>
        </w:rPr>
      </w:pPr>
      <w:r>
        <w:rPr>
          <w:rFonts w:ascii="Arial" w:cs="Arial" w:eastAsia="Arial" w:hAnsi="Arial"/>
          <w:sz w:val="12"/>
          <w:szCs w:val="12"/>
          <w:color w:val="auto"/>
        </w:rPr>
        <w:t>Registrant's telephone number, including area code:</w:t>
      </w:r>
    </w:p>
    <w:p>
      <w:pPr>
        <w:spacing w:after="0" w:line="177" w:lineRule="exact"/>
        <w:rPr>
          <w:rFonts w:ascii="Arial" w:cs="Arial" w:eastAsia="Arial" w:hAnsi="Arial"/>
          <w:sz w:val="11"/>
          <w:szCs w:val="11"/>
          <w:b w:val="1"/>
          <w:bCs w:val="1"/>
          <w:u w:val="single" w:color="auto"/>
          <w:color w:val="auto"/>
        </w:rPr>
      </w:pPr>
    </w:p>
    <w:p>
      <w:pPr>
        <w:jc w:val="center"/>
        <w:ind w:right="-7"/>
        <w:spacing w:after="0"/>
        <w:rPr>
          <w:sz w:val="20"/>
          <w:szCs w:val="20"/>
          <w:color w:val="auto"/>
        </w:rPr>
      </w:pPr>
      <w:r>
        <w:rPr>
          <w:rFonts w:ascii="Arial" w:cs="Arial" w:eastAsia="Arial" w:hAnsi="Arial"/>
          <w:sz w:val="12"/>
          <w:szCs w:val="12"/>
          <w:color w:val="auto"/>
        </w:rPr>
        <w:t>N/A</w:t>
      </w:r>
    </w:p>
    <w:p>
      <w:pPr>
        <w:spacing w:after="0" w:line="14" w:lineRule="exact"/>
        <w:rPr>
          <w:rFonts w:ascii="Arial" w:cs="Arial" w:eastAsia="Arial" w:hAnsi="Arial"/>
          <w:sz w:val="11"/>
          <w:szCs w:val="11"/>
          <w:b w:val="1"/>
          <w:bCs w:val="1"/>
          <w:u w:val="single" w:color="auto"/>
          <w:color w:val="auto"/>
        </w:rPr>
      </w:pPr>
    </w:p>
    <w:p>
      <w:pPr>
        <w:jc w:val="center"/>
        <w:ind w:right="-7"/>
        <w:spacing w:after="0"/>
        <w:rPr>
          <w:sz w:val="20"/>
          <w:szCs w:val="20"/>
          <w:color w:val="auto"/>
        </w:rPr>
      </w:pPr>
      <w:r>
        <w:rPr>
          <w:rFonts w:ascii="Arial" w:cs="Arial" w:eastAsia="Arial" w:hAnsi="Arial"/>
          <w:sz w:val="12"/>
          <w:szCs w:val="12"/>
          <w:color w:val="auto"/>
        </w:rPr>
        <w:t>(Former Name of Former Address, if Changed Since Last Report)</w:t>
      </w:r>
    </w:p>
    <w:p>
      <w:pPr>
        <w:spacing w:after="0" w:line="160" w:lineRule="exact"/>
        <w:rPr>
          <w:rFonts w:ascii="Arial" w:cs="Arial" w:eastAsia="Arial" w:hAnsi="Arial"/>
          <w:sz w:val="11"/>
          <w:szCs w:val="11"/>
          <w:b w:val="1"/>
          <w:bCs w:val="1"/>
          <w:u w:val="single" w:color="auto"/>
          <w:color w:val="auto"/>
        </w:rPr>
      </w:pPr>
    </w:p>
    <w:p>
      <w:pPr>
        <w:ind w:left="8"/>
        <w:spacing w:after="0"/>
        <w:rPr>
          <w:sz w:val="20"/>
          <w:szCs w:val="20"/>
          <w:color w:val="auto"/>
        </w:rPr>
      </w:pPr>
      <w:r>
        <w:rPr>
          <w:rFonts w:ascii="Arial" w:cs="Arial" w:eastAsia="Arial" w:hAnsi="Arial"/>
          <w:sz w:val="11"/>
          <w:szCs w:val="11"/>
          <w:color w:val="auto"/>
        </w:rPr>
        <w:t>Check the appropriate box below if the Form 8-K filing is intended to simultaneously satisfy the filing obligation of the registrant under any of the following provisions:</w:t>
      </w:r>
    </w:p>
    <w:p>
      <w:pPr>
        <w:spacing w:after="0" w:line="180" w:lineRule="exact"/>
        <w:rPr>
          <w:rFonts w:ascii="Arial" w:cs="Arial" w:eastAsia="Arial" w:hAnsi="Arial"/>
          <w:sz w:val="11"/>
          <w:szCs w:val="11"/>
          <w:b w:val="1"/>
          <w:bCs w:val="1"/>
          <w:u w:val="single" w:color="auto"/>
          <w:color w:val="auto"/>
        </w:rPr>
      </w:pPr>
    </w:p>
    <w:p>
      <w:pPr>
        <w:ind w:left="248" w:hanging="248"/>
        <w:spacing w:after="0"/>
        <w:tabs>
          <w:tab w:leader="none" w:pos="2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68" w:lineRule="exact"/>
        <w:rPr>
          <w:rFonts w:ascii="MS PGothic" w:cs="MS PGothic" w:eastAsia="MS PGothic" w:hAnsi="MS PGothic"/>
          <w:sz w:val="12"/>
          <w:szCs w:val="12"/>
          <w:color w:val="auto"/>
        </w:rPr>
      </w:pPr>
    </w:p>
    <w:p>
      <w:pPr>
        <w:ind w:left="248" w:hanging="248"/>
        <w:spacing w:after="0"/>
        <w:tabs>
          <w:tab w:leader="none" w:pos="2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68" w:lineRule="exact"/>
        <w:rPr>
          <w:rFonts w:ascii="MS PGothic" w:cs="MS PGothic" w:eastAsia="MS PGothic" w:hAnsi="MS PGothic"/>
          <w:sz w:val="12"/>
          <w:szCs w:val="12"/>
          <w:color w:val="auto"/>
        </w:rPr>
      </w:pPr>
    </w:p>
    <w:p>
      <w:pPr>
        <w:ind w:left="248" w:hanging="248"/>
        <w:spacing w:after="0"/>
        <w:tabs>
          <w:tab w:leader="none" w:pos="2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35" w:lineRule="exact"/>
        <w:rPr>
          <w:rFonts w:ascii="MS PGothic" w:cs="MS PGothic" w:eastAsia="MS PGothic" w:hAnsi="MS PGothic"/>
          <w:sz w:val="12"/>
          <w:szCs w:val="12"/>
          <w:color w:val="auto"/>
        </w:rPr>
      </w:pPr>
    </w:p>
    <w:p>
      <w:pPr>
        <w:ind w:left="248" w:hanging="248"/>
        <w:spacing w:after="0"/>
        <w:tabs>
          <w:tab w:leader="none" w:pos="2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355" w:lineRule="exact"/>
        <w:rPr>
          <w:rFonts w:ascii="Arial" w:cs="Arial" w:eastAsia="Arial" w:hAnsi="Arial"/>
          <w:sz w:val="11"/>
          <w:szCs w:val="11"/>
          <w:b w:val="1"/>
          <w:bCs w:val="1"/>
          <w:u w:val="single" w:color="auto"/>
          <w:color w:val="auto"/>
        </w:rPr>
      </w:pPr>
    </w:p>
    <w:p>
      <w:pPr>
        <w:ind w:left="8"/>
        <w:spacing w:after="0"/>
        <w:rPr>
          <w:sz w:val="20"/>
          <w:szCs w:val="20"/>
          <w:color w:val="auto"/>
        </w:rPr>
      </w:pPr>
      <w:r>
        <w:rPr>
          <w:rFonts w:ascii="Arial" w:cs="Arial" w:eastAsia="Arial" w:hAnsi="Arial"/>
          <w:sz w:val="12"/>
          <w:szCs w:val="12"/>
          <w:color w:val="auto"/>
        </w:rPr>
        <w:t>Securities registered pursuant to Section 12(b) of the Act:</w:t>
      </w:r>
    </w:p>
    <w:p>
      <w:pPr>
        <w:sectPr>
          <w:pgSz w:w="11900" w:h="16838" w:orient="portrait"/>
          <w:cols w:equalWidth="0" w:num="1">
            <w:col w:w="11288"/>
          </w:cols>
          <w:pgMar w:left="292" w:top="711" w:right="319" w:bottom="1440" w:gutter="0" w:footer="0" w:header="0"/>
        </w:sectPr>
      </w:pPr>
    </w:p>
    <w:p>
      <w:pPr>
        <w:spacing w:after="0" w:line="99" w:lineRule="exact"/>
        <w:rPr>
          <w:rFonts w:ascii="Arial" w:cs="Arial" w:eastAsia="Arial" w:hAnsi="Arial"/>
          <w:sz w:val="11"/>
          <w:szCs w:val="11"/>
          <w:b w:val="1"/>
          <w:bCs w:val="1"/>
          <w:u w:val="single" w:color="auto"/>
          <w:color w:val="auto"/>
        </w:rPr>
      </w:pPr>
    </w:p>
    <w:p>
      <w:pPr>
        <w:ind w:left="3108"/>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rFonts w:ascii="Arial" w:cs="Arial" w:eastAsia="Arial" w:hAnsi="Arial"/>
          <w:sz w:val="11"/>
          <w:szCs w:val="11"/>
          <w:b w:val="1"/>
          <w:bCs w:val="1"/>
          <w:u w:val="single" w:color="auto"/>
          <w:color w:val="auto"/>
        </w:rPr>
      </w:pPr>
      <w:r>
        <w:rPr>
          <w:rFonts w:ascii="Arial" w:cs="Arial" w:eastAsia="Arial" w:hAnsi="Arial"/>
          <w:sz w:val="11"/>
          <w:szCs w:val="11"/>
          <w:b w:val="1"/>
          <w:bCs w:val="1"/>
          <w:u w:val="single" w:color="auto"/>
          <w:color w:val="auto"/>
        </w:rPr>
        <w:br w:type="column"/>
      </w:r>
    </w:p>
    <w:p>
      <w:pPr>
        <w:spacing w:after="0" w:line="79" w:lineRule="exact"/>
        <w:rPr>
          <w:rFonts w:ascii="Arial" w:cs="Arial" w:eastAsia="Arial" w:hAnsi="Arial"/>
          <w:sz w:val="11"/>
          <w:szCs w:val="11"/>
          <w:b w:val="1"/>
          <w:bCs w:val="1"/>
          <w:u w:val="single" w:color="auto"/>
          <w:color w:val="auto"/>
        </w:rPr>
      </w:pPr>
    </w:p>
    <w:p>
      <w:pPr>
        <w:spacing w:after="0"/>
        <w:tabs>
          <w:tab w:leader="none" w:pos="1200" w:val="left"/>
        </w:tabs>
        <w:rPr>
          <w:sz w:val="20"/>
          <w:szCs w:val="20"/>
          <w:color w:val="auto"/>
        </w:rPr>
      </w:pPr>
      <w:r>
        <w:rPr>
          <w:rFonts w:ascii="Arial" w:cs="Arial" w:eastAsia="Arial" w:hAnsi="Arial"/>
          <w:sz w:val="12"/>
          <w:szCs w:val="12"/>
          <w:b w:val="1"/>
          <w:bCs w:val="1"/>
          <w:color w:val="auto"/>
        </w:rPr>
        <w:t>Trading Symbol</w:t>
      </w:r>
      <w:r>
        <w:rPr>
          <w:sz w:val="20"/>
          <w:szCs w:val="20"/>
          <w:color w:val="auto"/>
        </w:rPr>
        <w:tab/>
      </w:r>
      <w:r>
        <w:rPr>
          <w:rFonts w:ascii="Arial" w:cs="Arial" w:eastAsia="Arial" w:hAnsi="Arial"/>
          <w:sz w:val="11"/>
          <w:szCs w:val="11"/>
          <w:b w:val="1"/>
          <w:bCs w:val="1"/>
          <w:color w:val="auto"/>
        </w:rPr>
        <w:t>Name of each exchange on which registered</w:t>
      </w:r>
    </w:p>
    <w:p>
      <w:pPr>
        <w:spacing w:after="0" w:line="39" w:lineRule="exact"/>
        <w:rPr>
          <w:rFonts w:ascii="Arial" w:cs="Arial" w:eastAsia="Arial" w:hAnsi="Arial"/>
          <w:sz w:val="11"/>
          <w:szCs w:val="11"/>
          <w:b w:val="1"/>
          <w:bCs w:val="1"/>
          <w:u w:val="single" w:color="auto"/>
          <w:color w:val="auto"/>
        </w:rPr>
      </w:pPr>
    </w:p>
    <w:p>
      <w:pPr>
        <w:sectPr>
          <w:pgSz w:w="11900" w:h="16838" w:orient="portrait"/>
          <w:cols w:equalWidth="0" w:num="2">
            <w:col w:w="4148" w:space="660"/>
            <w:col w:w="6480"/>
          </w:cols>
          <w:pgMar w:left="292" w:top="711" w:right="319" w:bottom="1440" w:gutter="0" w:footer="0" w:header="0"/>
          <w:type w:val="continuous"/>
        </w:sectPr>
      </w:pPr>
    </w:p>
    <w:p>
      <w:pPr>
        <w:ind w:left="2768"/>
        <w:spacing w:after="0"/>
        <w:tabs>
          <w:tab w:leader="none" w:pos="5068" w:val="left"/>
          <w:tab w:leader="none" w:pos="6408" w:val="left"/>
        </w:tabs>
        <w:rPr>
          <w:sz w:val="20"/>
          <w:szCs w:val="20"/>
          <w:color w:val="auto"/>
        </w:rPr>
      </w:pPr>
      <w:r>
        <w:rPr>
          <w:rFonts w:ascii="Arial" w:cs="Arial" w:eastAsia="Arial" w:hAnsi="Arial"/>
          <w:sz w:val="12"/>
          <w:szCs w:val="12"/>
          <w:color w:val="auto"/>
        </w:rPr>
        <w:t>Common Stock, par value $0.20</w:t>
      </w:r>
      <w:r>
        <w:rPr>
          <w:sz w:val="20"/>
          <w:szCs w:val="20"/>
          <w:color w:val="auto"/>
        </w:rPr>
        <w:tab/>
      </w:r>
      <w:r>
        <w:rPr>
          <w:rFonts w:ascii="Arial" w:cs="Arial" w:eastAsia="Arial" w:hAnsi="Arial"/>
          <w:sz w:val="12"/>
          <w:szCs w:val="12"/>
          <w:color w:val="auto"/>
        </w:rPr>
        <w:t>TROW</w:t>
      </w:r>
      <w:r>
        <w:rPr>
          <w:sz w:val="20"/>
          <w:szCs w:val="20"/>
          <w:color w:val="auto"/>
        </w:rPr>
        <w:tab/>
      </w:r>
      <w:r>
        <w:rPr>
          <w:rFonts w:ascii="Arial" w:cs="Arial" w:eastAsia="Arial" w:hAnsi="Arial"/>
          <w:sz w:val="11"/>
          <w:szCs w:val="11"/>
          <w:color w:val="auto"/>
        </w:rPr>
        <w:t>The NASDAQ Stock Market LLC</w:t>
      </w:r>
    </w:p>
    <w:p>
      <w:pPr>
        <w:sectPr>
          <w:pgSz w:w="11900" w:h="16838" w:orient="portrait"/>
          <w:cols w:equalWidth="0" w:num="1">
            <w:col w:w="11288"/>
          </w:cols>
          <w:pgMar w:left="292" w:top="711" w:right="319" w:bottom="1440" w:gutter="0" w:footer="0" w:header="0"/>
          <w:type w:val="continuous"/>
        </w:sectPr>
      </w:pPr>
    </w:p>
    <w:p>
      <w:pPr>
        <w:spacing w:after="0" w:line="240" w:lineRule="exact"/>
        <w:rPr>
          <w:rFonts w:ascii="Arial" w:cs="Arial" w:eastAsia="Arial" w:hAnsi="Arial"/>
          <w:sz w:val="11"/>
          <w:szCs w:val="11"/>
          <w:b w:val="1"/>
          <w:bCs w:val="1"/>
          <w:u w:val="single" w:color="auto"/>
          <w:color w:val="auto"/>
        </w:rPr>
      </w:pPr>
    </w:p>
    <w:p>
      <w:pPr>
        <w:ind w:left="8" w:right="180"/>
        <w:spacing w:after="0" w:line="255"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(§240.12-2 of this chapter).</w:t>
      </w:r>
    </w:p>
    <w:p>
      <w:pPr>
        <w:ind w:left="1328"/>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09" w:lineRule="exact"/>
        <w:rPr>
          <w:rFonts w:ascii="Arial" w:cs="Arial" w:eastAsia="Arial" w:hAnsi="Arial"/>
          <w:sz w:val="11"/>
          <w:szCs w:val="11"/>
          <w:b w:val="1"/>
          <w:bCs w:val="1"/>
          <w:u w:val="single" w:color="auto"/>
          <w:color w:val="auto"/>
        </w:rPr>
      </w:pPr>
    </w:p>
    <w:p>
      <w:pPr>
        <w:ind w:left="8"/>
        <w:spacing w:after="0" w:line="157"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rFonts w:ascii="Arial" w:cs="Arial" w:eastAsia="Arial" w:hAnsi="Arial"/>
          <w:sz w:val="11"/>
          <w:szCs w:val="11"/>
          <w:b w:val="1"/>
          <w:bCs w:val="1"/>
          <w:u w:val="single" w:color="auto"/>
          <w:color w:val="auto"/>
        </w:rPr>
      </w:pPr>
      <w:r>
        <w:rPr>
          <w:rFonts w:ascii="Arial" w:cs="Arial" w:eastAsia="Arial" w:hAnsi="Arial"/>
          <w:sz w:val="11"/>
          <w:szCs w:val="11"/>
          <w:b w:val="1"/>
          <w:bCs w:val="1"/>
          <w:u w:val="single" w:color="auto"/>
          <w:color w:val="auto"/>
        </w:rPr>
        <w:drawing>
          <wp:anchor simplePos="0" relativeHeight="251657728" behindDoc="1" locked="0" layoutInCell="0" allowOverlap="1">
            <wp:simplePos x="0" y="0"/>
            <wp:positionH relativeFrom="column">
              <wp:posOffset>-12065</wp:posOffset>
            </wp:positionH>
            <wp:positionV relativeFrom="paragraph">
              <wp:posOffset>450850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711"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color w:val="auto"/>
        </w:rPr>
        <w:t>Section 2 - Financial Information.</w:t>
      </w:r>
    </w:p>
    <w:p>
      <w:pPr>
        <w:spacing w:after="0" w:line="7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2.02. Results of Operations and Financial Condition.</w:t>
      </w:r>
    </w:p>
    <w:p>
      <w:pPr>
        <w:spacing w:after="0" w:line="174" w:lineRule="exact"/>
        <w:rPr>
          <w:sz w:val="20"/>
          <w:szCs w:val="20"/>
          <w:color w:val="auto"/>
        </w:rPr>
      </w:pPr>
    </w:p>
    <w:p>
      <w:pPr>
        <w:spacing w:after="0" w:line="275" w:lineRule="auto"/>
        <w:rPr>
          <w:sz w:val="20"/>
          <w:szCs w:val="20"/>
          <w:color w:val="auto"/>
        </w:rPr>
      </w:pPr>
      <w:r>
        <w:rPr>
          <w:rFonts w:ascii="Arial" w:cs="Arial" w:eastAsia="Arial" w:hAnsi="Arial"/>
          <w:sz w:val="12"/>
          <w:szCs w:val="12"/>
          <w:color w:val="auto"/>
        </w:rPr>
        <w:t>On October 27, 2023 we issued an earnings release reporting our results of operations for the three and nine months ended September 30, 2023. A copy of this earnings release is attached hereto as Exhibit 99.1 and is incorporated by reference.</w:t>
      </w:r>
    </w:p>
    <w:p>
      <w:pPr>
        <w:spacing w:after="0" w:line="134" w:lineRule="exact"/>
        <w:rPr>
          <w:sz w:val="20"/>
          <w:szCs w:val="20"/>
          <w:color w:val="auto"/>
        </w:rPr>
      </w:pPr>
    </w:p>
    <w:p>
      <w:pPr>
        <w:ind w:right="60"/>
        <w:spacing w:after="0" w:line="275" w:lineRule="auto"/>
        <w:rPr>
          <w:sz w:val="20"/>
          <w:szCs w:val="20"/>
          <w:color w:val="auto"/>
        </w:rPr>
      </w:pPr>
      <w:r>
        <w:rPr>
          <w:rFonts w:ascii="Arial" w:cs="Arial" w:eastAsia="Arial" w:hAnsi="Arial"/>
          <w:sz w:val="12"/>
          <w:szCs w:val="12"/>
          <w:color w:val="auto"/>
        </w:rPr>
        <w:t>The information in this Current Report on Form 8-K and the Exhibits attached hereto shall not be deemed to be “filed” for the purposes of Section 18 of the Securities and Exchange Act of 1934, as amended, nor shall it be deemed incorporated by reference in any filing under the Securities Act of 1933, except as shall be expressly set forth by specific reference in such filing.</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7 Regulation FD</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7.01. Regulation FD Disclosure</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2"/>
          <w:szCs w:val="12"/>
          <w:color w:val="auto"/>
        </w:rPr>
        <w:t>On October 27, 2023, the Company will hold an investor conference call and webcast to discuss the Company’s earnings results for the three and nine months ended September 30, 2023. A copy of supplemental materials used during the earnings call is furnished as Exhibit 99.2 to this Form 8-</w:t>
      </w:r>
      <w:r>
        <w:rPr>
          <w:rFonts w:ascii="Arial" w:cs="Arial" w:eastAsia="Arial" w:hAnsi="Arial"/>
          <w:sz w:val="13"/>
          <w:szCs w:val="13"/>
          <w:color w:val="auto"/>
        </w:rPr>
        <w:t>K.</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9 - Financial Statements and Exhibits.</w:t>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9.01. Financial Statements and Exhibits.</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color w:val="auto"/>
        </w:rPr>
        <w:t>(d) Exhibits.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3"/>
          <w:szCs w:val="13"/>
          <w:u w:val="single" w:color="auto"/>
          <w:color w:val="0000FF"/>
        </w:rPr>
        <w:t>99.1 Earnings Release dated October 27, 2023</w:t>
      </w:r>
    </w:p>
    <w:p>
      <w:pPr>
        <w:spacing w:after="0" w:line="12" w:lineRule="exact"/>
        <w:rPr>
          <w:sz w:val="20"/>
          <w:szCs w:val="20"/>
          <w:color w:val="auto"/>
        </w:rPr>
      </w:pPr>
    </w:p>
    <w:p>
      <w:pPr>
        <w:ind w:left="420"/>
        <w:spacing w:after="0"/>
        <w:rPr>
          <w:sz w:val="20"/>
          <w:szCs w:val="20"/>
          <w:color w:val="auto"/>
        </w:rPr>
      </w:pPr>
      <w:r>
        <w:rPr>
          <w:rFonts w:ascii="Arial" w:cs="Arial" w:eastAsia="Arial" w:hAnsi="Arial"/>
          <w:sz w:val="13"/>
          <w:szCs w:val="13"/>
          <w:u w:val="single" w:color="auto"/>
          <w:color w:val="0000FF"/>
        </w:rPr>
        <w:t>99.2 Earnings Release Supplement</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SIGNATURES</w:t>
      </w:r>
    </w:p>
    <w:p>
      <w:pPr>
        <w:spacing w:after="0" w:line="175" w:lineRule="exact"/>
        <w:rPr>
          <w:sz w:val="20"/>
          <w:szCs w:val="20"/>
          <w:color w:val="auto"/>
        </w:rPr>
      </w:pPr>
    </w:p>
    <w:p>
      <w:pPr>
        <w:ind w:right="440"/>
        <w:spacing w:after="0" w:line="285" w:lineRule="auto"/>
        <w:rPr>
          <w:sz w:val="20"/>
          <w:szCs w:val="20"/>
          <w:color w:val="auto"/>
        </w:rPr>
      </w:pPr>
      <w:r>
        <w:rPr>
          <w:rFonts w:ascii="Arial" w:cs="Arial" w:eastAsia="Arial" w:hAnsi="Arial"/>
          <w:sz w:val="13"/>
          <w:szCs w:val="13"/>
          <w:color w:val="auto"/>
        </w:rPr>
        <w:t>Pursuant to the requirements of the Securities Exchange Act of 1934, as amended, the registrant has duly caused this report to be signed on its behalf by the undersigned hereunto duly authorized.</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 Rowe Price Group, Inc.</w:t>
      </w:r>
    </w:p>
    <w:p>
      <w:pPr>
        <w:spacing w:after="0" w:line="38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u w:val="single" w:color="auto"/>
          <w:color w:val="auto"/>
        </w:rPr>
        <w:t>/s/ Jennifer B. Dardis</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Jennifer B. Dardis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Vice President, Chief Financial Officer and Treasurer</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Date: October 27, 2023</w:t>
      </w:r>
    </w:p>
    <w:p>
      <w:pPr>
        <w:sectPr>
          <w:pgSz w:w="11900" w:h="16838" w:orient="portrait"/>
          <w:cols w:equalWidth="0" w:num="1">
            <w:col w:w="11200"/>
          </w:cols>
          <w:pgMar w:left="300" w:top="702" w:right="399" w:bottom="1440" w:gutter="0" w:footer="0" w:header="0"/>
        </w:sectPr>
      </w:pPr>
    </w:p>
    <w:bookmarkStart w:id="2" w:name="page3"/>
    <w:bookmarkEnd w:id="2"/>
    <w:p>
      <w:pPr>
        <w:spacing w:after="0" w:line="2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568960</wp:posOffset>
            </wp:positionV>
            <wp:extent cx="3909060" cy="3657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3909060" cy="365760"/>
                    </a:xfrm>
                    <a:prstGeom prst="rect">
                      <a:avLst/>
                    </a:prstGeom>
                    <a:noFill/>
                  </pic:spPr>
                </pic:pic>
              </a:graphicData>
            </a:graphic>
          </wp:anchor>
        </w:drawing>
      </w:r>
    </w:p>
    <w:p>
      <w:pPr>
        <w:ind w:left="8"/>
        <w:spacing w:after="0"/>
        <w:rPr>
          <w:sz w:val="20"/>
          <w:szCs w:val="20"/>
          <w:color w:val="auto"/>
        </w:rPr>
      </w:pPr>
      <w:r>
        <w:rPr>
          <w:rFonts w:ascii="Arial" w:cs="Arial" w:eastAsia="Arial" w:hAnsi="Arial"/>
          <w:sz w:val="19"/>
          <w:szCs w:val="19"/>
          <w:b w:val="1"/>
          <w:bCs w:val="1"/>
          <w:color w:val="05C3DE"/>
        </w:rPr>
        <w:t>NEWS RELEASE</w:t>
      </w:r>
    </w:p>
    <w:p>
      <w:pPr>
        <w:spacing w:after="0" w:line="218"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T. ROWE PRICE GROUP REPORTS THIRD QUARTER 2023 RESULTS</w:t>
      </w:r>
    </w:p>
    <w:p>
      <w:pPr>
        <w:spacing w:after="0" w:line="96" w:lineRule="exact"/>
        <w:rPr>
          <w:sz w:val="20"/>
          <w:szCs w:val="20"/>
          <w:color w:val="auto"/>
        </w:rPr>
      </w:pPr>
    </w:p>
    <w:p>
      <w:pPr>
        <w:ind w:left="8"/>
        <w:spacing w:after="0"/>
        <w:rPr>
          <w:sz w:val="20"/>
          <w:szCs w:val="20"/>
          <w:color w:val="auto"/>
        </w:rPr>
      </w:pPr>
      <w:r>
        <w:rPr>
          <w:rFonts w:ascii="Arial" w:cs="Arial" w:eastAsia="Arial" w:hAnsi="Arial"/>
          <w:sz w:val="12"/>
          <w:szCs w:val="12"/>
          <w:color w:val="auto"/>
        </w:rPr>
        <w:t>BALTIMORE (October 27, 2023) - T. Rowe Price Group, Inc. (NASDAQ-GS: TROW) today reported its results for the third quarter of 2023.</w:t>
      </w:r>
    </w:p>
    <w:p>
      <w:pPr>
        <w:spacing w:after="0" w:line="166" w:lineRule="exact"/>
        <w:rPr>
          <w:sz w:val="20"/>
          <w:szCs w:val="20"/>
          <w:color w:val="auto"/>
        </w:rPr>
      </w:pPr>
    </w:p>
    <w:p>
      <w:pPr>
        <w:ind w:left="428" w:hanging="212"/>
        <w:spacing w:after="0"/>
        <w:tabs>
          <w:tab w:leader="none" w:pos="428" w:val="left"/>
        </w:tabs>
        <w:numPr>
          <w:ilvl w:val="0"/>
          <w:numId w:val="2"/>
        </w:numPr>
        <w:rPr>
          <w:rFonts w:ascii="Arial" w:cs="Arial" w:eastAsia="Arial" w:hAnsi="Arial"/>
          <w:sz w:val="11"/>
          <w:szCs w:val="11"/>
          <w:b w:val="1"/>
          <w:bCs w:val="1"/>
          <w:color w:val="40AEFF"/>
        </w:rPr>
      </w:pPr>
      <w:r>
        <w:rPr>
          <w:rFonts w:ascii="Arial" w:cs="Arial" w:eastAsia="Arial" w:hAnsi="Arial"/>
          <w:sz w:val="11"/>
          <w:szCs w:val="11"/>
          <w:b w:val="1"/>
          <w:bCs w:val="1"/>
          <w:color w:val="auto"/>
        </w:rPr>
        <w:t>Quarter end assets under management of $1.35 trillion</w:t>
      </w:r>
    </w:p>
    <w:p>
      <w:pPr>
        <w:spacing w:after="0" w:line="62" w:lineRule="exact"/>
        <w:rPr>
          <w:rFonts w:ascii="Arial" w:cs="Arial" w:eastAsia="Arial" w:hAnsi="Arial"/>
          <w:sz w:val="11"/>
          <w:szCs w:val="11"/>
          <w:b w:val="1"/>
          <w:bCs w:val="1"/>
          <w:color w:val="40AEFF"/>
        </w:rPr>
      </w:pPr>
    </w:p>
    <w:p>
      <w:pPr>
        <w:ind w:left="428" w:hanging="212"/>
        <w:spacing w:after="0"/>
        <w:tabs>
          <w:tab w:leader="none" w:pos="428" w:val="left"/>
        </w:tabs>
        <w:numPr>
          <w:ilvl w:val="0"/>
          <w:numId w:val="2"/>
        </w:numPr>
        <w:rPr>
          <w:rFonts w:ascii="Arial" w:cs="Arial" w:eastAsia="Arial" w:hAnsi="Arial"/>
          <w:sz w:val="11"/>
          <w:szCs w:val="11"/>
          <w:b w:val="1"/>
          <w:bCs w:val="1"/>
          <w:i w:val="1"/>
          <w:iCs w:val="1"/>
          <w:color w:val="40AEFF"/>
        </w:rPr>
      </w:pPr>
      <w:r>
        <w:rPr>
          <w:rFonts w:ascii="Arial" w:cs="Arial" w:eastAsia="Arial" w:hAnsi="Arial"/>
          <w:sz w:val="11"/>
          <w:szCs w:val="11"/>
          <w:b w:val="1"/>
          <w:bCs w:val="1"/>
          <w:color w:val="auto"/>
        </w:rPr>
        <w:t>Net client outflows of $17.4 billion</w:t>
      </w:r>
    </w:p>
    <w:p>
      <w:pPr>
        <w:spacing w:after="0" w:line="62" w:lineRule="exact"/>
        <w:rPr>
          <w:rFonts w:ascii="Arial" w:cs="Arial" w:eastAsia="Arial" w:hAnsi="Arial"/>
          <w:sz w:val="11"/>
          <w:szCs w:val="11"/>
          <w:b w:val="1"/>
          <w:bCs w:val="1"/>
          <w:i w:val="1"/>
          <w:iCs w:val="1"/>
          <w:color w:val="40AEFF"/>
        </w:rPr>
      </w:pPr>
    </w:p>
    <w:p>
      <w:pPr>
        <w:ind w:left="428" w:hanging="212"/>
        <w:spacing w:after="0"/>
        <w:tabs>
          <w:tab w:leader="none" w:pos="428" w:val="left"/>
        </w:tabs>
        <w:numPr>
          <w:ilvl w:val="0"/>
          <w:numId w:val="2"/>
        </w:numPr>
        <w:rPr>
          <w:rFonts w:ascii="Arial" w:cs="Arial" w:eastAsia="Arial" w:hAnsi="Arial"/>
          <w:sz w:val="11"/>
          <w:szCs w:val="11"/>
          <w:b w:val="1"/>
          <w:bCs w:val="1"/>
          <w:i w:val="1"/>
          <w:iCs w:val="1"/>
          <w:color w:val="40AEFF"/>
        </w:rPr>
      </w:pPr>
      <w:r>
        <w:rPr>
          <w:rFonts w:ascii="Arial" w:cs="Arial" w:eastAsia="Arial" w:hAnsi="Arial"/>
          <w:sz w:val="11"/>
          <w:szCs w:val="11"/>
          <w:b w:val="1"/>
          <w:bCs w:val="1"/>
          <w:color w:val="auto"/>
        </w:rPr>
        <w:t>Diluted earnings per common share (EPS) of $1.97; Adjusted diluted EPS of $2.17</w:t>
      </w:r>
    </w:p>
    <w:p>
      <w:pPr>
        <w:spacing w:after="0" w:line="62" w:lineRule="exact"/>
        <w:rPr>
          <w:rFonts w:ascii="Arial" w:cs="Arial" w:eastAsia="Arial" w:hAnsi="Arial"/>
          <w:sz w:val="11"/>
          <w:szCs w:val="11"/>
          <w:b w:val="1"/>
          <w:bCs w:val="1"/>
          <w:i w:val="1"/>
          <w:iCs w:val="1"/>
          <w:color w:val="40AEFF"/>
        </w:rPr>
      </w:pPr>
    </w:p>
    <w:p>
      <w:pPr>
        <w:ind w:left="428" w:hanging="212"/>
        <w:spacing w:after="0"/>
        <w:tabs>
          <w:tab w:leader="none" w:pos="428" w:val="left"/>
        </w:tabs>
        <w:numPr>
          <w:ilvl w:val="0"/>
          <w:numId w:val="2"/>
        </w:numPr>
        <w:rPr>
          <w:rFonts w:ascii="Arial" w:cs="Arial" w:eastAsia="Arial" w:hAnsi="Arial"/>
          <w:sz w:val="11"/>
          <w:szCs w:val="11"/>
          <w:b w:val="1"/>
          <w:bCs w:val="1"/>
          <w:i w:val="1"/>
          <w:iCs w:val="1"/>
          <w:color w:val="40AEFF"/>
        </w:rPr>
      </w:pPr>
      <w:r>
        <w:rPr>
          <w:rFonts w:ascii="Arial" w:cs="Arial" w:eastAsia="Arial" w:hAnsi="Arial"/>
          <w:sz w:val="11"/>
          <w:szCs w:val="11"/>
          <w:b w:val="1"/>
          <w:bCs w:val="1"/>
          <w:color w:val="auto"/>
        </w:rPr>
        <w:t>Returned $386 million to stockholders from the recurring quarterly dividend and stock repurchases</w:t>
      </w:r>
    </w:p>
    <w:p>
      <w:pPr>
        <w:spacing w:after="0" w:line="344" w:lineRule="exact"/>
        <w:rPr>
          <w:sz w:val="20"/>
          <w:szCs w:val="20"/>
          <w:color w:val="auto"/>
        </w:rPr>
      </w:pPr>
    </w:p>
    <w:p>
      <w:pPr>
        <w:jc w:val="both"/>
        <w:ind w:left="8" w:right="40"/>
        <w:spacing w:after="0" w:line="372" w:lineRule="auto"/>
        <w:rPr>
          <w:sz w:val="20"/>
          <w:szCs w:val="20"/>
          <w:color w:val="auto"/>
        </w:rPr>
      </w:pPr>
      <w:r>
        <w:rPr>
          <w:rFonts w:ascii="Arial" w:cs="Arial" w:eastAsia="Arial" w:hAnsi="Arial"/>
          <w:sz w:val="12"/>
          <w:szCs w:val="12"/>
          <w:color w:val="auto"/>
        </w:rPr>
        <w:t>Rob Sharps, chief executive officer and president, commented, “Third quarter trends were largely similar to what we experienced earlier in the year—investment performance was solid and particularly strong in our largest franchises; we made progress on our strategic initiatives; and we executed on planned cost savings efforts. However, our flows remain under pressure, with net outflows from equity outweighing the positive net flows to fixed income, multi-asset, and alternatives this quarter."</w:t>
      </w:r>
    </w:p>
    <w:p>
      <w:pPr>
        <w:spacing w:after="0" w:line="8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Financial Highlights</w:t>
      </w:r>
    </w:p>
    <w:p>
      <w:pPr>
        <w:spacing w:after="0" w:line="55" w:lineRule="exact"/>
        <w:rPr>
          <w:sz w:val="20"/>
          <w:szCs w:val="20"/>
          <w:color w:val="auto"/>
        </w:rPr>
      </w:pPr>
    </w:p>
    <w:tbl>
      <w:tblPr>
        <w:tblLayout w:type="fixed"/>
        <w:tblInd w:w="18" w:type="dxa"/>
        <w:tblCellMar>
          <w:top w:w="0" w:type="dxa"/>
          <w:left w:w="0" w:type="dxa"/>
          <w:bottom w:w="0" w:type="dxa"/>
          <w:right w:w="0" w:type="dxa"/>
        </w:tblCellMar>
      </w:tblPr>
      <w:tr>
        <w:trPr>
          <w:trHeight w:val="135"/>
        </w:trPr>
        <w:tc>
          <w:tcPr>
            <w:tcW w:w="720" w:type="dxa"/>
            <w:vAlign w:val="bottom"/>
            <w:tcBorders>
              <w:top w:val="single" w:sz="8" w:color="auto"/>
              <w:left w:val="single" w:sz="8" w:color="auto"/>
              <w:right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42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spacing w:after="0"/>
              <w:rPr>
                <w:sz w:val="11"/>
                <w:szCs w:val="11"/>
                <w:color w:val="auto"/>
              </w:rPr>
            </w:pPr>
          </w:p>
        </w:tc>
        <w:tc>
          <w:tcPr>
            <w:tcW w:w="1160" w:type="dxa"/>
            <w:vAlign w:val="bottom"/>
            <w:tcBorders>
              <w:top w:val="single" w:sz="8" w:color="auto"/>
              <w:bottom w:val="single" w:sz="8" w:color="auto"/>
            </w:tcBorders>
            <w:gridSpan w:val="3"/>
            <w:shd w:val="clear" w:color="auto" w:fill="CCEEFF"/>
          </w:tcPr>
          <w:p>
            <w:pPr>
              <w:ind w:left="40"/>
              <w:spacing w:after="0"/>
              <w:rPr>
                <w:sz w:val="20"/>
                <w:szCs w:val="20"/>
                <w:color w:val="auto"/>
              </w:rPr>
            </w:pPr>
            <w:r>
              <w:rPr>
                <w:rFonts w:ascii="Arial" w:cs="Arial" w:eastAsia="Arial" w:hAnsi="Arial"/>
                <w:sz w:val="9"/>
                <w:szCs w:val="9"/>
                <w:color w:val="auto"/>
              </w:rPr>
              <w:t>Three months ended</w:t>
            </w: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right w:val="single" w:sz="8" w:color="auto"/>
            </w:tcBorders>
            <w:shd w:val="clear" w:color="auto" w:fill="CCEEFF"/>
          </w:tcPr>
          <w:p>
            <w:pPr>
              <w:spacing w:after="0"/>
              <w:rPr>
                <w:sz w:val="11"/>
                <w:szCs w:val="11"/>
                <w:color w:val="auto"/>
              </w:rPr>
            </w:pPr>
          </w:p>
        </w:tc>
      </w:tr>
      <w:tr>
        <w:trPr>
          <w:trHeight w:val="131"/>
        </w:trPr>
        <w:tc>
          <w:tcPr>
            <w:tcW w:w="5460" w:type="dxa"/>
            <w:vAlign w:val="bottom"/>
            <w:tcBorders>
              <w:left w:val="single" w:sz="8" w:color="auto"/>
            </w:tcBorders>
            <w:gridSpan w:val="3"/>
          </w:tcPr>
          <w:p>
            <w:pPr>
              <w:ind w:left="20"/>
              <w:spacing w:after="0"/>
              <w:rPr>
                <w:sz w:val="20"/>
                <w:szCs w:val="20"/>
                <w:color w:val="auto"/>
              </w:rPr>
            </w:pPr>
            <w:r>
              <w:rPr>
                <w:rFonts w:ascii="Arial" w:cs="Arial" w:eastAsia="Arial" w:hAnsi="Arial"/>
                <w:sz w:val="9"/>
                <w:szCs w:val="9"/>
                <w:color w:val="auto"/>
              </w:rPr>
              <w:t>(in millions, except per-share data)</w:t>
            </w:r>
          </w:p>
        </w:tc>
        <w:tc>
          <w:tcPr>
            <w:tcW w:w="220" w:type="dxa"/>
            <w:vAlign w:val="bottom"/>
          </w:tcPr>
          <w:p>
            <w:pPr>
              <w:spacing w:after="0"/>
              <w:rPr>
                <w:sz w:val="11"/>
                <w:szCs w:val="11"/>
                <w:color w:val="auto"/>
              </w:rPr>
            </w:pPr>
          </w:p>
        </w:tc>
        <w:tc>
          <w:tcPr>
            <w:tcW w:w="980" w:type="dxa"/>
            <w:vAlign w:val="bottom"/>
          </w:tcPr>
          <w:p>
            <w:pPr>
              <w:jc w:val="right"/>
              <w:ind w:right="355"/>
              <w:spacing w:after="0"/>
              <w:rPr>
                <w:sz w:val="20"/>
                <w:szCs w:val="20"/>
                <w:color w:val="auto"/>
              </w:rPr>
            </w:pPr>
            <w:r>
              <w:rPr>
                <w:rFonts w:ascii="Arial" w:cs="Arial" w:eastAsia="Arial" w:hAnsi="Arial"/>
                <w:sz w:val="9"/>
                <w:szCs w:val="9"/>
                <w:color w:val="auto"/>
              </w:rPr>
              <w:t>9/30/2023</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ind w:right="355"/>
              <w:spacing w:after="0"/>
              <w:rPr>
                <w:sz w:val="20"/>
                <w:szCs w:val="20"/>
                <w:color w:val="auto"/>
              </w:rPr>
            </w:pPr>
            <w:r>
              <w:rPr>
                <w:rFonts w:ascii="Arial" w:cs="Arial" w:eastAsia="Arial" w:hAnsi="Arial"/>
                <w:sz w:val="9"/>
                <w:szCs w:val="9"/>
                <w:color w:val="auto"/>
              </w:rPr>
              <w:t>9/30/2022</w:t>
            </w:r>
          </w:p>
        </w:tc>
        <w:tc>
          <w:tcPr>
            <w:tcW w:w="80" w:type="dxa"/>
            <w:vAlign w:val="bottom"/>
          </w:tcPr>
          <w:p>
            <w:pPr>
              <w:spacing w:after="0"/>
              <w:rPr>
                <w:sz w:val="11"/>
                <w:szCs w:val="11"/>
                <w:color w:val="auto"/>
              </w:rPr>
            </w:pPr>
          </w:p>
        </w:tc>
        <w:tc>
          <w:tcPr>
            <w:tcW w:w="1020" w:type="dxa"/>
            <w:vAlign w:val="bottom"/>
            <w:tcBorders>
              <w:right w:val="single" w:sz="8" w:color="auto"/>
            </w:tcBorders>
          </w:tcPr>
          <w:p>
            <w:pPr>
              <w:jc w:val="right"/>
              <w:ind w:right="335"/>
              <w:spacing w:after="0"/>
              <w:rPr>
                <w:sz w:val="20"/>
                <w:szCs w:val="20"/>
                <w:color w:val="auto"/>
              </w:rPr>
            </w:pPr>
            <w:r>
              <w:rPr>
                <w:rFonts w:ascii="Arial" w:cs="Arial" w:eastAsia="Arial" w:hAnsi="Arial"/>
                <w:sz w:val="9"/>
                <w:szCs w:val="9"/>
                <w:color w:val="auto"/>
              </w:rPr>
              <w:t>Change</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ind w:right="355"/>
              <w:spacing w:after="0"/>
              <w:rPr>
                <w:sz w:val="20"/>
                <w:szCs w:val="20"/>
                <w:color w:val="auto"/>
              </w:rPr>
            </w:pPr>
            <w:r>
              <w:rPr>
                <w:rFonts w:ascii="Arial" w:cs="Arial" w:eastAsia="Arial" w:hAnsi="Arial"/>
                <w:sz w:val="9"/>
                <w:szCs w:val="9"/>
                <w:color w:val="auto"/>
              </w:rPr>
              <w:t>6/30/2023</w:t>
            </w:r>
          </w:p>
        </w:tc>
        <w:tc>
          <w:tcPr>
            <w:tcW w:w="80" w:type="dxa"/>
            <w:vAlign w:val="bottom"/>
          </w:tcPr>
          <w:p>
            <w:pPr>
              <w:spacing w:after="0"/>
              <w:rPr>
                <w:sz w:val="11"/>
                <w:szCs w:val="11"/>
                <w:color w:val="auto"/>
              </w:rPr>
            </w:pPr>
          </w:p>
        </w:tc>
        <w:tc>
          <w:tcPr>
            <w:tcW w:w="960" w:type="dxa"/>
            <w:vAlign w:val="bottom"/>
            <w:tcBorders>
              <w:right w:val="single" w:sz="8" w:color="auto"/>
            </w:tcBorders>
          </w:tcPr>
          <w:p>
            <w:pPr>
              <w:jc w:val="right"/>
              <w:ind w:right="295"/>
              <w:spacing w:after="0"/>
              <w:rPr>
                <w:sz w:val="20"/>
                <w:szCs w:val="20"/>
                <w:color w:val="auto"/>
              </w:rPr>
            </w:pPr>
            <w:r>
              <w:rPr>
                <w:rFonts w:ascii="Arial" w:cs="Arial" w:eastAsia="Arial" w:hAnsi="Arial"/>
                <w:sz w:val="9"/>
                <w:szCs w:val="9"/>
                <w:color w:val="auto"/>
              </w:rPr>
              <w:t>Change</w:t>
            </w:r>
          </w:p>
        </w:tc>
      </w:tr>
      <w:tr>
        <w:trPr>
          <w:trHeight w:val="99"/>
        </w:trPr>
        <w:tc>
          <w:tcPr>
            <w:tcW w:w="5460" w:type="dxa"/>
            <w:vAlign w:val="bottom"/>
            <w:tcBorders>
              <w:top w:val="single" w:sz="8" w:color="CCEEFF"/>
              <w:left w:val="single" w:sz="8" w:color="auto"/>
            </w:tcBorders>
            <w:gridSpan w:val="3"/>
          </w:tcPr>
          <w:p>
            <w:pPr>
              <w:ind w:left="20"/>
              <w:spacing w:after="0" w:line="99" w:lineRule="exact"/>
              <w:rPr>
                <w:sz w:val="20"/>
                <w:szCs w:val="20"/>
                <w:color w:val="auto"/>
              </w:rPr>
            </w:pPr>
            <w:r>
              <w:rPr>
                <w:rFonts w:ascii="Arial" w:cs="Arial" w:eastAsia="Arial" w:hAnsi="Arial"/>
                <w:sz w:val="9"/>
                <w:szCs w:val="9"/>
                <w:b w:val="1"/>
                <w:bCs w:val="1"/>
                <w:color w:val="auto"/>
              </w:rPr>
              <w:t>U.S. GAAP basis</w:t>
            </w:r>
          </w:p>
        </w:tc>
        <w:tc>
          <w:tcPr>
            <w:tcW w:w="22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1020" w:type="dxa"/>
            <w:vAlign w:val="bottom"/>
            <w:tcBorders>
              <w:top w:val="single" w:sz="8" w:color="auto"/>
              <w:right w:val="single" w:sz="8" w:color="auto"/>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960" w:type="dxa"/>
            <w:vAlign w:val="bottom"/>
            <w:tcBorders>
              <w:top w:val="single" w:sz="8" w:color="auto"/>
              <w:right w:val="single" w:sz="8" w:color="auto"/>
            </w:tcBorders>
          </w:tcPr>
          <w:p>
            <w:pPr>
              <w:spacing w:after="0"/>
              <w:rPr>
                <w:sz w:val="8"/>
                <w:szCs w:val="8"/>
                <w:color w:val="auto"/>
              </w:rPr>
            </w:pPr>
          </w:p>
        </w:tc>
      </w:tr>
      <w:tr>
        <w:trPr>
          <w:trHeight w:val="27"/>
        </w:trPr>
        <w:tc>
          <w:tcPr>
            <w:tcW w:w="720" w:type="dxa"/>
            <w:vAlign w:val="bottom"/>
            <w:tcBorders>
              <w:left w:val="single" w:sz="8" w:color="auto"/>
              <w:right w:val="single" w:sz="8" w:color="auto"/>
            </w:tcBorders>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r>
      <w:tr>
        <w:trPr>
          <w:trHeight w:val="126"/>
        </w:trPr>
        <w:tc>
          <w:tcPr>
            <w:tcW w:w="5460" w:type="dxa"/>
            <w:vAlign w:val="bottom"/>
            <w:tcBorders>
              <w:left w:val="single" w:sz="8" w:color="auto"/>
            </w:tcBorders>
            <w:gridSpan w:val="3"/>
            <w:shd w:val="clear" w:color="auto" w:fill="CCEEFF"/>
          </w:tcPr>
          <w:p>
            <w:pPr>
              <w:ind w:left="20"/>
              <w:spacing w:after="0"/>
              <w:rPr>
                <w:sz w:val="20"/>
                <w:szCs w:val="20"/>
                <w:color w:val="auto"/>
              </w:rPr>
            </w:pPr>
            <w:r>
              <w:rPr>
                <w:rFonts w:ascii="Arial" w:cs="Arial" w:eastAsia="Arial" w:hAnsi="Arial"/>
                <w:sz w:val="9"/>
                <w:szCs w:val="9"/>
                <w:color w:val="auto"/>
              </w:rPr>
              <w:t>Investment advisory fees</w:t>
            </w:r>
          </w:p>
        </w:tc>
        <w:tc>
          <w:tcPr>
            <w:tcW w:w="220" w:type="dxa"/>
            <w:vAlign w:val="bottom"/>
            <w:shd w:val="clear" w:color="auto" w:fill="CCEEFF"/>
          </w:tcPr>
          <w:p>
            <w:pPr>
              <w:jc w:val="right"/>
              <w:ind w:right="115"/>
              <w:spacing w:after="0"/>
              <w:rPr>
                <w:sz w:val="20"/>
                <w:szCs w:val="20"/>
                <w:color w:val="auto"/>
              </w:rPr>
            </w:pPr>
            <w:r>
              <w:rPr>
                <w:rFonts w:ascii="Arial" w:cs="Arial" w:eastAsia="Arial" w:hAnsi="Arial"/>
                <w:sz w:val="9"/>
                <w:szCs w:val="9"/>
                <w:color w:val="auto"/>
                <w:w w:val="78"/>
              </w:rPr>
              <w:t>$</w:t>
            </w: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1,463.9</w:t>
            </w: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jc w:val="right"/>
              <w:ind w:right="135"/>
              <w:spacing w:after="0"/>
              <w:rPr>
                <w:sz w:val="20"/>
                <w:szCs w:val="20"/>
                <w:color w:val="auto"/>
              </w:rPr>
            </w:pPr>
            <w:r>
              <w:rPr>
                <w:rFonts w:ascii="Arial" w:cs="Arial" w:eastAsia="Arial" w:hAnsi="Arial"/>
                <w:sz w:val="9"/>
                <w:szCs w:val="9"/>
                <w:color w:val="auto"/>
                <w:w w:val="78"/>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9"/>
                <w:szCs w:val="9"/>
                <w:color w:val="auto"/>
              </w:rPr>
              <w:t>1,442.0</w:t>
            </w:r>
          </w:p>
        </w:tc>
        <w:tc>
          <w:tcPr>
            <w:tcW w:w="1100" w:type="dxa"/>
            <w:vAlign w:val="bottom"/>
            <w:tcBorders>
              <w:right w:val="single" w:sz="8" w:color="auto"/>
            </w:tcBorders>
            <w:gridSpan w:val="2"/>
            <w:shd w:val="clear" w:color="auto" w:fill="CCEEFF"/>
          </w:tcPr>
          <w:p>
            <w:pPr>
              <w:jc w:val="right"/>
              <w:ind w:right="55"/>
              <w:spacing w:after="0"/>
              <w:rPr>
                <w:sz w:val="20"/>
                <w:szCs w:val="20"/>
                <w:color w:val="auto"/>
              </w:rPr>
            </w:pPr>
            <w:r>
              <w:rPr>
                <w:rFonts w:ascii="Arial" w:cs="Arial" w:eastAsia="Arial" w:hAnsi="Arial"/>
                <w:sz w:val="9"/>
                <w:szCs w:val="9"/>
                <w:color w:val="auto"/>
              </w:rPr>
              <w:t>1.5 %</w:t>
            </w: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jc w:val="right"/>
              <w:ind w:right="135"/>
              <w:spacing w:after="0"/>
              <w:rPr>
                <w:sz w:val="20"/>
                <w:szCs w:val="20"/>
                <w:color w:val="auto"/>
              </w:rPr>
            </w:pPr>
            <w:r>
              <w:rPr>
                <w:rFonts w:ascii="Arial" w:cs="Arial" w:eastAsia="Arial" w:hAnsi="Arial"/>
                <w:sz w:val="9"/>
                <w:szCs w:val="9"/>
                <w:color w:val="auto"/>
                <w:w w:val="78"/>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9"/>
                <w:szCs w:val="9"/>
                <w:color w:val="auto"/>
              </w:rPr>
              <w:t>1,430.8</w:t>
            </w:r>
          </w:p>
        </w:tc>
        <w:tc>
          <w:tcPr>
            <w:tcW w:w="80" w:type="dxa"/>
            <w:vAlign w:val="bottom"/>
            <w:shd w:val="clear" w:color="auto" w:fill="CCEEFF"/>
          </w:tcPr>
          <w:p>
            <w:pPr>
              <w:spacing w:after="0"/>
              <w:rPr>
                <w:sz w:val="10"/>
                <w:szCs w:val="10"/>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2.3 %</w:t>
            </w:r>
          </w:p>
        </w:tc>
      </w:tr>
      <w:tr>
        <w:trPr>
          <w:trHeight w:val="126"/>
        </w:trPr>
        <w:tc>
          <w:tcPr>
            <w:tcW w:w="5460" w:type="dxa"/>
            <w:vAlign w:val="bottom"/>
            <w:tcBorders>
              <w:left w:val="single" w:sz="8" w:color="auto"/>
            </w:tcBorders>
            <w:gridSpan w:val="3"/>
          </w:tcPr>
          <w:p>
            <w:pPr>
              <w:ind w:left="20"/>
              <w:spacing w:after="0"/>
              <w:rPr>
                <w:sz w:val="20"/>
                <w:szCs w:val="20"/>
                <w:color w:val="auto"/>
              </w:rPr>
            </w:pPr>
            <w:r>
              <w:rPr>
                <w:rFonts w:ascii="Arial" w:cs="Arial" w:eastAsia="Arial" w:hAnsi="Arial"/>
                <w:sz w:val="9"/>
                <w:szCs w:val="9"/>
                <w:color w:val="auto"/>
              </w:rPr>
              <w:t>Capital allocation-based income</w:t>
            </w:r>
            <w:r>
              <w:rPr>
                <w:rFonts w:ascii="Arial" w:cs="Arial" w:eastAsia="Arial" w:hAnsi="Arial"/>
                <w:sz w:val="11"/>
                <w:szCs w:val="11"/>
                <w:color w:val="auto"/>
                <w:vertAlign w:val="superscript"/>
              </w:rPr>
              <w:t>(1) (2)</w:t>
            </w:r>
          </w:p>
        </w:tc>
        <w:tc>
          <w:tcPr>
            <w:tcW w:w="220" w:type="dxa"/>
            <w:vAlign w:val="bottom"/>
          </w:tcPr>
          <w:p>
            <w:pPr>
              <w:jc w:val="right"/>
              <w:ind w:right="115"/>
              <w:spacing w:after="0"/>
              <w:rPr>
                <w:sz w:val="20"/>
                <w:szCs w:val="20"/>
                <w:color w:val="auto"/>
              </w:rPr>
            </w:pPr>
            <w:r>
              <w:rPr>
                <w:rFonts w:ascii="Arial" w:cs="Arial" w:eastAsia="Arial" w:hAnsi="Arial"/>
                <w:sz w:val="9"/>
                <w:szCs w:val="9"/>
                <w:color w:val="auto"/>
                <w:w w:val="78"/>
              </w:rPr>
              <w:t>$</w:t>
            </w:r>
          </w:p>
        </w:tc>
        <w:tc>
          <w:tcPr>
            <w:tcW w:w="980" w:type="dxa"/>
            <w:vAlign w:val="bottom"/>
          </w:tcPr>
          <w:p>
            <w:pPr>
              <w:jc w:val="right"/>
              <w:ind w:right="15"/>
              <w:spacing w:after="0"/>
              <w:rPr>
                <w:sz w:val="20"/>
                <w:szCs w:val="20"/>
                <w:color w:val="auto"/>
              </w:rPr>
            </w:pPr>
            <w:r>
              <w:rPr>
                <w:rFonts w:ascii="Arial" w:cs="Arial" w:eastAsia="Arial" w:hAnsi="Arial"/>
                <w:sz w:val="9"/>
                <w:szCs w:val="9"/>
                <w:color w:val="auto"/>
              </w:rPr>
              <w:t>66.1</w:t>
            </w:r>
          </w:p>
        </w:tc>
        <w:tc>
          <w:tcPr>
            <w:tcW w:w="60" w:type="dxa"/>
            <w:vAlign w:val="bottom"/>
          </w:tcPr>
          <w:p>
            <w:pPr>
              <w:spacing w:after="0"/>
              <w:rPr>
                <w:sz w:val="10"/>
                <w:szCs w:val="10"/>
                <w:color w:val="auto"/>
              </w:rPr>
            </w:pPr>
          </w:p>
        </w:tc>
        <w:tc>
          <w:tcPr>
            <w:tcW w:w="240" w:type="dxa"/>
            <w:vAlign w:val="bottom"/>
          </w:tcPr>
          <w:p>
            <w:pPr>
              <w:jc w:val="right"/>
              <w:ind w:right="135"/>
              <w:spacing w:after="0"/>
              <w:rPr>
                <w:sz w:val="20"/>
                <w:szCs w:val="20"/>
                <w:color w:val="auto"/>
              </w:rPr>
            </w:pPr>
            <w:r>
              <w:rPr>
                <w:rFonts w:ascii="Arial" w:cs="Arial" w:eastAsia="Arial" w:hAnsi="Arial"/>
                <w:sz w:val="9"/>
                <w:szCs w:val="9"/>
                <w:color w:val="auto"/>
                <w:w w:val="78"/>
              </w:rPr>
              <w:t>$</w:t>
            </w:r>
          </w:p>
        </w:tc>
        <w:tc>
          <w:tcPr>
            <w:tcW w:w="960" w:type="dxa"/>
            <w:vAlign w:val="bottom"/>
          </w:tcPr>
          <w:p>
            <w:pPr>
              <w:jc w:val="right"/>
              <w:spacing w:after="0"/>
              <w:rPr>
                <w:sz w:val="20"/>
                <w:szCs w:val="20"/>
                <w:color w:val="auto"/>
              </w:rPr>
            </w:pPr>
            <w:r>
              <w:rPr>
                <w:rFonts w:ascii="Arial" w:cs="Arial" w:eastAsia="Arial" w:hAnsi="Arial"/>
                <w:sz w:val="9"/>
                <w:szCs w:val="9"/>
                <w:color w:val="auto"/>
              </w:rPr>
              <w:t>1.1</w:t>
            </w:r>
          </w:p>
        </w:tc>
        <w:tc>
          <w:tcPr>
            <w:tcW w:w="80" w:type="dxa"/>
            <w:vAlign w:val="bottom"/>
          </w:tcPr>
          <w:p>
            <w:pPr>
              <w:spacing w:after="0"/>
              <w:rPr>
                <w:sz w:val="10"/>
                <w:szCs w:val="10"/>
                <w:color w:val="auto"/>
              </w:rPr>
            </w:pPr>
          </w:p>
        </w:tc>
        <w:tc>
          <w:tcPr>
            <w:tcW w:w="1020" w:type="dxa"/>
            <w:vAlign w:val="bottom"/>
            <w:tcBorders>
              <w:right w:val="single" w:sz="8" w:color="auto"/>
            </w:tcBorders>
          </w:tcPr>
          <w:p>
            <w:pPr>
              <w:jc w:val="right"/>
              <w:ind w:right="55"/>
              <w:spacing w:after="0"/>
              <w:rPr>
                <w:sz w:val="20"/>
                <w:szCs w:val="20"/>
                <w:color w:val="auto"/>
              </w:rPr>
            </w:pPr>
            <w:r>
              <w:rPr>
                <w:rFonts w:ascii="Arial" w:cs="Arial" w:eastAsia="Arial" w:hAnsi="Arial"/>
                <w:sz w:val="9"/>
                <w:szCs w:val="9"/>
                <w:color w:val="auto"/>
              </w:rPr>
              <w:t>n/m</w:t>
            </w:r>
          </w:p>
        </w:tc>
        <w:tc>
          <w:tcPr>
            <w:tcW w:w="60" w:type="dxa"/>
            <w:vAlign w:val="bottom"/>
          </w:tcPr>
          <w:p>
            <w:pPr>
              <w:spacing w:after="0"/>
              <w:rPr>
                <w:sz w:val="10"/>
                <w:szCs w:val="10"/>
                <w:color w:val="auto"/>
              </w:rPr>
            </w:pPr>
          </w:p>
        </w:tc>
        <w:tc>
          <w:tcPr>
            <w:tcW w:w="240" w:type="dxa"/>
            <w:vAlign w:val="bottom"/>
          </w:tcPr>
          <w:p>
            <w:pPr>
              <w:jc w:val="right"/>
              <w:ind w:right="135"/>
              <w:spacing w:after="0"/>
              <w:rPr>
                <w:sz w:val="20"/>
                <w:szCs w:val="20"/>
                <w:color w:val="auto"/>
              </w:rPr>
            </w:pPr>
            <w:r>
              <w:rPr>
                <w:rFonts w:ascii="Arial" w:cs="Arial" w:eastAsia="Arial" w:hAnsi="Arial"/>
                <w:sz w:val="9"/>
                <w:szCs w:val="9"/>
                <w:color w:val="auto"/>
                <w:w w:val="78"/>
              </w:rPr>
              <w:t>$</w:t>
            </w:r>
          </w:p>
        </w:tc>
        <w:tc>
          <w:tcPr>
            <w:tcW w:w="960" w:type="dxa"/>
            <w:vAlign w:val="bottom"/>
          </w:tcPr>
          <w:p>
            <w:pPr>
              <w:jc w:val="right"/>
              <w:spacing w:after="0"/>
              <w:rPr>
                <w:sz w:val="20"/>
                <w:szCs w:val="20"/>
                <w:color w:val="auto"/>
              </w:rPr>
            </w:pPr>
            <w:r>
              <w:rPr>
                <w:rFonts w:ascii="Arial" w:cs="Arial" w:eastAsia="Arial" w:hAnsi="Arial"/>
                <w:sz w:val="9"/>
                <w:szCs w:val="9"/>
                <w:color w:val="auto"/>
              </w:rPr>
              <w:t>38.7</w:t>
            </w:r>
          </w:p>
        </w:tc>
        <w:tc>
          <w:tcPr>
            <w:tcW w:w="80" w:type="dxa"/>
            <w:vAlign w:val="bottom"/>
          </w:tcPr>
          <w:p>
            <w:pPr>
              <w:spacing w:after="0"/>
              <w:rPr>
                <w:sz w:val="10"/>
                <w:szCs w:val="10"/>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9"/>
                <w:szCs w:val="9"/>
                <w:color w:val="auto"/>
              </w:rPr>
              <w:t>n/m</w:t>
            </w:r>
          </w:p>
        </w:tc>
      </w:tr>
      <w:tr>
        <w:trPr>
          <w:trHeight w:val="126"/>
        </w:trPr>
        <w:tc>
          <w:tcPr>
            <w:tcW w:w="5460" w:type="dxa"/>
            <w:vAlign w:val="bottom"/>
            <w:tcBorders>
              <w:left w:val="single" w:sz="8" w:color="auto"/>
            </w:tcBorders>
            <w:gridSpan w:val="3"/>
            <w:shd w:val="clear" w:color="auto" w:fill="CCEEFF"/>
          </w:tcPr>
          <w:p>
            <w:pPr>
              <w:ind w:left="20"/>
              <w:spacing w:after="0"/>
              <w:rPr>
                <w:sz w:val="20"/>
                <w:szCs w:val="20"/>
                <w:color w:val="auto"/>
              </w:rPr>
            </w:pPr>
            <w:r>
              <w:rPr>
                <w:rFonts w:ascii="Arial" w:cs="Arial" w:eastAsia="Arial" w:hAnsi="Arial"/>
                <w:sz w:val="9"/>
                <w:szCs w:val="9"/>
                <w:color w:val="auto"/>
              </w:rPr>
              <w:t>Net revenues</w:t>
            </w:r>
          </w:p>
        </w:tc>
        <w:tc>
          <w:tcPr>
            <w:tcW w:w="220" w:type="dxa"/>
            <w:vAlign w:val="bottom"/>
            <w:shd w:val="clear" w:color="auto" w:fill="CCEEFF"/>
          </w:tcPr>
          <w:p>
            <w:pPr>
              <w:jc w:val="right"/>
              <w:ind w:right="115"/>
              <w:spacing w:after="0"/>
              <w:rPr>
                <w:sz w:val="20"/>
                <w:szCs w:val="20"/>
                <w:color w:val="auto"/>
              </w:rPr>
            </w:pPr>
            <w:r>
              <w:rPr>
                <w:rFonts w:ascii="Arial" w:cs="Arial" w:eastAsia="Arial" w:hAnsi="Arial"/>
                <w:sz w:val="9"/>
                <w:szCs w:val="9"/>
                <w:color w:val="auto"/>
                <w:w w:val="78"/>
              </w:rPr>
              <w:t>$</w:t>
            </w: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1,670.7</w:t>
            </w: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jc w:val="right"/>
              <w:ind w:right="135"/>
              <w:spacing w:after="0"/>
              <w:rPr>
                <w:sz w:val="20"/>
                <w:szCs w:val="20"/>
                <w:color w:val="auto"/>
              </w:rPr>
            </w:pPr>
            <w:r>
              <w:rPr>
                <w:rFonts w:ascii="Arial" w:cs="Arial" w:eastAsia="Arial" w:hAnsi="Arial"/>
                <w:sz w:val="9"/>
                <w:szCs w:val="9"/>
                <w:color w:val="auto"/>
                <w:w w:val="78"/>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9"/>
                <w:szCs w:val="9"/>
                <w:color w:val="auto"/>
              </w:rPr>
              <w:t>1,588.2</w:t>
            </w:r>
          </w:p>
        </w:tc>
        <w:tc>
          <w:tcPr>
            <w:tcW w:w="1100" w:type="dxa"/>
            <w:vAlign w:val="bottom"/>
            <w:tcBorders>
              <w:right w:val="single" w:sz="8" w:color="auto"/>
            </w:tcBorders>
            <w:gridSpan w:val="2"/>
            <w:shd w:val="clear" w:color="auto" w:fill="CCEEFF"/>
          </w:tcPr>
          <w:p>
            <w:pPr>
              <w:jc w:val="right"/>
              <w:ind w:right="55"/>
              <w:spacing w:after="0"/>
              <w:rPr>
                <w:sz w:val="20"/>
                <w:szCs w:val="20"/>
                <w:color w:val="auto"/>
              </w:rPr>
            </w:pPr>
            <w:r>
              <w:rPr>
                <w:rFonts w:ascii="Arial" w:cs="Arial" w:eastAsia="Arial" w:hAnsi="Arial"/>
                <w:sz w:val="9"/>
                <w:szCs w:val="9"/>
                <w:color w:val="auto"/>
              </w:rPr>
              <w:t>5.2 %</w:t>
            </w: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jc w:val="right"/>
              <w:ind w:right="135"/>
              <w:spacing w:after="0"/>
              <w:rPr>
                <w:sz w:val="20"/>
                <w:szCs w:val="20"/>
                <w:color w:val="auto"/>
              </w:rPr>
            </w:pPr>
            <w:r>
              <w:rPr>
                <w:rFonts w:ascii="Arial" w:cs="Arial" w:eastAsia="Arial" w:hAnsi="Arial"/>
                <w:sz w:val="9"/>
                <w:szCs w:val="9"/>
                <w:color w:val="auto"/>
                <w:w w:val="78"/>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9"/>
                <w:szCs w:val="9"/>
                <w:color w:val="auto"/>
              </w:rPr>
              <w:t>1,610.2</w:t>
            </w:r>
          </w:p>
        </w:tc>
        <w:tc>
          <w:tcPr>
            <w:tcW w:w="80" w:type="dxa"/>
            <w:vAlign w:val="bottom"/>
            <w:shd w:val="clear" w:color="auto" w:fill="CCEEFF"/>
          </w:tcPr>
          <w:p>
            <w:pPr>
              <w:spacing w:after="0"/>
              <w:rPr>
                <w:sz w:val="10"/>
                <w:szCs w:val="10"/>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3.8 %</w:t>
            </w:r>
          </w:p>
        </w:tc>
      </w:tr>
      <w:tr>
        <w:trPr>
          <w:trHeight w:val="121"/>
        </w:trPr>
        <w:tc>
          <w:tcPr>
            <w:tcW w:w="5460" w:type="dxa"/>
            <w:vAlign w:val="bottom"/>
            <w:tcBorders>
              <w:left w:val="single" w:sz="8" w:color="auto"/>
            </w:tcBorders>
            <w:gridSpan w:val="3"/>
          </w:tcPr>
          <w:p>
            <w:pPr>
              <w:ind w:left="20"/>
              <w:spacing w:after="0"/>
              <w:rPr>
                <w:sz w:val="20"/>
                <w:szCs w:val="20"/>
                <w:color w:val="auto"/>
              </w:rPr>
            </w:pPr>
            <w:r>
              <w:rPr>
                <w:rFonts w:ascii="Arial" w:cs="Arial" w:eastAsia="Arial" w:hAnsi="Arial"/>
                <w:sz w:val="9"/>
                <w:szCs w:val="9"/>
                <w:color w:val="auto"/>
              </w:rPr>
              <w:t>Operating expenses</w:t>
            </w:r>
          </w:p>
        </w:tc>
        <w:tc>
          <w:tcPr>
            <w:tcW w:w="220" w:type="dxa"/>
            <w:vAlign w:val="bottom"/>
          </w:tcPr>
          <w:p>
            <w:pPr>
              <w:jc w:val="right"/>
              <w:ind w:right="115"/>
              <w:spacing w:after="0"/>
              <w:rPr>
                <w:sz w:val="20"/>
                <w:szCs w:val="20"/>
                <w:color w:val="auto"/>
              </w:rPr>
            </w:pPr>
            <w:r>
              <w:rPr>
                <w:rFonts w:ascii="Arial" w:cs="Arial" w:eastAsia="Arial" w:hAnsi="Arial"/>
                <w:sz w:val="9"/>
                <w:szCs w:val="9"/>
                <w:color w:val="auto"/>
                <w:w w:val="78"/>
              </w:rPr>
              <w:t>$</w:t>
            </w:r>
          </w:p>
        </w:tc>
        <w:tc>
          <w:tcPr>
            <w:tcW w:w="980" w:type="dxa"/>
            <w:vAlign w:val="bottom"/>
          </w:tcPr>
          <w:p>
            <w:pPr>
              <w:jc w:val="right"/>
              <w:ind w:right="15"/>
              <w:spacing w:after="0"/>
              <w:rPr>
                <w:sz w:val="20"/>
                <w:szCs w:val="20"/>
                <w:color w:val="auto"/>
              </w:rPr>
            </w:pPr>
            <w:r>
              <w:rPr>
                <w:rFonts w:ascii="Arial" w:cs="Arial" w:eastAsia="Arial" w:hAnsi="Arial"/>
                <w:sz w:val="9"/>
                <w:szCs w:val="9"/>
                <w:color w:val="auto"/>
              </w:rPr>
              <w:t>1,089.4</w:t>
            </w:r>
          </w:p>
        </w:tc>
        <w:tc>
          <w:tcPr>
            <w:tcW w:w="60" w:type="dxa"/>
            <w:vAlign w:val="bottom"/>
          </w:tcPr>
          <w:p>
            <w:pPr>
              <w:spacing w:after="0"/>
              <w:rPr>
                <w:sz w:val="10"/>
                <w:szCs w:val="10"/>
                <w:color w:val="auto"/>
              </w:rPr>
            </w:pPr>
          </w:p>
        </w:tc>
        <w:tc>
          <w:tcPr>
            <w:tcW w:w="240" w:type="dxa"/>
            <w:vAlign w:val="bottom"/>
          </w:tcPr>
          <w:p>
            <w:pPr>
              <w:jc w:val="right"/>
              <w:ind w:right="135"/>
              <w:spacing w:after="0"/>
              <w:rPr>
                <w:sz w:val="20"/>
                <w:szCs w:val="20"/>
                <w:color w:val="auto"/>
              </w:rPr>
            </w:pPr>
            <w:r>
              <w:rPr>
                <w:rFonts w:ascii="Arial" w:cs="Arial" w:eastAsia="Arial" w:hAnsi="Arial"/>
                <w:sz w:val="9"/>
                <w:szCs w:val="9"/>
                <w:color w:val="auto"/>
                <w:w w:val="78"/>
              </w:rPr>
              <w:t>$</w:t>
            </w:r>
          </w:p>
        </w:tc>
        <w:tc>
          <w:tcPr>
            <w:tcW w:w="960" w:type="dxa"/>
            <w:vAlign w:val="bottom"/>
          </w:tcPr>
          <w:p>
            <w:pPr>
              <w:jc w:val="right"/>
              <w:spacing w:after="0"/>
              <w:rPr>
                <w:sz w:val="20"/>
                <w:szCs w:val="20"/>
                <w:color w:val="auto"/>
              </w:rPr>
            </w:pPr>
            <w:r>
              <w:rPr>
                <w:rFonts w:ascii="Arial" w:cs="Arial" w:eastAsia="Arial" w:hAnsi="Arial"/>
                <w:sz w:val="9"/>
                <w:szCs w:val="9"/>
                <w:color w:val="auto"/>
              </w:rPr>
              <w:t>1,013.6</w:t>
            </w:r>
          </w:p>
        </w:tc>
        <w:tc>
          <w:tcPr>
            <w:tcW w:w="1100" w:type="dxa"/>
            <w:vAlign w:val="bottom"/>
            <w:tcBorders>
              <w:right w:val="single" w:sz="8" w:color="auto"/>
            </w:tcBorders>
            <w:gridSpan w:val="2"/>
          </w:tcPr>
          <w:p>
            <w:pPr>
              <w:jc w:val="right"/>
              <w:ind w:right="55"/>
              <w:spacing w:after="0"/>
              <w:rPr>
                <w:sz w:val="20"/>
                <w:szCs w:val="20"/>
                <w:color w:val="auto"/>
              </w:rPr>
            </w:pPr>
            <w:r>
              <w:rPr>
                <w:rFonts w:ascii="Arial" w:cs="Arial" w:eastAsia="Arial" w:hAnsi="Arial"/>
                <w:sz w:val="9"/>
                <w:szCs w:val="9"/>
                <w:color w:val="auto"/>
              </w:rPr>
              <w:t>7.5 %</w:t>
            </w:r>
          </w:p>
        </w:tc>
        <w:tc>
          <w:tcPr>
            <w:tcW w:w="60" w:type="dxa"/>
            <w:vAlign w:val="bottom"/>
          </w:tcPr>
          <w:p>
            <w:pPr>
              <w:spacing w:after="0"/>
              <w:rPr>
                <w:sz w:val="10"/>
                <w:szCs w:val="10"/>
                <w:color w:val="auto"/>
              </w:rPr>
            </w:pPr>
          </w:p>
        </w:tc>
        <w:tc>
          <w:tcPr>
            <w:tcW w:w="240" w:type="dxa"/>
            <w:vAlign w:val="bottom"/>
          </w:tcPr>
          <w:p>
            <w:pPr>
              <w:jc w:val="right"/>
              <w:ind w:right="135"/>
              <w:spacing w:after="0"/>
              <w:rPr>
                <w:sz w:val="20"/>
                <w:szCs w:val="20"/>
                <w:color w:val="auto"/>
              </w:rPr>
            </w:pPr>
            <w:r>
              <w:rPr>
                <w:rFonts w:ascii="Arial" w:cs="Arial" w:eastAsia="Arial" w:hAnsi="Arial"/>
                <w:sz w:val="9"/>
                <w:szCs w:val="9"/>
                <w:color w:val="auto"/>
                <w:w w:val="78"/>
              </w:rPr>
              <w:t>$</w:t>
            </w:r>
          </w:p>
        </w:tc>
        <w:tc>
          <w:tcPr>
            <w:tcW w:w="960" w:type="dxa"/>
            <w:vAlign w:val="bottom"/>
          </w:tcPr>
          <w:p>
            <w:pPr>
              <w:jc w:val="right"/>
              <w:spacing w:after="0"/>
              <w:rPr>
                <w:sz w:val="20"/>
                <w:szCs w:val="20"/>
                <w:color w:val="auto"/>
              </w:rPr>
            </w:pPr>
            <w:r>
              <w:rPr>
                <w:rFonts w:ascii="Arial" w:cs="Arial" w:eastAsia="Arial" w:hAnsi="Arial"/>
                <w:sz w:val="9"/>
                <w:szCs w:val="9"/>
                <w:color w:val="auto"/>
              </w:rPr>
              <w:t>1,076.7</w:t>
            </w:r>
          </w:p>
        </w:tc>
        <w:tc>
          <w:tcPr>
            <w:tcW w:w="80" w:type="dxa"/>
            <w:vAlign w:val="bottom"/>
          </w:tcPr>
          <w:p>
            <w:pPr>
              <w:spacing w:after="0"/>
              <w:rPr>
                <w:sz w:val="10"/>
                <w:szCs w:val="10"/>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9"/>
                <w:szCs w:val="9"/>
                <w:color w:val="auto"/>
              </w:rPr>
              <w:t>1.2 %</w:t>
            </w:r>
          </w:p>
        </w:tc>
      </w:tr>
      <w:tr>
        <w:trPr>
          <w:trHeight w:val="131"/>
        </w:trPr>
        <w:tc>
          <w:tcPr>
            <w:tcW w:w="5460" w:type="dxa"/>
            <w:vAlign w:val="bottom"/>
            <w:tcBorders>
              <w:left w:val="single" w:sz="8" w:color="auto"/>
            </w:tcBorders>
            <w:gridSpan w:val="3"/>
            <w:shd w:val="clear" w:color="auto" w:fill="CCEEFF"/>
          </w:tcPr>
          <w:p>
            <w:pPr>
              <w:ind w:left="20"/>
              <w:spacing w:after="0"/>
              <w:rPr>
                <w:sz w:val="20"/>
                <w:szCs w:val="20"/>
                <w:color w:val="auto"/>
              </w:rPr>
            </w:pPr>
            <w:r>
              <w:rPr>
                <w:rFonts w:ascii="Arial" w:cs="Arial" w:eastAsia="Arial" w:hAnsi="Arial"/>
                <w:sz w:val="9"/>
                <w:szCs w:val="9"/>
                <w:color w:val="auto"/>
              </w:rPr>
              <w:t>Net operating income</w:t>
            </w:r>
          </w:p>
        </w:tc>
        <w:tc>
          <w:tcPr>
            <w:tcW w:w="220" w:type="dxa"/>
            <w:vAlign w:val="bottom"/>
            <w:shd w:val="clear" w:color="auto" w:fill="CCEEFF"/>
          </w:tcPr>
          <w:p>
            <w:pPr>
              <w:jc w:val="right"/>
              <w:ind w:right="115"/>
              <w:spacing w:after="0"/>
              <w:rPr>
                <w:sz w:val="20"/>
                <w:szCs w:val="20"/>
                <w:color w:val="auto"/>
              </w:rPr>
            </w:pPr>
            <w:r>
              <w:rPr>
                <w:rFonts w:ascii="Arial" w:cs="Arial" w:eastAsia="Arial" w:hAnsi="Arial"/>
                <w:sz w:val="9"/>
                <w:szCs w:val="9"/>
                <w:color w:val="auto"/>
                <w:w w:val="78"/>
              </w:rPr>
              <w:t>$</w:t>
            </w: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581.3</w:t>
            </w: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5"/>
              <w:spacing w:after="0"/>
              <w:rPr>
                <w:sz w:val="20"/>
                <w:szCs w:val="20"/>
                <w:color w:val="auto"/>
              </w:rPr>
            </w:pPr>
            <w:r>
              <w:rPr>
                <w:rFonts w:ascii="Arial" w:cs="Arial" w:eastAsia="Arial" w:hAnsi="Arial"/>
                <w:sz w:val="9"/>
                <w:szCs w:val="9"/>
                <w:color w:val="auto"/>
                <w:w w:val="78"/>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9"/>
                <w:szCs w:val="9"/>
                <w:color w:val="auto"/>
              </w:rPr>
              <w:t>574.6</w:t>
            </w:r>
          </w:p>
        </w:tc>
        <w:tc>
          <w:tcPr>
            <w:tcW w:w="1100" w:type="dxa"/>
            <w:vAlign w:val="bottom"/>
            <w:tcBorders>
              <w:right w:val="single" w:sz="8" w:color="auto"/>
            </w:tcBorders>
            <w:gridSpan w:val="2"/>
            <w:shd w:val="clear" w:color="auto" w:fill="CCEEFF"/>
          </w:tcPr>
          <w:p>
            <w:pPr>
              <w:jc w:val="right"/>
              <w:ind w:right="55"/>
              <w:spacing w:after="0"/>
              <w:rPr>
                <w:sz w:val="20"/>
                <w:szCs w:val="20"/>
                <w:color w:val="auto"/>
              </w:rPr>
            </w:pPr>
            <w:r>
              <w:rPr>
                <w:rFonts w:ascii="Arial" w:cs="Arial" w:eastAsia="Arial" w:hAnsi="Arial"/>
                <w:sz w:val="9"/>
                <w:szCs w:val="9"/>
                <w:color w:val="auto"/>
              </w:rPr>
              <w:t>1.2 %</w:t>
            </w: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5"/>
              <w:spacing w:after="0"/>
              <w:rPr>
                <w:sz w:val="20"/>
                <w:szCs w:val="20"/>
                <w:color w:val="auto"/>
              </w:rPr>
            </w:pPr>
            <w:r>
              <w:rPr>
                <w:rFonts w:ascii="Arial" w:cs="Arial" w:eastAsia="Arial" w:hAnsi="Arial"/>
                <w:sz w:val="9"/>
                <w:szCs w:val="9"/>
                <w:color w:val="auto"/>
                <w:w w:val="78"/>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9"/>
                <w:szCs w:val="9"/>
                <w:color w:val="auto"/>
              </w:rPr>
              <w:t>533.5</w:t>
            </w:r>
          </w:p>
        </w:tc>
        <w:tc>
          <w:tcPr>
            <w:tcW w:w="80" w:type="dxa"/>
            <w:vAlign w:val="bottom"/>
            <w:shd w:val="clear" w:color="auto" w:fill="CCEEFF"/>
          </w:tcPr>
          <w:p>
            <w:pPr>
              <w:spacing w:after="0"/>
              <w:rPr>
                <w:sz w:val="11"/>
                <w:szCs w:val="11"/>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9.0 %</w:t>
            </w:r>
          </w:p>
        </w:tc>
      </w:tr>
      <w:tr>
        <w:trPr>
          <w:trHeight w:val="126"/>
        </w:trPr>
        <w:tc>
          <w:tcPr>
            <w:tcW w:w="5460" w:type="dxa"/>
            <w:vAlign w:val="bottom"/>
            <w:tcBorders>
              <w:left w:val="single" w:sz="8" w:color="auto"/>
            </w:tcBorders>
            <w:gridSpan w:val="3"/>
          </w:tcPr>
          <w:p>
            <w:pPr>
              <w:ind w:left="20"/>
              <w:spacing w:after="0"/>
              <w:rPr>
                <w:sz w:val="20"/>
                <w:szCs w:val="20"/>
                <w:color w:val="auto"/>
              </w:rPr>
            </w:pPr>
            <w:r>
              <w:rPr>
                <w:rFonts w:ascii="Arial" w:cs="Arial" w:eastAsia="Arial" w:hAnsi="Arial"/>
                <w:sz w:val="9"/>
                <w:szCs w:val="9"/>
                <w:color w:val="auto"/>
              </w:rPr>
              <w:t>Non-operating income (loss)</w:t>
            </w:r>
            <w:r>
              <w:rPr>
                <w:rFonts w:ascii="Arial" w:cs="Arial" w:eastAsia="Arial" w:hAnsi="Arial"/>
                <w:sz w:val="11"/>
                <w:szCs w:val="11"/>
                <w:color w:val="auto"/>
                <w:vertAlign w:val="superscript"/>
              </w:rPr>
              <w:t>(2)</w:t>
            </w:r>
          </w:p>
        </w:tc>
        <w:tc>
          <w:tcPr>
            <w:tcW w:w="220" w:type="dxa"/>
            <w:vAlign w:val="bottom"/>
          </w:tcPr>
          <w:p>
            <w:pPr>
              <w:jc w:val="right"/>
              <w:ind w:right="115"/>
              <w:spacing w:after="0"/>
              <w:rPr>
                <w:sz w:val="20"/>
                <w:szCs w:val="20"/>
                <w:color w:val="auto"/>
              </w:rPr>
            </w:pPr>
            <w:r>
              <w:rPr>
                <w:rFonts w:ascii="Arial" w:cs="Arial" w:eastAsia="Arial" w:hAnsi="Arial"/>
                <w:sz w:val="9"/>
                <w:szCs w:val="9"/>
                <w:color w:val="auto"/>
                <w:w w:val="78"/>
              </w:rPr>
              <w:t>$</w:t>
            </w:r>
          </w:p>
        </w:tc>
        <w:tc>
          <w:tcPr>
            <w:tcW w:w="980" w:type="dxa"/>
            <w:vAlign w:val="bottom"/>
          </w:tcPr>
          <w:p>
            <w:pPr>
              <w:jc w:val="right"/>
              <w:ind w:right="15"/>
              <w:spacing w:after="0"/>
              <w:rPr>
                <w:sz w:val="20"/>
                <w:szCs w:val="20"/>
                <w:color w:val="auto"/>
              </w:rPr>
            </w:pPr>
            <w:r>
              <w:rPr>
                <w:rFonts w:ascii="Arial" w:cs="Arial" w:eastAsia="Arial" w:hAnsi="Arial"/>
                <w:sz w:val="9"/>
                <w:szCs w:val="9"/>
                <w:color w:val="auto"/>
              </w:rPr>
              <w:t>2.8</w:t>
            </w:r>
          </w:p>
        </w:tc>
        <w:tc>
          <w:tcPr>
            <w:tcW w:w="60" w:type="dxa"/>
            <w:vAlign w:val="bottom"/>
          </w:tcPr>
          <w:p>
            <w:pPr>
              <w:spacing w:after="0"/>
              <w:rPr>
                <w:sz w:val="10"/>
                <w:szCs w:val="10"/>
                <w:color w:val="auto"/>
              </w:rPr>
            </w:pPr>
          </w:p>
        </w:tc>
        <w:tc>
          <w:tcPr>
            <w:tcW w:w="240" w:type="dxa"/>
            <w:vAlign w:val="bottom"/>
          </w:tcPr>
          <w:p>
            <w:pPr>
              <w:jc w:val="right"/>
              <w:ind w:right="135"/>
              <w:spacing w:after="0"/>
              <w:rPr>
                <w:sz w:val="20"/>
                <w:szCs w:val="20"/>
                <w:color w:val="auto"/>
              </w:rPr>
            </w:pPr>
            <w:r>
              <w:rPr>
                <w:rFonts w:ascii="Arial" w:cs="Arial" w:eastAsia="Arial" w:hAnsi="Arial"/>
                <w:sz w:val="9"/>
                <w:szCs w:val="9"/>
                <w:color w:val="auto"/>
                <w:w w:val="78"/>
              </w:rPr>
              <w:t>$</w:t>
            </w:r>
          </w:p>
        </w:tc>
        <w:tc>
          <w:tcPr>
            <w:tcW w:w="960" w:type="dxa"/>
            <w:vAlign w:val="bottom"/>
          </w:tcPr>
          <w:p>
            <w:pPr>
              <w:jc w:val="right"/>
              <w:spacing w:after="0"/>
              <w:rPr>
                <w:sz w:val="20"/>
                <w:szCs w:val="20"/>
                <w:color w:val="auto"/>
              </w:rPr>
            </w:pPr>
            <w:r>
              <w:rPr>
                <w:rFonts w:ascii="Arial" w:cs="Arial" w:eastAsia="Arial" w:hAnsi="Arial"/>
                <w:sz w:val="9"/>
                <w:szCs w:val="9"/>
                <w:color w:val="auto"/>
              </w:rPr>
              <w:t>(82.8)</w:t>
            </w:r>
          </w:p>
        </w:tc>
        <w:tc>
          <w:tcPr>
            <w:tcW w:w="80" w:type="dxa"/>
            <w:vAlign w:val="bottom"/>
          </w:tcPr>
          <w:p>
            <w:pPr>
              <w:spacing w:after="0"/>
              <w:rPr>
                <w:sz w:val="10"/>
                <w:szCs w:val="10"/>
                <w:color w:val="auto"/>
              </w:rPr>
            </w:pPr>
          </w:p>
        </w:tc>
        <w:tc>
          <w:tcPr>
            <w:tcW w:w="1020" w:type="dxa"/>
            <w:vAlign w:val="bottom"/>
            <w:tcBorders>
              <w:right w:val="single" w:sz="8" w:color="auto"/>
            </w:tcBorders>
          </w:tcPr>
          <w:p>
            <w:pPr>
              <w:jc w:val="right"/>
              <w:ind w:right="55"/>
              <w:spacing w:after="0"/>
              <w:rPr>
                <w:sz w:val="20"/>
                <w:szCs w:val="20"/>
                <w:color w:val="auto"/>
              </w:rPr>
            </w:pPr>
            <w:r>
              <w:rPr>
                <w:rFonts w:ascii="Arial" w:cs="Arial" w:eastAsia="Arial" w:hAnsi="Arial"/>
                <w:sz w:val="9"/>
                <w:szCs w:val="9"/>
                <w:color w:val="auto"/>
              </w:rPr>
              <w:t>n/m</w:t>
            </w:r>
          </w:p>
        </w:tc>
        <w:tc>
          <w:tcPr>
            <w:tcW w:w="60" w:type="dxa"/>
            <w:vAlign w:val="bottom"/>
          </w:tcPr>
          <w:p>
            <w:pPr>
              <w:spacing w:after="0"/>
              <w:rPr>
                <w:sz w:val="10"/>
                <w:szCs w:val="10"/>
                <w:color w:val="auto"/>
              </w:rPr>
            </w:pPr>
          </w:p>
        </w:tc>
        <w:tc>
          <w:tcPr>
            <w:tcW w:w="240" w:type="dxa"/>
            <w:vAlign w:val="bottom"/>
          </w:tcPr>
          <w:p>
            <w:pPr>
              <w:jc w:val="right"/>
              <w:ind w:right="135"/>
              <w:spacing w:after="0"/>
              <w:rPr>
                <w:sz w:val="20"/>
                <w:szCs w:val="20"/>
                <w:color w:val="auto"/>
              </w:rPr>
            </w:pPr>
            <w:r>
              <w:rPr>
                <w:rFonts w:ascii="Arial" w:cs="Arial" w:eastAsia="Arial" w:hAnsi="Arial"/>
                <w:sz w:val="9"/>
                <w:szCs w:val="9"/>
                <w:color w:val="auto"/>
                <w:w w:val="78"/>
              </w:rPr>
              <w:t>$</w:t>
            </w:r>
          </w:p>
        </w:tc>
        <w:tc>
          <w:tcPr>
            <w:tcW w:w="960" w:type="dxa"/>
            <w:vAlign w:val="bottom"/>
          </w:tcPr>
          <w:p>
            <w:pPr>
              <w:jc w:val="right"/>
              <w:spacing w:after="0"/>
              <w:rPr>
                <w:sz w:val="20"/>
                <w:szCs w:val="20"/>
                <w:color w:val="auto"/>
              </w:rPr>
            </w:pPr>
            <w:r>
              <w:rPr>
                <w:rFonts w:ascii="Arial" w:cs="Arial" w:eastAsia="Arial" w:hAnsi="Arial"/>
                <w:sz w:val="9"/>
                <w:szCs w:val="9"/>
                <w:color w:val="auto"/>
              </w:rPr>
              <w:t>106.2</w:t>
            </w:r>
          </w:p>
        </w:tc>
        <w:tc>
          <w:tcPr>
            <w:tcW w:w="80" w:type="dxa"/>
            <w:vAlign w:val="bottom"/>
          </w:tcPr>
          <w:p>
            <w:pPr>
              <w:spacing w:after="0"/>
              <w:rPr>
                <w:sz w:val="10"/>
                <w:szCs w:val="10"/>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9"/>
                <w:szCs w:val="9"/>
                <w:color w:val="auto"/>
              </w:rPr>
              <w:t>n/m</w:t>
            </w:r>
          </w:p>
        </w:tc>
      </w:tr>
      <w:tr>
        <w:trPr>
          <w:trHeight w:val="126"/>
        </w:trPr>
        <w:tc>
          <w:tcPr>
            <w:tcW w:w="5460" w:type="dxa"/>
            <w:vAlign w:val="bottom"/>
            <w:tcBorders>
              <w:left w:val="single" w:sz="8" w:color="auto"/>
            </w:tcBorders>
            <w:gridSpan w:val="3"/>
            <w:shd w:val="clear" w:color="auto" w:fill="CCEEFF"/>
          </w:tcPr>
          <w:p>
            <w:pPr>
              <w:ind w:left="20"/>
              <w:spacing w:after="0"/>
              <w:rPr>
                <w:sz w:val="20"/>
                <w:szCs w:val="20"/>
                <w:color w:val="auto"/>
              </w:rPr>
            </w:pPr>
            <w:r>
              <w:rPr>
                <w:rFonts w:ascii="Arial" w:cs="Arial" w:eastAsia="Arial" w:hAnsi="Arial"/>
                <w:sz w:val="9"/>
                <w:szCs w:val="9"/>
                <w:color w:val="auto"/>
              </w:rPr>
              <w:t>Net income attributable to T. Rowe Price</w:t>
            </w:r>
          </w:p>
        </w:tc>
        <w:tc>
          <w:tcPr>
            <w:tcW w:w="220" w:type="dxa"/>
            <w:vAlign w:val="bottom"/>
            <w:shd w:val="clear" w:color="auto" w:fill="CCEEFF"/>
          </w:tcPr>
          <w:p>
            <w:pPr>
              <w:jc w:val="right"/>
              <w:ind w:right="115"/>
              <w:spacing w:after="0"/>
              <w:rPr>
                <w:sz w:val="20"/>
                <w:szCs w:val="20"/>
                <w:color w:val="auto"/>
              </w:rPr>
            </w:pPr>
            <w:r>
              <w:rPr>
                <w:rFonts w:ascii="Arial" w:cs="Arial" w:eastAsia="Arial" w:hAnsi="Arial"/>
                <w:sz w:val="9"/>
                <w:szCs w:val="9"/>
                <w:color w:val="auto"/>
                <w:w w:val="78"/>
              </w:rPr>
              <w:t>$</w:t>
            </w: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453.2</w:t>
            </w: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jc w:val="right"/>
              <w:ind w:right="135"/>
              <w:spacing w:after="0"/>
              <w:rPr>
                <w:sz w:val="20"/>
                <w:szCs w:val="20"/>
                <w:color w:val="auto"/>
              </w:rPr>
            </w:pPr>
            <w:r>
              <w:rPr>
                <w:rFonts w:ascii="Arial" w:cs="Arial" w:eastAsia="Arial" w:hAnsi="Arial"/>
                <w:sz w:val="9"/>
                <w:szCs w:val="9"/>
                <w:color w:val="auto"/>
                <w:w w:val="78"/>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9"/>
                <w:szCs w:val="9"/>
                <w:color w:val="auto"/>
              </w:rPr>
              <w:t>384.4</w:t>
            </w:r>
          </w:p>
        </w:tc>
        <w:tc>
          <w:tcPr>
            <w:tcW w:w="1100" w:type="dxa"/>
            <w:vAlign w:val="bottom"/>
            <w:tcBorders>
              <w:right w:val="single" w:sz="8" w:color="auto"/>
            </w:tcBorders>
            <w:gridSpan w:val="2"/>
            <w:shd w:val="clear" w:color="auto" w:fill="CCEEFF"/>
          </w:tcPr>
          <w:p>
            <w:pPr>
              <w:jc w:val="right"/>
              <w:ind w:right="55"/>
              <w:spacing w:after="0"/>
              <w:rPr>
                <w:sz w:val="20"/>
                <w:szCs w:val="20"/>
                <w:color w:val="auto"/>
              </w:rPr>
            </w:pPr>
            <w:r>
              <w:rPr>
                <w:rFonts w:ascii="Arial" w:cs="Arial" w:eastAsia="Arial" w:hAnsi="Arial"/>
                <w:sz w:val="9"/>
                <w:szCs w:val="9"/>
                <w:color w:val="auto"/>
              </w:rPr>
              <w:t>17.9 %</w:t>
            </w: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jc w:val="right"/>
              <w:ind w:right="135"/>
              <w:spacing w:after="0"/>
              <w:rPr>
                <w:sz w:val="20"/>
                <w:szCs w:val="20"/>
                <w:color w:val="auto"/>
              </w:rPr>
            </w:pPr>
            <w:r>
              <w:rPr>
                <w:rFonts w:ascii="Arial" w:cs="Arial" w:eastAsia="Arial" w:hAnsi="Arial"/>
                <w:sz w:val="9"/>
                <w:szCs w:val="9"/>
                <w:color w:val="auto"/>
                <w:w w:val="78"/>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9"/>
                <w:szCs w:val="9"/>
                <w:color w:val="auto"/>
              </w:rPr>
              <w:t>476.4</w:t>
            </w:r>
          </w:p>
        </w:tc>
        <w:tc>
          <w:tcPr>
            <w:tcW w:w="80" w:type="dxa"/>
            <w:vAlign w:val="bottom"/>
            <w:shd w:val="clear" w:color="auto" w:fill="CCEEFF"/>
          </w:tcPr>
          <w:p>
            <w:pPr>
              <w:spacing w:after="0"/>
              <w:rPr>
                <w:sz w:val="10"/>
                <w:szCs w:val="10"/>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(4.9)%</w:t>
            </w:r>
          </w:p>
        </w:tc>
      </w:tr>
      <w:tr>
        <w:trPr>
          <w:trHeight w:val="121"/>
        </w:trPr>
        <w:tc>
          <w:tcPr>
            <w:tcW w:w="5460" w:type="dxa"/>
            <w:vAlign w:val="bottom"/>
            <w:tcBorders>
              <w:left w:val="single" w:sz="8" w:color="auto"/>
            </w:tcBorders>
            <w:gridSpan w:val="3"/>
          </w:tcPr>
          <w:p>
            <w:pPr>
              <w:ind w:left="20"/>
              <w:spacing w:after="0"/>
              <w:rPr>
                <w:sz w:val="20"/>
                <w:szCs w:val="20"/>
                <w:color w:val="auto"/>
              </w:rPr>
            </w:pPr>
            <w:r>
              <w:rPr>
                <w:rFonts w:ascii="Arial" w:cs="Arial" w:eastAsia="Arial" w:hAnsi="Arial"/>
                <w:sz w:val="9"/>
                <w:szCs w:val="9"/>
                <w:color w:val="auto"/>
              </w:rPr>
              <w:t>Diluted earnings per common share</w:t>
            </w:r>
          </w:p>
        </w:tc>
        <w:tc>
          <w:tcPr>
            <w:tcW w:w="220" w:type="dxa"/>
            <w:vAlign w:val="bottom"/>
          </w:tcPr>
          <w:p>
            <w:pPr>
              <w:jc w:val="right"/>
              <w:ind w:right="115"/>
              <w:spacing w:after="0"/>
              <w:rPr>
                <w:sz w:val="20"/>
                <w:szCs w:val="20"/>
                <w:color w:val="auto"/>
              </w:rPr>
            </w:pPr>
            <w:r>
              <w:rPr>
                <w:rFonts w:ascii="Arial" w:cs="Arial" w:eastAsia="Arial" w:hAnsi="Arial"/>
                <w:sz w:val="9"/>
                <w:szCs w:val="9"/>
                <w:color w:val="auto"/>
                <w:w w:val="78"/>
              </w:rPr>
              <w:t>$</w:t>
            </w:r>
          </w:p>
        </w:tc>
        <w:tc>
          <w:tcPr>
            <w:tcW w:w="980" w:type="dxa"/>
            <w:vAlign w:val="bottom"/>
          </w:tcPr>
          <w:p>
            <w:pPr>
              <w:jc w:val="right"/>
              <w:ind w:right="15"/>
              <w:spacing w:after="0"/>
              <w:rPr>
                <w:sz w:val="20"/>
                <w:szCs w:val="20"/>
                <w:color w:val="auto"/>
              </w:rPr>
            </w:pPr>
            <w:r>
              <w:rPr>
                <w:rFonts w:ascii="Arial" w:cs="Arial" w:eastAsia="Arial" w:hAnsi="Arial"/>
                <w:sz w:val="9"/>
                <w:szCs w:val="9"/>
                <w:color w:val="auto"/>
              </w:rPr>
              <w:t>1.97</w:t>
            </w:r>
          </w:p>
        </w:tc>
        <w:tc>
          <w:tcPr>
            <w:tcW w:w="60" w:type="dxa"/>
            <w:vAlign w:val="bottom"/>
          </w:tcPr>
          <w:p>
            <w:pPr>
              <w:spacing w:after="0"/>
              <w:rPr>
                <w:sz w:val="10"/>
                <w:szCs w:val="10"/>
                <w:color w:val="auto"/>
              </w:rPr>
            </w:pPr>
          </w:p>
        </w:tc>
        <w:tc>
          <w:tcPr>
            <w:tcW w:w="240" w:type="dxa"/>
            <w:vAlign w:val="bottom"/>
          </w:tcPr>
          <w:p>
            <w:pPr>
              <w:jc w:val="right"/>
              <w:ind w:right="135"/>
              <w:spacing w:after="0"/>
              <w:rPr>
                <w:sz w:val="20"/>
                <w:szCs w:val="20"/>
                <w:color w:val="auto"/>
              </w:rPr>
            </w:pPr>
            <w:r>
              <w:rPr>
                <w:rFonts w:ascii="Arial" w:cs="Arial" w:eastAsia="Arial" w:hAnsi="Arial"/>
                <w:sz w:val="9"/>
                <w:szCs w:val="9"/>
                <w:color w:val="auto"/>
                <w:w w:val="78"/>
              </w:rPr>
              <w:t>$</w:t>
            </w:r>
          </w:p>
        </w:tc>
        <w:tc>
          <w:tcPr>
            <w:tcW w:w="960" w:type="dxa"/>
            <w:vAlign w:val="bottom"/>
          </w:tcPr>
          <w:p>
            <w:pPr>
              <w:jc w:val="right"/>
              <w:spacing w:after="0"/>
              <w:rPr>
                <w:sz w:val="20"/>
                <w:szCs w:val="20"/>
                <w:color w:val="auto"/>
              </w:rPr>
            </w:pPr>
            <w:r>
              <w:rPr>
                <w:rFonts w:ascii="Arial" w:cs="Arial" w:eastAsia="Arial" w:hAnsi="Arial"/>
                <w:sz w:val="9"/>
                <w:szCs w:val="9"/>
                <w:color w:val="auto"/>
              </w:rPr>
              <w:t>1.66</w:t>
            </w:r>
          </w:p>
        </w:tc>
        <w:tc>
          <w:tcPr>
            <w:tcW w:w="1100" w:type="dxa"/>
            <w:vAlign w:val="bottom"/>
            <w:tcBorders>
              <w:right w:val="single" w:sz="8" w:color="auto"/>
            </w:tcBorders>
            <w:gridSpan w:val="2"/>
          </w:tcPr>
          <w:p>
            <w:pPr>
              <w:jc w:val="right"/>
              <w:ind w:right="55"/>
              <w:spacing w:after="0"/>
              <w:rPr>
                <w:sz w:val="20"/>
                <w:szCs w:val="20"/>
                <w:color w:val="auto"/>
              </w:rPr>
            </w:pPr>
            <w:r>
              <w:rPr>
                <w:rFonts w:ascii="Arial" w:cs="Arial" w:eastAsia="Arial" w:hAnsi="Arial"/>
                <w:sz w:val="9"/>
                <w:szCs w:val="9"/>
                <w:color w:val="auto"/>
              </w:rPr>
              <w:t>18.7 %</w:t>
            </w:r>
          </w:p>
        </w:tc>
        <w:tc>
          <w:tcPr>
            <w:tcW w:w="60" w:type="dxa"/>
            <w:vAlign w:val="bottom"/>
          </w:tcPr>
          <w:p>
            <w:pPr>
              <w:spacing w:after="0"/>
              <w:rPr>
                <w:sz w:val="10"/>
                <w:szCs w:val="10"/>
                <w:color w:val="auto"/>
              </w:rPr>
            </w:pPr>
          </w:p>
        </w:tc>
        <w:tc>
          <w:tcPr>
            <w:tcW w:w="240" w:type="dxa"/>
            <w:vAlign w:val="bottom"/>
          </w:tcPr>
          <w:p>
            <w:pPr>
              <w:jc w:val="right"/>
              <w:ind w:right="135"/>
              <w:spacing w:after="0"/>
              <w:rPr>
                <w:sz w:val="20"/>
                <w:szCs w:val="20"/>
                <w:color w:val="auto"/>
              </w:rPr>
            </w:pPr>
            <w:r>
              <w:rPr>
                <w:rFonts w:ascii="Arial" w:cs="Arial" w:eastAsia="Arial" w:hAnsi="Arial"/>
                <w:sz w:val="9"/>
                <w:szCs w:val="9"/>
                <w:color w:val="auto"/>
                <w:w w:val="78"/>
              </w:rPr>
              <w:t>$</w:t>
            </w:r>
          </w:p>
        </w:tc>
        <w:tc>
          <w:tcPr>
            <w:tcW w:w="960" w:type="dxa"/>
            <w:vAlign w:val="bottom"/>
          </w:tcPr>
          <w:p>
            <w:pPr>
              <w:jc w:val="right"/>
              <w:spacing w:after="0"/>
              <w:rPr>
                <w:sz w:val="20"/>
                <w:szCs w:val="20"/>
                <w:color w:val="auto"/>
              </w:rPr>
            </w:pPr>
            <w:r>
              <w:rPr>
                <w:rFonts w:ascii="Arial" w:cs="Arial" w:eastAsia="Arial" w:hAnsi="Arial"/>
                <w:sz w:val="9"/>
                <w:szCs w:val="9"/>
                <w:color w:val="auto"/>
              </w:rPr>
              <w:t>2.06</w:t>
            </w:r>
          </w:p>
        </w:tc>
        <w:tc>
          <w:tcPr>
            <w:tcW w:w="80" w:type="dxa"/>
            <w:vAlign w:val="bottom"/>
          </w:tcPr>
          <w:p>
            <w:pPr>
              <w:spacing w:after="0"/>
              <w:rPr>
                <w:sz w:val="10"/>
                <w:szCs w:val="10"/>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9"/>
                <w:szCs w:val="9"/>
                <w:color w:val="auto"/>
              </w:rPr>
              <w:t>(4.4)%</w:t>
            </w:r>
          </w:p>
        </w:tc>
      </w:tr>
      <w:tr>
        <w:trPr>
          <w:trHeight w:val="131"/>
        </w:trPr>
        <w:tc>
          <w:tcPr>
            <w:tcW w:w="5460" w:type="dxa"/>
            <w:vAlign w:val="bottom"/>
            <w:tcBorders>
              <w:left w:val="single" w:sz="8" w:color="auto"/>
            </w:tcBorders>
            <w:gridSpan w:val="3"/>
            <w:shd w:val="clear" w:color="auto" w:fill="CCEEFF"/>
          </w:tcPr>
          <w:p>
            <w:pPr>
              <w:ind w:left="20"/>
              <w:spacing w:after="0"/>
              <w:rPr>
                <w:sz w:val="20"/>
                <w:szCs w:val="20"/>
                <w:color w:val="auto"/>
              </w:rPr>
            </w:pPr>
            <w:r>
              <w:rPr>
                <w:rFonts w:ascii="Arial" w:cs="Arial" w:eastAsia="Arial" w:hAnsi="Arial"/>
                <w:sz w:val="9"/>
                <w:szCs w:val="9"/>
                <w:color w:val="auto"/>
              </w:rPr>
              <w:t>Weighted average common shares outstanding assuming dilution</w:t>
            </w: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224.8</w:t>
            </w: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9"/>
                <w:szCs w:val="9"/>
                <w:color w:val="auto"/>
              </w:rPr>
              <w:t>226.3</w:t>
            </w:r>
          </w:p>
        </w:tc>
        <w:tc>
          <w:tcPr>
            <w:tcW w:w="1100" w:type="dxa"/>
            <w:vAlign w:val="bottom"/>
            <w:tcBorders>
              <w:right w:val="single" w:sz="8" w:color="auto"/>
            </w:tcBorders>
            <w:gridSpan w:val="2"/>
            <w:shd w:val="clear" w:color="auto" w:fill="CCEEFF"/>
          </w:tcPr>
          <w:p>
            <w:pPr>
              <w:jc w:val="right"/>
              <w:ind w:right="55"/>
              <w:spacing w:after="0"/>
              <w:rPr>
                <w:sz w:val="20"/>
                <w:szCs w:val="20"/>
                <w:color w:val="auto"/>
              </w:rPr>
            </w:pPr>
            <w:r>
              <w:rPr>
                <w:rFonts w:ascii="Arial" w:cs="Arial" w:eastAsia="Arial" w:hAnsi="Arial"/>
                <w:sz w:val="9"/>
                <w:szCs w:val="9"/>
                <w:color w:val="auto"/>
              </w:rPr>
              <w:t>(0.7)%</w:t>
            </w: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9"/>
                <w:szCs w:val="9"/>
                <w:color w:val="auto"/>
              </w:rPr>
              <w:t>225.2</w:t>
            </w:r>
          </w:p>
        </w:tc>
        <w:tc>
          <w:tcPr>
            <w:tcW w:w="80" w:type="dxa"/>
            <w:vAlign w:val="bottom"/>
            <w:shd w:val="clear" w:color="auto" w:fill="CCEEFF"/>
          </w:tcPr>
          <w:p>
            <w:pPr>
              <w:spacing w:after="0"/>
              <w:rPr>
                <w:sz w:val="11"/>
                <w:szCs w:val="11"/>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(0.2)%</w:t>
            </w:r>
          </w:p>
        </w:tc>
      </w:tr>
      <w:tr>
        <w:trPr>
          <w:trHeight w:val="36"/>
        </w:trPr>
        <w:tc>
          <w:tcPr>
            <w:tcW w:w="720" w:type="dxa"/>
            <w:vAlign w:val="bottom"/>
            <w:tcBorders>
              <w:left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4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r>
      <w:tr>
        <w:trPr>
          <w:trHeight w:val="99"/>
        </w:trPr>
        <w:tc>
          <w:tcPr>
            <w:tcW w:w="5460" w:type="dxa"/>
            <w:vAlign w:val="bottom"/>
            <w:tcBorders>
              <w:left w:val="single" w:sz="8" w:color="auto"/>
            </w:tcBorders>
            <w:gridSpan w:val="3"/>
            <w:shd w:val="clear" w:color="auto" w:fill="CCEEFF"/>
          </w:tcPr>
          <w:p>
            <w:pPr>
              <w:ind w:left="20"/>
              <w:spacing w:after="0" w:line="99" w:lineRule="exact"/>
              <w:rPr>
                <w:sz w:val="20"/>
                <w:szCs w:val="20"/>
                <w:color w:val="auto"/>
              </w:rPr>
            </w:pPr>
            <w:r>
              <w:rPr>
                <w:rFonts w:ascii="Arial" w:cs="Arial" w:eastAsia="Arial" w:hAnsi="Arial"/>
                <w:sz w:val="9"/>
                <w:szCs w:val="9"/>
                <w:b w:val="1"/>
                <w:bCs w:val="1"/>
                <w:color w:val="auto"/>
              </w:rPr>
              <w:t>Adjusted basis</w:t>
            </w:r>
            <w:r>
              <w:rPr>
                <w:rFonts w:ascii="Arial" w:cs="Arial" w:eastAsia="Arial" w:hAnsi="Arial"/>
                <w:sz w:val="11"/>
                <w:szCs w:val="11"/>
                <w:b w:val="1"/>
                <w:bCs w:val="1"/>
                <w:color w:val="auto"/>
                <w:vertAlign w:val="superscript"/>
              </w:rPr>
              <w:t>(3)</w:t>
            </w:r>
          </w:p>
        </w:tc>
        <w:tc>
          <w:tcPr>
            <w:tcW w:w="22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20" w:type="dxa"/>
            <w:vAlign w:val="bottom"/>
            <w:tcBorders>
              <w:right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60" w:type="dxa"/>
            <w:vAlign w:val="bottom"/>
            <w:tcBorders>
              <w:right w:val="single" w:sz="8" w:color="auto"/>
            </w:tcBorders>
            <w:shd w:val="clear" w:color="auto" w:fill="CCEEFF"/>
          </w:tcPr>
          <w:p>
            <w:pPr>
              <w:spacing w:after="0"/>
              <w:rPr>
                <w:sz w:val="8"/>
                <w:szCs w:val="8"/>
                <w:color w:val="auto"/>
              </w:rPr>
            </w:pPr>
          </w:p>
        </w:tc>
      </w:tr>
      <w:tr>
        <w:trPr>
          <w:trHeight w:val="27"/>
        </w:trPr>
        <w:tc>
          <w:tcPr>
            <w:tcW w:w="720" w:type="dxa"/>
            <w:vAlign w:val="bottom"/>
            <w:tcBorders>
              <w:left w:val="single" w:sz="8" w:color="auto"/>
              <w:right w:val="single" w:sz="8" w:color="CCEEFF"/>
            </w:tcBorders>
            <w:shd w:val="clear" w:color="auto" w:fill="000000"/>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20" w:type="dxa"/>
            <w:vAlign w:val="bottom"/>
            <w:tcBorders>
              <w:right w:val="single" w:sz="8" w:color="auto"/>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60" w:type="dxa"/>
            <w:vAlign w:val="bottom"/>
            <w:tcBorders>
              <w:right w:val="single" w:sz="8" w:color="auto"/>
            </w:tcBorders>
            <w:shd w:val="clear" w:color="auto" w:fill="CCEEFF"/>
          </w:tcPr>
          <w:p>
            <w:pPr>
              <w:spacing w:after="0"/>
              <w:rPr>
                <w:sz w:val="2"/>
                <w:szCs w:val="2"/>
                <w:color w:val="auto"/>
              </w:rPr>
            </w:pPr>
          </w:p>
        </w:tc>
      </w:tr>
      <w:tr>
        <w:trPr>
          <w:trHeight w:val="121"/>
        </w:trPr>
        <w:tc>
          <w:tcPr>
            <w:tcW w:w="5460" w:type="dxa"/>
            <w:vAlign w:val="bottom"/>
            <w:tcBorders>
              <w:left w:val="single" w:sz="8" w:color="auto"/>
            </w:tcBorders>
            <w:gridSpan w:val="3"/>
          </w:tcPr>
          <w:p>
            <w:pPr>
              <w:ind w:left="20"/>
              <w:spacing w:after="0"/>
              <w:rPr>
                <w:sz w:val="20"/>
                <w:szCs w:val="20"/>
                <w:color w:val="auto"/>
              </w:rPr>
            </w:pPr>
            <w:r>
              <w:rPr>
                <w:rFonts w:ascii="Arial" w:cs="Arial" w:eastAsia="Arial" w:hAnsi="Arial"/>
                <w:sz w:val="9"/>
                <w:szCs w:val="9"/>
                <w:color w:val="auto"/>
              </w:rPr>
              <w:t>Operating expenses</w:t>
            </w:r>
          </w:p>
        </w:tc>
        <w:tc>
          <w:tcPr>
            <w:tcW w:w="220" w:type="dxa"/>
            <w:vAlign w:val="bottom"/>
          </w:tcPr>
          <w:p>
            <w:pPr>
              <w:jc w:val="right"/>
              <w:ind w:right="115"/>
              <w:spacing w:after="0"/>
              <w:rPr>
                <w:sz w:val="20"/>
                <w:szCs w:val="20"/>
                <w:color w:val="auto"/>
              </w:rPr>
            </w:pPr>
            <w:r>
              <w:rPr>
                <w:rFonts w:ascii="Arial" w:cs="Arial" w:eastAsia="Arial" w:hAnsi="Arial"/>
                <w:sz w:val="9"/>
                <w:szCs w:val="9"/>
                <w:color w:val="auto"/>
                <w:w w:val="78"/>
              </w:rPr>
              <w:t>$</w:t>
            </w:r>
          </w:p>
        </w:tc>
        <w:tc>
          <w:tcPr>
            <w:tcW w:w="980" w:type="dxa"/>
            <w:vAlign w:val="bottom"/>
          </w:tcPr>
          <w:p>
            <w:pPr>
              <w:jc w:val="right"/>
              <w:ind w:right="15"/>
              <w:spacing w:after="0"/>
              <w:rPr>
                <w:sz w:val="20"/>
                <w:szCs w:val="20"/>
                <w:color w:val="auto"/>
              </w:rPr>
            </w:pPr>
            <w:r>
              <w:rPr>
                <w:rFonts w:ascii="Arial" w:cs="Arial" w:eastAsia="Arial" w:hAnsi="Arial"/>
                <w:sz w:val="9"/>
                <w:szCs w:val="9"/>
                <w:color w:val="auto"/>
              </w:rPr>
              <w:t>1,061.3</w:t>
            </w:r>
          </w:p>
        </w:tc>
        <w:tc>
          <w:tcPr>
            <w:tcW w:w="60" w:type="dxa"/>
            <w:vAlign w:val="bottom"/>
          </w:tcPr>
          <w:p>
            <w:pPr>
              <w:spacing w:after="0"/>
              <w:rPr>
                <w:sz w:val="10"/>
                <w:szCs w:val="10"/>
                <w:color w:val="auto"/>
              </w:rPr>
            </w:pPr>
          </w:p>
        </w:tc>
        <w:tc>
          <w:tcPr>
            <w:tcW w:w="240" w:type="dxa"/>
            <w:vAlign w:val="bottom"/>
          </w:tcPr>
          <w:p>
            <w:pPr>
              <w:jc w:val="right"/>
              <w:ind w:right="135"/>
              <w:spacing w:after="0"/>
              <w:rPr>
                <w:sz w:val="20"/>
                <w:szCs w:val="20"/>
                <w:color w:val="auto"/>
              </w:rPr>
            </w:pPr>
            <w:r>
              <w:rPr>
                <w:rFonts w:ascii="Arial" w:cs="Arial" w:eastAsia="Arial" w:hAnsi="Arial"/>
                <w:sz w:val="9"/>
                <w:szCs w:val="9"/>
                <w:color w:val="auto"/>
                <w:w w:val="78"/>
              </w:rPr>
              <w:t>$</w:t>
            </w:r>
          </w:p>
        </w:tc>
        <w:tc>
          <w:tcPr>
            <w:tcW w:w="960" w:type="dxa"/>
            <w:vAlign w:val="bottom"/>
          </w:tcPr>
          <w:p>
            <w:pPr>
              <w:jc w:val="right"/>
              <w:spacing w:after="0"/>
              <w:rPr>
                <w:sz w:val="20"/>
                <w:szCs w:val="20"/>
                <w:color w:val="auto"/>
              </w:rPr>
            </w:pPr>
            <w:r>
              <w:rPr>
                <w:rFonts w:ascii="Arial" w:cs="Arial" w:eastAsia="Arial" w:hAnsi="Arial"/>
                <w:sz w:val="9"/>
                <w:szCs w:val="9"/>
                <w:color w:val="auto"/>
              </w:rPr>
              <w:t>1,028.2</w:t>
            </w:r>
          </w:p>
        </w:tc>
        <w:tc>
          <w:tcPr>
            <w:tcW w:w="1100" w:type="dxa"/>
            <w:vAlign w:val="bottom"/>
            <w:tcBorders>
              <w:right w:val="single" w:sz="8" w:color="auto"/>
            </w:tcBorders>
            <w:gridSpan w:val="2"/>
          </w:tcPr>
          <w:p>
            <w:pPr>
              <w:jc w:val="right"/>
              <w:ind w:right="55"/>
              <w:spacing w:after="0"/>
              <w:rPr>
                <w:sz w:val="20"/>
                <w:szCs w:val="20"/>
                <w:color w:val="auto"/>
              </w:rPr>
            </w:pPr>
            <w:r>
              <w:rPr>
                <w:rFonts w:ascii="Arial" w:cs="Arial" w:eastAsia="Arial" w:hAnsi="Arial"/>
                <w:sz w:val="9"/>
                <w:szCs w:val="9"/>
                <w:color w:val="auto"/>
              </w:rPr>
              <w:t>3.2 %</w:t>
            </w:r>
          </w:p>
        </w:tc>
        <w:tc>
          <w:tcPr>
            <w:tcW w:w="60" w:type="dxa"/>
            <w:vAlign w:val="bottom"/>
          </w:tcPr>
          <w:p>
            <w:pPr>
              <w:spacing w:after="0"/>
              <w:rPr>
                <w:sz w:val="10"/>
                <w:szCs w:val="10"/>
                <w:color w:val="auto"/>
              </w:rPr>
            </w:pPr>
          </w:p>
        </w:tc>
        <w:tc>
          <w:tcPr>
            <w:tcW w:w="240" w:type="dxa"/>
            <w:vAlign w:val="bottom"/>
          </w:tcPr>
          <w:p>
            <w:pPr>
              <w:jc w:val="right"/>
              <w:ind w:right="135"/>
              <w:spacing w:after="0"/>
              <w:rPr>
                <w:sz w:val="20"/>
                <w:szCs w:val="20"/>
                <w:color w:val="auto"/>
              </w:rPr>
            </w:pPr>
            <w:r>
              <w:rPr>
                <w:rFonts w:ascii="Arial" w:cs="Arial" w:eastAsia="Arial" w:hAnsi="Arial"/>
                <w:sz w:val="9"/>
                <w:szCs w:val="9"/>
                <w:color w:val="auto"/>
                <w:w w:val="78"/>
              </w:rPr>
              <w:t>$</w:t>
            </w:r>
          </w:p>
        </w:tc>
        <w:tc>
          <w:tcPr>
            <w:tcW w:w="960" w:type="dxa"/>
            <w:vAlign w:val="bottom"/>
          </w:tcPr>
          <w:p>
            <w:pPr>
              <w:jc w:val="right"/>
              <w:spacing w:after="0"/>
              <w:rPr>
                <w:sz w:val="20"/>
                <w:szCs w:val="20"/>
                <w:color w:val="auto"/>
              </w:rPr>
            </w:pPr>
            <w:r>
              <w:rPr>
                <w:rFonts w:ascii="Arial" w:cs="Arial" w:eastAsia="Arial" w:hAnsi="Arial"/>
                <w:sz w:val="9"/>
                <w:szCs w:val="9"/>
                <w:color w:val="auto"/>
              </w:rPr>
              <w:t>1,026.2</w:t>
            </w:r>
          </w:p>
        </w:tc>
        <w:tc>
          <w:tcPr>
            <w:tcW w:w="80" w:type="dxa"/>
            <w:vAlign w:val="bottom"/>
          </w:tcPr>
          <w:p>
            <w:pPr>
              <w:spacing w:after="0"/>
              <w:rPr>
                <w:sz w:val="10"/>
                <w:szCs w:val="10"/>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9"/>
                <w:szCs w:val="9"/>
                <w:color w:val="auto"/>
              </w:rPr>
              <w:t>3.4 %</w:t>
            </w:r>
          </w:p>
        </w:tc>
      </w:tr>
      <w:tr>
        <w:trPr>
          <w:trHeight w:val="131"/>
        </w:trPr>
        <w:tc>
          <w:tcPr>
            <w:tcW w:w="5460" w:type="dxa"/>
            <w:vAlign w:val="bottom"/>
            <w:tcBorders>
              <w:left w:val="single" w:sz="8" w:color="auto"/>
            </w:tcBorders>
            <w:gridSpan w:val="3"/>
            <w:shd w:val="clear" w:color="auto" w:fill="CCEEFF"/>
          </w:tcPr>
          <w:p>
            <w:pPr>
              <w:ind w:left="20"/>
              <w:spacing w:after="0"/>
              <w:rPr>
                <w:sz w:val="20"/>
                <w:szCs w:val="20"/>
                <w:color w:val="auto"/>
              </w:rPr>
            </w:pPr>
            <w:r>
              <w:rPr>
                <w:rFonts w:ascii="Arial" w:cs="Arial" w:eastAsia="Arial" w:hAnsi="Arial"/>
                <w:sz w:val="9"/>
                <w:szCs w:val="9"/>
                <w:color w:val="auto"/>
              </w:rPr>
              <w:t>Operating expenses, excluding accrued carried interest related compensation</w:t>
            </w:r>
          </w:p>
        </w:tc>
        <w:tc>
          <w:tcPr>
            <w:tcW w:w="220" w:type="dxa"/>
            <w:vAlign w:val="bottom"/>
            <w:shd w:val="clear" w:color="auto" w:fill="CCEEFF"/>
          </w:tcPr>
          <w:p>
            <w:pPr>
              <w:jc w:val="right"/>
              <w:ind w:right="115"/>
              <w:spacing w:after="0"/>
              <w:rPr>
                <w:sz w:val="20"/>
                <w:szCs w:val="20"/>
                <w:color w:val="auto"/>
              </w:rPr>
            </w:pPr>
            <w:r>
              <w:rPr>
                <w:rFonts w:ascii="Arial" w:cs="Arial" w:eastAsia="Arial" w:hAnsi="Arial"/>
                <w:sz w:val="9"/>
                <w:szCs w:val="9"/>
                <w:color w:val="auto"/>
                <w:w w:val="78"/>
              </w:rPr>
              <w:t>$</w:t>
            </w: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1,030.8</w:t>
            </w: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5"/>
              <w:spacing w:after="0"/>
              <w:rPr>
                <w:sz w:val="20"/>
                <w:szCs w:val="20"/>
                <w:color w:val="auto"/>
              </w:rPr>
            </w:pPr>
            <w:r>
              <w:rPr>
                <w:rFonts w:ascii="Arial" w:cs="Arial" w:eastAsia="Arial" w:hAnsi="Arial"/>
                <w:sz w:val="9"/>
                <w:szCs w:val="9"/>
                <w:color w:val="auto"/>
                <w:w w:val="78"/>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9"/>
                <w:szCs w:val="9"/>
                <w:color w:val="auto"/>
              </w:rPr>
              <w:t>1,022.5</w:t>
            </w:r>
          </w:p>
        </w:tc>
        <w:tc>
          <w:tcPr>
            <w:tcW w:w="1100" w:type="dxa"/>
            <w:vAlign w:val="bottom"/>
            <w:tcBorders>
              <w:right w:val="single" w:sz="8" w:color="auto"/>
            </w:tcBorders>
            <w:gridSpan w:val="2"/>
            <w:shd w:val="clear" w:color="auto" w:fill="CCEEFF"/>
          </w:tcPr>
          <w:p>
            <w:pPr>
              <w:jc w:val="right"/>
              <w:ind w:right="55"/>
              <w:spacing w:after="0"/>
              <w:rPr>
                <w:sz w:val="20"/>
                <w:szCs w:val="20"/>
                <w:color w:val="auto"/>
              </w:rPr>
            </w:pPr>
            <w:r>
              <w:rPr>
                <w:rFonts w:ascii="Arial" w:cs="Arial" w:eastAsia="Arial" w:hAnsi="Arial"/>
                <w:sz w:val="9"/>
                <w:szCs w:val="9"/>
                <w:color w:val="auto"/>
              </w:rPr>
              <w:t>0.8 %</w:t>
            </w: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5"/>
              <w:spacing w:after="0"/>
              <w:rPr>
                <w:sz w:val="20"/>
                <w:szCs w:val="20"/>
                <w:color w:val="auto"/>
              </w:rPr>
            </w:pPr>
            <w:r>
              <w:rPr>
                <w:rFonts w:ascii="Arial" w:cs="Arial" w:eastAsia="Arial" w:hAnsi="Arial"/>
                <w:sz w:val="9"/>
                <w:szCs w:val="9"/>
                <w:color w:val="auto"/>
                <w:w w:val="78"/>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9"/>
                <w:szCs w:val="9"/>
                <w:color w:val="auto"/>
              </w:rPr>
              <w:t>1,010.5</w:t>
            </w:r>
          </w:p>
        </w:tc>
        <w:tc>
          <w:tcPr>
            <w:tcW w:w="80" w:type="dxa"/>
            <w:vAlign w:val="bottom"/>
            <w:shd w:val="clear" w:color="auto" w:fill="CCEEFF"/>
          </w:tcPr>
          <w:p>
            <w:pPr>
              <w:spacing w:after="0"/>
              <w:rPr>
                <w:sz w:val="11"/>
                <w:szCs w:val="11"/>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2.0 %</w:t>
            </w:r>
          </w:p>
        </w:tc>
      </w:tr>
      <w:tr>
        <w:trPr>
          <w:trHeight w:val="121"/>
        </w:trPr>
        <w:tc>
          <w:tcPr>
            <w:tcW w:w="5460" w:type="dxa"/>
            <w:vAlign w:val="bottom"/>
            <w:tcBorders>
              <w:left w:val="single" w:sz="8" w:color="auto"/>
            </w:tcBorders>
            <w:gridSpan w:val="3"/>
          </w:tcPr>
          <w:p>
            <w:pPr>
              <w:ind w:left="20"/>
              <w:spacing w:after="0"/>
              <w:rPr>
                <w:sz w:val="20"/>
                <w:szCs w:val="20"/>
                <w:color w:val="auto"/>
              </w:rPr>
            </w:pPr>
            <w:r>
              <w:rPr>
                <w:rFonts w:ascii="Arial" w:cs="Arial" w:eastAsia="Arial" w:hAnsi="Arial"/>
                <w:sz w:val="9"/>
                <w:szCs w:val="9"/>
                <w:color w:val="auto"/>
              </w:rPr>
              <w:t>Net operating income</w:t>
            </w:r>
          </w:p>
        </w:tc>
        <w:tc>
          <w:tcPr>
            <w:tcW w:w="220" w:type="dxa"/>
            <w:vAlign w:val="bottom"/>
          </w:tcPr>
          <w:p>
            <w:pPr>
              <w:jc w:val="right"/>
              <w:ind w:right="115"/>
              <w:spacing w:after="0"/>
              <w:rPr>
                <w:sz w:val="20"/>
                <w:szCs w:val="20"/>
                <w:color w:val="auto"/>
              </w:rPr>
            </w:pPr>
            <w:r>
              <w:rPr>
                <w:rFonts w:ascii="Arial" w:cs="Arial" w:eastAsia="Arial" w:hAnsi="Arial"/>
                <w:sz w:val="9"/>
                <w:szCs w:val="9"/>
                <w:color w:val="auto"/>
                <w:w w:val="78"/>
              </w:rPr>
              <w:t>$</w:t>
            </w:r>
          </w:p>
        </w:tc>
        <w:tc>
          <w:tcPr>
            <w:tcW w:w="980" w:type="dxa"/>
            <w:vAlign w:val="bottom"/>
          </w:tcPr>
          <w:p>
            <w:pPr>
              <w:jc w:val="right"/>
              <w:ind w:right="15"/>
              <w:spacing w:after="0"/>
              <w:rPr>
                <w:sz w:val="20"/>
                <w:szCs w:val="20"/>
                <w:color w:val="auto"/>
              </w:rPr>
            </w:pPr>
            <w:r>
              <w:rPr>
                <w:rFonts w:ascii="Arial" w:cs="Arial" w:eastAsia="Arial" w:hAnsi="Arial"/>
                <w:sz w:val="9"/>
                <w:szCs w:val="9"/>
                <w:color w:val="auto"/>
              </w:rPr>
              <w:t>635.9</w:t>
            </w:r>
          </w:p>
        </w:tc>
        <w:tc>
          <w:tcPr>
            <w:tcW w:w="60" w:type="dxa"/>
            <w:vAlign w:val="bottom"/>
          </w:tcPr>
          <w:p>
            <w:pPr>
              <w:spacing w:after="0"/>
              <w:rPr>
                <w:sz w:val="10"/>
                <w:szCs w:val="10"/>
                <w:color w:val="auto"/>
              </w:rPr>
            </w:pPr>
          </w:p>
        </w:tc>
        <w:tc>
          <w:tcPr>
            <w:tcW w:w="240" w:type="dxa"/>
            <w:vAlign w:val="bottom"/>
          </w:tcPr>
          <w:p>
            <w:pPr>
              <w:jc w:val="right"/>
              <w:ind w:right="135"/>
              <w:spacing w:after="0"/>
              <w:rPr>
                <w:sz w:val="20"/>
                <w:szCs w:val="20"/>
                <w:color w:val="auto"/>
              </w:rPr>
            </w:pPr>
            <w:r>
              <w:rPr>
                <w:rFonts w:ascii="Arial" w:cs="Arial" w:eastAsia="Arial" w:hAnsi="Arial"/>
                <w:sz w:val="9"/>
                <w:szCs w:val="9"/>
                <w:color w:val="auto"/>
                <w:w w:val="78"/>
              </w:rPr>
              <w:t>$</w:t>
            </w:r>
          </w:p>
        </w:tc>
        <w:tc>
          <w:tcPr>
            <w:tcW w:w="960" w:type="dxa"/>
            <w:vAlign w:val="bottom"/>
          </w:tcPr>
          <w:p>
            <w:pPr>
              <w:jc w:val="right"/>
              <w:spacing w:after="0"/>
              <w:rPr>
                <w:sz w:val="20"/>
                <w:szCs w:val="20"/>
                <w:color w:val="auto"/>
              </w:rPr>
            </w:pPr>
            <w:r>
              <w:rPr>
                <w:rFonts w:ascii="Arial" w:cs="Arial" w:eastAsia="Arial" w:hAnsi="Arial"/>
                <w:sz w:val="9"/>
                <w:szCs w:val="9"/>
                <w:color w:val="auto"/>
              </w:rPr>
              <w:t>573.7</w:t>
            </w:r>
          </w:p>
        </w:tc>
        <w:tc>
          <w:tcPr>
            <w:tcW w:w="1100" w:type="dxa"/>
            <w:vAlign w:val="bottom"/>
            <w:tcBorders>
              <w:right w:val="single" w:sz="8" w:color="auto"/>
            </w:tcBorders>
            <w:gridSpan w:val="2"/>
          </w:tcPr>
          <w:p>
            <w:pPr>
              <w:jc w:val="right"/>
              <w:ind w:right="55"/>
              <w:spacing w:after="0"/>
              <w:rPr>
                <w:sz w:val="20"/>
                <w:szCs w:val="20"/>
                <w:color w:val="auto"/>
              </w:rPr>
            </w:pPr>
            <w:r>
              <w:rPr>
                <w:rFonts w:ascii="Arial" w:cs="Arial" w:eastAsia="Arial" w:hAnsi="Arial"/>
                <w:sz w:val="9"/>
                <w:szCs w:val="9"/>
                <w:color w:val="auto"/>
              </w:rPr>
              <w:t>10.8 %</w:t>
            </w:r>
          </w:p>
        </w:tc>
        <w:tc>
          <w:tcPr>
            <w:tcW w:w="60" w:type="dxa"/>
            <w:vAlign w:val="bottom"/>
          </w:tcPr>
          <w:p>
            <w:pPr>
              <w:spacing w:after="0"/>
              <w:rPr>
                <w:sz w:val="10"/>
                <w:szCs w:val="10"/>
                <w:color w:val="auto"/>
              </w:rPr>
            </w:pPr>
          </w:p>
        </w:tc>
        <w:tc>
          <w:tcPr>
            <w:tcW w:w="240" w:type="dxa"/>
            <w:vAlign w:val="bottom"/>
          </w:tcPr>
          <w:p>
            <w:pPr>
              <w:jc w:val="right"/>
              <w:ind w:right="135"/>
              <w:spacing w:after="0"/>
              <w:rPr>
                <w:sz w:val="20"/>
                <w:szCs w:val="20"/>
                <w:color w:val="auto"/>
              </w:rPr>
            </w:pPr>
            <w:r>
              <w:rPr>
                <w:rFonts w:ascii="Arial" w:cs="Arial" w:eastAsia="Arial" w:hAnsi="Arial"/>
                <w:sz w:val="9"/>
                <w:szCs w:val="9"/>
                <w:color w:val="auto"/>
                <w:w w:val="78"/>
              </w:rPr>
              <w:t>$</w:t>
            </w:r>
          </w:p>
        </w:tc>
        <w:tc>
          <w:tcPr>
            <w:tcW w:w="960" w:type="dxa"/>
            <w:vAlign w:val="bottom"/>
          </w:tcPr>
          <w:p>
            <w:pPr>
              <w:jc w:val="right"/>
              <w:spacing w:after="0"/>
              <w:rPr>
                <w:sz w:val="20"/>
                <w:szCs w:val="20"/>
                <w:color w:val="auto"/>
              </w:rPr>
            </w:pPr>
            <w:r>
              <w:rPr>
                <w:rFonts w:ascii="Arial" w:cs="Arial" w:eastAsia="Arial" w:hAnsi="Arial"/>
                <w:sz w:val="9"/>
                <w:szCs w:val="9"/>
                <w:color w:val="auto"/>
              </w:rPr>
              <w:t>596.6</w:t>
            </w:r>
          </w:p>
        </w:tc>
        <w:tc>
          <w:tcPr>
            <w:tcW w:w="80" w:type="dxa"/>
            <w:vAlign w:val="bottom"/>
          </w:tcPr>
          <w:p>
            <w:pPr>
              <w:spacing w:after="0"/>
              <w:rPr>
                <w:sz w:val="10"/>
                <w:szCs w:val="10"/>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9"/>
                <w:szCs w:val="9"/>
                <w:color w:val="auto"/>
              </w:rPr>
              <w:t>6.6 %</w:t>
            </w:r>
          </w:p>
        </w:tc>
      </w:tr>
      <w:tr>
        <w:trPr>
          <w:trHeight w:val="131"/>
        </w:trPr>
        <w:tc>
          <w:tcPr>
            <w:tcW w:w="5460" w:type="dxa"/>
            <w:vAlign w:val="bottom"/>
            <w:tcBorders>
              <w:left w:val="single" w:sz="8" w:color="auto"/>
            </w:tcBorders>
            <w:gridSpan w:val="3"/>
            <w:shd w:val="clear" w:color="auto" w:fill="CCEEFF"/>
          </w:tcPr>
          <w:p>
            <w:pPr>
              <w:ind w:left="20"/>
              <w:spacing w:after="0"/>
              <w:rPr>
                <w:sz w:val="20"/>
                <w:szCs w:val="20"/>
                <w:color w:val="auto"/>
              </w:rPr>
            </w:pPr>
            <w:r>
              <w:rPr>
                <w:rFonts w:ascii="Arial" w:cs="Arial" w:eastAsia="Arial" w:hAnsi="Arial"/>
                <w:sz w:val="9"/>
                <w:szCs w:val="9"/>
                <w:color w:val="auto"/>
              </w:rPr>
              <w:t>Non-operating income (loss)</w:t>
            </w:r>
            <w:r>
              <w:rPr>
                <w:rFonts w:ascii="Arial" w:cs="Arial" w:eastAsia="Arial" w:hAnsi="Arial"/>
                <w:sz w:val="11"/>
                <w:szCs w:val="11"/>
                <w:color w:val="auto"/>
                <w:vertAlign w:val="superscript"/>
              </w:rPr>
              <w:t>(2)</w:t>
            </w:r>
          </w:p>
        </w:tc>
        <w:tc>
          <w:tcPr>
            <w:tcW w:w="220" w:type="dxa"/>
            <w:vAlign w:val="bottom"/>
            <w:shd w:val="clear" w:color="auto" w:fill="CCEEFF"/>
          </w:tcPr>
          <w:p>
            <w:pPr>
              <w:jc w:val="right"/>
              <w:ind w:right="115"/>
              <w:spacing w:after="0"/>
              <w:rPr>
                <w:sz w:val="20"/>
                <w:szCs w:val="20"/>
                <w:color w:val="auto"/>
              </w:rPr>
            </w:pPr>
            <w:r>
              <w:rPr>
                <w:rFonts w:ascii="Arial" w:cs="Arial" w:eastAsia="Arial" w:hAnsi="Arial"/>
                <w:sz w:val="9"/>
                <w:szCs w:val="9"/>
                <w:color w:val="auto"/>
                <w:w w:val="78"/>
              </w:rPr>
              <w:t>$</w:t>
            </w: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28.7</w:t>
            </w: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5"/>
              <w:spacing w:after="0"/>
              <w:rPr>
                <w:sz w:val="20"/>
                <w:szCs w:val="20"/>
                <w:color w:val="auto"/>
              </w:rPr>
            </w:pPr>
            <w:r>
              <w:rPr>
                <w:rFonts w:ascii="Arial" w:cs="Arial" w:eastAsia="Arial" w:hAnsi="Arial"/>
                <w:sz w:val="9"/>
                <w:szCs w:val="9"/>
                <w:color w:val="auto"/>
                <w:w w:val="78"/>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9"/>
                <w:szCs w:val="9"/>
                <w:color w:val="auto"/>
              </w:rPr>
              <w:t>(3.7)</w:t>
            </w:r>
          </w:p>
        </w:tc>
        <w:tc>
          <w:tcPr>
            <w:tcW w:w="80" w:type="dxa"/>
            <w:vAlign w:val="bottom"/>
            <w:shd w:val="clear" w:color="auto" w:fill="CCEEFF"/>
          </w:tcPr>
          <w:p>
            <w:pPr>
              <w:spacing w:after="0"/>
              <w:rPr>
                <w:sz w:val="11"/>
                <w:szCs w:val="11"/>
                <w:color w:val="auto"/>
              </w:rPr>
            </w:pPr>
          </w:p>
        </w:tc>
        <w:tc>
          <w:tcPr>
            <w:tcW w:w="1020" w:type="dxa"/>
            <w:vAlign w:val="bottom"/>
            <w:tcBorders>
              <w:right w:val="single" w:sz="8" w:color="auto"/>
            </w:tcBorders>
            <w:shd w:val="clear" w:color="auto" w:fill="CCEEFF"/>
          </w:tcPr>
          <w:p>
            <w:pPr>
              <w:jc w:val="right"/>
              <w:ind w:right="55"/>
              <w:spacing w:after="0"/>
              <w:rPr>
                <w:sz w:val="20"/>
                <w:szCs w:val="20"/>
                <w:color w:val="auto"/>
              </w:rPr>
            </w:pPr>
            <w:r>
              <w:rPr>
                <w:rFonts w:ascii="Arial" w:cs="Arial" w:eastAsia="Arial" w:hAnsi="Arial"/>
                <w:sz w:val="9"/>
                <w:szCs w:val="9"/>
                <w:color w:val="auto"/>
              </w:rPr>
              <w:t>n/m</w:t>
            </w: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5"/>
              <w:spacing w:after="0"/>
              <w:rPr>
                <w:sz w:val="20"/>
                <w:szCs w:val="20"/>
                <w:color w:val="auto"/>
              </w:rPr>
            </w:pPr>
            <w:r>
              <w:rPr>
                <w:rFonts w:ascii="Arial" w:cs="Arial" w:eastAsia="Arial" w:hAnsi="Arial"/>
                <w:sz w:val="9"/>
                <w:szCs w:val="9"/>
                <w:color w:val="auto"/>
                <w:w w:val="78"/>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9"/>
                <w:szCs w:val="9"/>
                <w:color w:val="auto"/>
              </w:rPr>
              <w:t>31.8</w:t>
            </w:r>
          </w:p>
        </w:tc>
        <w:tc>
          <w:tcPr>
            <w:tcW w:w="80" w:type="dxa"/>
            <w:vAlign w:val="bottom"/>
            <w:shd w:val="clear" w:color="auto" w:fill="CCEEFF"/>
          </w:tcPr>
          <w:p>
            <w:pPr>
              <w:spacing w:after="0"/>
              <w:rPr>
                <w:sz w:val="11"/>
                <w:szCs w:val="11"/>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n/m</w:t>
            </w:r>
          </w:p>
        </w:tc>
      </w:tr>
      <w:tr>
        <w:trPr>
          <w:trHeight w:val="121"/>
        </w:trPr>
        <w:tc>
          <w:tcPr>
            <w:tcW w:w="5460" w:type="dxa"/>
            <w:vAlign w:val="bottom"/>
            <w:tcBorders>
              <w:left w:val="single" w:sz="8" w:color="auto"/>
            </w:tcBorders>
            <w:gridSpan w:val="3"/>
          </w:tcPr>
          <w:p>
            <w:pPr>
              <w:ind w:left="20"/>
              <w:spacing w:after="0"/>
              <w:rPr>
                <w:sz w:val="20"/>
                <w:szCs w:val="20"/>
                <w:color w:val="auto"/>
              </w:rPr>
            </w:pPr>
            <w:r>
              <w:rPr>
                <w:rFonts w:ascii="Arial" w:cs="Arial" w:eastAsia="Arial" w:hAnsi="Arial"/>
                <w:sz w:val="9"/>
                <w:szCs w:val="9"/>
                <w:color w:val="auto"/>
              </w:rPr>
              <w:t>Net income attributable to T. Rowe Price</w:t>
            </w:r>
          </w:p>
        </w:tc>
        <w:tc>
          <w:tcPr>
            <w:tcW w:w="220" w:type="dxa"/>
            <w:vAlign w:val="bottom"/>
          </w:tcPr>
          <w:p>
            <w:pPr>
              <w:jc w:val="right"/>
              <w:ind w:right="115"/>
              <w:spacing w:after="0"/>
              <w:rPr>
                <w:sz w:val="20"/>
                <w:szCs w:val="20"/>
                <w:color w:val="auto"/>
              </w:rPr>
            </w:pPr>
            <w:r>
              <w:rPr>
                <w:rFonts w:ascii="Arial" w:cs="Arial" w:eastAsia="Arial" w:hAnsi="Arial"/>
                <w:sz w:val="9"/>
                <w:szCs w:val="9"/>
                <w:color w:val="auto"/>
                <w:w w:val="78"/>
              </w:rPr>
              <w:t>$</w:t>
            </w:r>
          </w:p>
        </w:tc>
        <w:tc>
          <w:tcPr>
            <w:tcW w:w="980" w:type="dxa"/>
            <w:vAlign w:val="bottom"/>
          </w:tcPr>
          <w:p>
            <w:pPr>
              <w:jc w:val="right"/>
              <w:ind w:right="15"/>
              <w:spacing w:after="0"/>
              <w:rPr>
                <w:sz w:val="20"/>
                <w:szCs w:val="20"/>
                <w:color w:val="auto"/>
              </w:rPr>
            </w:pPr>
            <w:r>
              <w:rPr>
                <w:rFonts w:ascii="Arial" w:cs="Arial" w:eastAsia="Arial" w:hAnsi="Arial"/>
                <w:sz w:val="9"/>
                <w:szCs w:val="9"/>
                <w:color w:val="auto"/>
              </w:rPr>
              <w:t>499.5</w:t>
            </w:r>
          </w:p>
        </w:tc>
        <w:tc>
          <w:tcPr>
            <w:tcW w:w="60" w:type="dxa"/>
            <w:vAlign w:val="bottom"/>
          </w:tcPr>
          <w:p>
            <w:pPr>
              <w:spacing w:after="0"/>
              <w:rPr>
                <w:sz w:val="10"/>
                <w:szCs w:val="10"/>
                <w:color w:val="auto"/>
              </w:rPr>
            </w:pPr>
          </w:p>
        </w:tc>
        <w:tc>
          <w:tcPr>
            <w:tcW w:w="240" w:type="dxa"/>
            <w:vAlign w:val="bottom"/>
          </w:tcPr>
          <w:p>
            <w:pPr>
              <w:jc w:val="right"/>
              <w:ind w:right="135"/>
              <w:spacing w:after="0"/>
              <w:rPr>
                <w:sz w:val="20"/>
                <w:szCs w:val="20"/>
                <w:color w:val="auto"/>
              </w:rPr>
            </w:pPr>
            <w:r>
              <w:rPr>
                <w:rFonts w:ascii="Arial" w:cs="Arial" w:eastAsia="Arial" w:hAnsi="Arial"/>
                <w:sz w:val="9"/>
                <w:szCs w:val="9"/>
                <w:color w:val="auto"/>
                <w:w w:val="78"/>
              </w:rPr>
              <w:t>$</w:t>
            </w:r>
          </w:p>
        </w:tc>
        <w:tc>
          <w:tcPr>
            <w:tcW w:w="960" w:type="dxa"/>
            <w:vAlign w:val="bottom"/>
          </w:tcPr>
          <w:p>
            <w:pPr>
              <w:jc w:val="right"/>
              <w:spacing w:after="0"/>
              <w:rPr>
                <w:sz w:val="20"/>
                <w:szCs w:val="20"/>
                <w:color w:val="auto"/>
              </w:rPr>
            </w:pPr>
            <w:r>
              <w:rPr>
                <w:rFonts w:ascii="Arial" w:cs="Arial" w:eastAsia="Arial" w:hAnsi="Arial"/>
                <w:sz w:val="9"/>
                <w:szCs w:val="9"/>
                <w:color w:val="auto"/>
              </w:rPr>
              <w:t>430.6</w:t>
            </w:r>
          </w:p>
        </w:tc>
        <w:tc>
          <w:tcPr>
            <w:tcW w:w="1100" w:type="dxa"/>
            <w:vAlign w:val="bottom"/>
            <w:tcBorders>
              <w:right w:val="single" w:sz="8" w:color="auto"/>
            </w:tcBorders>
            <w:gridSpan w:val="2"/>
          </w:tcPr>
          <w:p>
            <w:pPr>
              <w:jc w:val="right"/>
              <w:ind w:right="55"/>
              <w:spacing w:after="0"/>
              <w:rPr>
                <w:sz w:val="20"/>
                <w:szCs w:val="20"/>
                <w:color w:val="auto"/>
              </w:rPr>
            </w:pPr>
            <w:r>
              <w:rPr>
                <w:rFonts w:ascii="Arial" w:cs="Arial" w:eastAsia="Arial" w:hAnsi="Arial"/>
                <w:sz w:val="9"/>
                <w:szCs w:val="9"/>
                <w:color w:val="auto"/>
              </w:rPr>
              <w:t>16.0 %</w:t>
            </w:r>
          </w:p>
        </w:tc>
        <w:tc>
          <w:tcPr>
            <w:tcW w:w="60" w:type="dxa"/>
            <w:vAlign w:val="bottom"/>
          </w:tcPr>
          <w:p>
            <w:pPr>
              <w:spacing w:after="0"/>
              <w:rPr>
                <w:sz w:val="10"/>
                <w:szCs w:val="10"/>
                <w:color w:val="auto"/>
              </w:rPr>
            </w:pPr>
          </w:p>
        </w:tc>
        <w:tc>
          <w:tcPr>
            <w:tcW w:w="240" w:type="dxa"/>
            <w:vAlign w:val="bottom"/>
          </w:tcPr>
          <w:p>
            <w:pPr>
              <w:jc w:val="right"/>
              <w:ind w:right="135"/>
              <w:spacing w:after="0"/>
              <w:rPr>
                <w:sz w:val="20"/>
                <w:szCs w:val="20"/>
                <w:color w:val="auto"/>
              </w:rPr>
            </w:pPr>
            <w:r>
              <w:rPr>
                <w:rFonts w:ascii="Arial" w:cs="Arial" w:eastAsia="Arial" w:hAnsi="Arial"/>
                <w:sz w:val="9"/>
                <w:szCs w:val="9"/>
                <w:color w:val="auto"/>
                <w:w w:val="78"/>
              </w:rPr>
              <w:t>$</w:t>
            </w:r>
          </w:p>
        </w:tc>
        <w:tc>
          <w:tcPr>
            <w:tcW w:w="960" w:type="dxa"/>
            <w:vAlign w:val="bottom"/>
          </w:tcPr>
          <w:p>
            <w:pPr>
              <w:jc w:val="right"/>
              <w:spacing w:after="0"/>
              <w:rPr>
                <w:sz w:val="20"/>
                <w:szCs w:val="20"/>
                <w:color w:val="auto"/>
              </w:rPr>
            </w:pPr>
            <w:r>
              <w:rPr>
                <w:rFonts w:ascii="Arial" w:cs="Arial" w:eastAsia="Arial" w:hAnsi="Arial"/>
                <w:sz w:val="9"/>
                <w:szCs w:val="9"/>
                <w:color w:val="auto"/>
              </w:rPr>
              <w:t>466.5</w:t>
            </w:r>
          </w:p>
        </w:tc>
        <w:tc>
          <w:tcPr>
            <w:tcW w:w="80" w:type="dxa"/>
            <w:vAlign w:val="bottom"/>
          </w:tcPr>
          <w:p>
            <w:pPr>
              <w:spacing w:after="0"/>
              <w:rPr>
                <w:sz w:val="10"/>
                <w:szCs w:val="10"/>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9"/>
                <w:szCs w:val="9"/>
                <w:color w:val="auto"/>
              </w:rPr>
              <w:t>7.1 %</w:t>
            </w:r>
          </w:p>
        </w:tc>
      </w:tr>
      <w:tr>
        <w:trPr>
          <w:trHeight w:val="131"/>
        </w:trPr>
        <w:tc>
          <w:tcPr>
            <w:tcW w:w="5460" w:type="dxa"/>
            <w:vAlign w:val="bottom"/>
            <w:tcBorders>
              <w:left w:val="single" w:sz="8" w:color="auto"/>
            </w:tcBorders>
            <w:gridSpan w:val="3"/>
            <w:shd w:val="clear" w:color="auto" w:fill="CCEEFF"/>
          </w:tcPr>
          <w:p>
            <w:pPr>
              <w:ind w:left="20"/>
              <w:spacing w:after="0"/>
              <w:rPr>
                <w:sz w:val="20"/>
                <w:szCs w:val="20"/>
                <w:color w:val="auto"/>
              </w:rPr>
            </w:pPr>
            <w:r>
              <w:rPr>
                <w:rFonts w:ascii="Arial" w:cs="Arial" w:eastAsia="Arial" w:hAnsi="Arial"/>
                <w:sz w:val="9"/>
                <w:szCs w:val="9"/>
                <w:color w:val="auto"/>
              </w:rPr>
              <w:t>Diluted earnings per common share</w:t>
            </w:r>
          </w:p>
        </w:tc>
        <w:tc>
          <w:tcPr>
            <w:tcW w:w="220" w:type="dxa"/>
            <w:vAlign w:val="bottom"/>
            <w:shd w:val="clear" w:color="auto" w:fill="CCEEFF"/>
          </w:tcPr>
          <w:p>
            <w:pPr>
              <w:jc w:val="right"/>
              <w:ind w:right="115"/>
              <w:spacing w:after="0"/>
              <w:rPr>
                <w:sz w:val="20"/>
                <w:szCs w:val="20"/>
                <w:color w:val="auto"/>
              </w:rPr>
            </w:pPr>
            <w:r>
              <w:rPr>
                <w:rFonts w:ascii="Arial" w:cs="Arial" w:eastAsia="Arial" w:hAnsi="Arial"/>
                <w:sz w:val="9"/>
                <w:szCs w:val="9"/>
                <w:color w:val="auto"/>
                <w:w w:val="78"/>
              </w:rPr>
              <w:t>$</w:t>
            </w: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2.17</w:t>
            </w: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5"/>
              <w:spacing w:after="0"/>
              <w:rPr>
                <w:sz w:val="20"/>
                <w:szCs w:val="20"/>
                <w:color w:val="auto"/>
              </w:rPr>
            </w:pPr>
            <w:r>
              <w:rPr>
                <w:rFonts w:ascii="Arial" w:cs="Arial" w:eastAsia="Arial" w:hAnsi="Arial"/>
                <w:sz w:val="9"/>
                <w:szCs w:val="9"/>
                <w:color w:val="auto"/>
                <w:w w:val="78"/>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9"/>
                <w:szCs w:val="9"/>
                <w:color w:val="auto"/>
              </w:rPr>
              <w:t>1.86</w:t>
            </w:r>
          </w:p>
        </w:tc>
        <w:tc>
          <w:tcPr>
            <w:tcW w:w="1100" w:type="dxa"/>
            <w:vAlign w:val="bottom"/>
            <w:tcBorders>
              <w:right w:val="single" w:sz="8" w:color="auto"/>
            </w:tcBorders>
            <w:gridSpan w:val="2"/>
            <w:shd w:val="clear" w:color="auto" w:fill="CCEEFF"/>
          </w:tcPr>
          <w:p>
            <w:pPr>
              <w:jc w:val="right"/>
              <w:ind w:right="55"/>
              <w:spacing w:after="0"/>
              <w:rPr>
                <w:sz w:val="20"/>
                <w:szCs w:val="20"/>
                <w:color w:val="auto"/>
              </w:rPr>
            </w:pPr>
            <w:r>
              <w:rPr>
                <w:rFonts w:ascii="Arial" w:cs="Arial" w:eastAsia="Arial" w:hAnsi="Arial"/>
                <w:sz w:val="9"/>
                <w:szCs w:val="9"/>
                <w:color w:val="auto"/>
              </w:rPr>
              <w:t>16.7 %</w:t>
            </w: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5"/>
              <w:spacing w:after="0"/>
              <w:rPr>
                <w:sz w:val="20"/>
                <w:szCs w:val="20"/>
                <w:color w:val="auto"/>
              </w:rPr>
            </w:pPr>
            <w:r>
              <w:rPr>
                <w:rFonts w:ascii="Arial" w:cs="Arial" w:eastAsia="Arial" w:hAnsi="Arial"/>
                <w:sz w:val="9"/>
                <w:szCs w:val="9"/>
                <w:color w:val="auto"/>
                <w:w w:val="78"/>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9"/>
                <w:szCs w:val="9"/>
                <w:color w:val="auto"/>
              </w:rPr>
              <w:t>2.02</w:t>
            </w:r>
          </w:p>
        </w:tc>
        <w:tc>
          <w:tcPr>
            <w:tcW w:w="80" w:type="dxa"/>
            <w:vAlign w:val="bottom"/>
            <w:shd w:val="clear" w:color="auto" w:fill="CCEEFF"/>
          </w:tcPr>
          <w:p>
            <w:pPr>
              <w:spacing w:after="0"/>
              <w:rPr>
                <w:sz w:val="11"/>
                <w:szCs w:val="11"/>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7.4 %</w:t>
            </w:r>
          </w:p>
        </w:tc>
      </w:tr>
      <w:tr>
        <w:trPr>
          <w:trHeight w:val="36"/>
        </w:trPr>
        <w:tc>
          <w:tcPr>
            <w:tcW w:w="720" w:type="dxa"/>
            <w:vAlign w:val="bottom"/>
            <w:tcBorders>
              <w:left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4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r>
      <w:tr>
        <w:trPr>
          <w:trHeight w:val="99"/>
        </w:trPr>
        <w:tc>
          <w:tcPr>
            <w:tcW w:w="5460" w:type="dxa"/>
            <w:vAlign w:val="bottom"/>
            <w:tcBorders>
              <w:left w:val="single" w:sz="8" w:color="auto"/>
            </w:tcBorders>
            <w:gridSpan w:val="3"/>
            <w:shd w:val="clear" w:color="auto" w:fill="CCEEFF"/>
          </w:tcPr>
          <w:p>
            <w:pPr>
              <w:ind w:left="20"/>
              <w:spacing w:after="0" w:line="99" w:lineRule="exact"/>
              <w:rPr>
                <w:sz w:val="20"/>
                <w:szCs w:val="20"/>
                <w:color w:val="auto"/>
              </w:rPr>
            </w:pPr>
            <w:r>
              <w:rPr>
                <w:rFonts w:ascii="Arial" w:cs="Arial" w:eastAsia="Arial" w:hAnsi="Arial"/>
                <w:sz w:val="9"/>
                <w:szCs w:val="9"/>
                <w:b w:val="1"/>
                <w:bCs w:val="1"/>
                <w:color w:val="auto"/>
              </w:rPr>
              <w:t xml:space="preserve">Assets under management </w:t>
            </w:r>
            <w:r>
              <w:rPr>
                <w:rFonts w:ascii="Arial" w:cs="Arial" w:eastAsia="Arial" w:hAnsi="Arial"/>
                <w:sz w:val="9"/>
                <w:szCs w:val="9"/>
                <w:color w:val="auto"/>
              </w:rPr>
              <w:t>(in billions)</w:t>
            </w:r>
          </w:p>
        </w:tc>
        <w:tc>
          <w:tcPr>
            <w:tcW w:w="22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20" w:type="dxa"/>
            <w:vAlign w:val="bottom"/>
            <w:tcBorders>
              <w:right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60" w:type="dxa"/>
            <w:vAlign w:val="bottom"/>
            <w:tcBorders>
              <w:right w:val="single" w:sz="8" w:color="auto"/>
            </w:tcBorders>
            <w:shd w:val="clear" w:color="auto" w:fill="CCEEFF"/>
          </w:tcPr>
          <w:p>
            <w:pPr>
              <w:spacing w:after="0"/>
              <w:rPr>
                <w:sz w:val="8"/>
                <w:szCs w:val="8"/>
                <w:color w:val="auto"/>
              </w:rPr>
            </w:pPr>
          </w:p>
        </w:tc>
      </w:tr>
      <w:tr>
        <w:trPr>
          <w:trHeight w:val="27"/>
        </w:trPr>
        <w:tc>
          <w:tcPr>
            <w:tcW w:w="720" w:type="dxa"/>
            <w:vAlign w:val="bottom"/>
            <w:tcBorders>
              <w:left w:val="single" w:sz="8" w:color="auto"/>
              <w:right w:val="single" w:sz="8" w:color="auto"/>
            </w:tcBorders>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20" w:type="dxa"/>
            <w:vAlign w:val="bottom"/>
            <w:tcBorders>
              <w:right w:val="single" w:sz="8" w:color="auto"/>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60" w:type="dxa"/>
            <w:vAlign w:val="bottom"/>
            <w:tcBorders>
              <w:right w:val="single" w:sz="8" w:color="auto"/>
            </w:tcBorders>
            <w:shd w:val="clear" w:color="auto" w:fill="CCEEFF"/>
          </w:tcPr>
          <w:p>
            <w:pPr>
              <w:spacing w:after="0"/>
              <w:rPr>
                <w:sz w:val="2"/>
                <w:szCs w:val="2"/>
                <w:color w:val="auto"/>
              </w:rPr>
            </w:pPr>
          </w:p>
        </w:tc>
      </w:tr>
      <w:tr>
        <w:trPr>
          <w:trHeight w:val="121"/>
        </w:trPr>
        <w:tc>
          <w:tcPr>
            <w:tcW w:w="5460" w:type="dxa"/>
            <w:vAlign w:val="bottom"/>
            <w:tcBorders>
              <w:left w:val="single" w:sz="8" w:color="auto"/>
            </w:tcBorders>
            <w:gridSpan w:val="3"/>
          </w:tcPr>
          <w:p>
            <w:pPr>
              <w:ind w:left="20"/>
              <w:spacing w:after="0"/>
              <w:rPr>
                <w:sz w:val="20"/>
                <w:szCs w:val="20"/>
                <w:color w:val="auto"/>
              </w:rPr>
            </w:pPr>
            <w:r>
              <w:rPr>
                <w:rFonts w:ascii="Arial" w:cs="Arial" w:eastAsia="Arial" w:hAnsi="Arial"/>
                <w:sz w:val="9"/>
                <w:szCs w:val="9"/>
                <w:color w:val="auto"/>
              </w:rPr>
              <w:t>Average assets under management</w:t>
            </w:r>
          </w:p>
        </w:tc>
        <w:tc>
          <w:tcPr>
            <w:tcW w:w="220" w:type="dxa"/>
            <w:vAlign w:val="bottom"/>
          </w:tcPr>
          <w:p>
            <w:pPr>
              <w:jc w:val="right"/>
              <w:ind w:right="115"/>
              <w:spacing w:after="0"/>
              <w:rPr>
                <w:sz w:val="20"/>
                <w:szCs w:val="20"/>
                <w:color w:val="auto"/>
              </w:rPr>
            </w:pPr>
            <w:r>
              <w:rPr>
                <w:rFonts w:ascii="Arial" w:cs="Arial" w:eastAsia="Arial" w:hAnsi="Arial"/>
                <w:sz w:val="9"/>
                <w:szCs w:val="9"/>
                <w:color w:val="auto"/>
                <w:w w:val="78"/>
              </w:rPr>
              <w:t>$</w:t>
            </w:r>
          </w:p>
        </w:tc>
        <w:tc>
          <w:tcPr>
            <w:tcW w:w="980" w:type="dxa"/>
            <w:vAlign w:val="bottom"/>
          </w:tcPr>
          <w:p>
            <w:pPr>
              <w:jc w:val="right"/>
              <w:ind w:right="15"/>
              <w:spacing w:after="0"/>
              <w:rPr>
                <w:sz w:val="20"/>
                <w:szCs w:val="20"/>
                <w:color w:val="auto"/>
              </w:rPr>
            </w:pPr>
            <w:r>
              <w:rPr>
                <w:rFonts w:ascii="Arial" w:cs="Arial" w:eastAsia="Arial" w:hAnsi="Arial"/>
                <w:sz w:val="9"/>
                <w:szCs w:val="9"/>
                <w:color w:val="auto"/>
              </w:rPr>
              <w:t>1,393.6</w:t>
            </w:r>
          </w:p>
        </w:tc>
        <w:tc>
          <w:tcPr>
            <w:tcW w:w="60" w:type="dxa"/>
            <w:vAlign w:val="bottom"/>
          </w:tcPr>
          <w:p>
            <w:pPr>
              <w:spacing w:after="0"/>
              <w:rPr>
                <w:sz w:val="10"/>
                <w:szCs w:val="10"/>
                <w:color w:val="auto"/>
              </w:rPr>
            </w:pPr>
          </w:p>
        </w:tc>
        <w:tc>
          <w:tcPr>
            <w:tcW w:w="240" w:type="dxa"/>
            <w:vAlign w:val="bottom"/>
          </w:tcPr>
          <w:p>
            <w:pPr>
              <w:jc w:val="right"/>
              <w:ind w:right="135"/>
              <w:spacing w:after="0"/>
              <w:rPr>
                <w:sz w:val="20"/>
                <w:szCs w:val="20"/>
                <w:color w:val="auto"/>
              </w:rPr>
            </w:pPr>
            <w:r>
              <w:rPr>
                <w:rFonts w:ascii="Arial" w:cs="Arial" w:eastAsia="Arial" w:hAnsi="Arial"/>
                <w:sz w:val="9"/>
                <w:szCs w:val="9"/>
                <w:color w:val="auto"/>
                <w:w w:val="78"/>
              </w:rPr>
              <w:t>$</w:t>
            </w:r>
          </w:p>
        </w:tc>
        <w:tc>
          <w:tcPr>
            <w:tcW w:w="960" w:type="dxa"/>
            <w:vAlign w:val="bottom"/>
          </w:tcPr>
          <w:p>
            <w:pPr>
              <w:jc w:val="right"/>
              <w:spacing w:after="0"/>
              <w:rPr>
                <w:sz w:val="20"/>
                <w:szCs w:val="20"/>
                <w:color w:val="auto"/>
              </w:rPr>
            </w:pPr>
            <w:r>
              <w:rPr>
                <w:rFonts w:ascii="Arial" w:cs="Arial" w:eastAsia="Arial" w:hAnsi="Arial"/>
                <w:sz w:val="9"/>
                <w:szCs w:val="9"/>
                <w:color w:val="auto"/>
              </w:rPr>
              <w:t>1,347.5</w:t>
            </w:r>
          </w:p>
        </w:tc>
        <w:tc>
          <w:tcPr>
            <w:tcW w:w="1100" w:type="dxa"/>
            <w:vAlign w:val="bottom"/>
            <w:tcBorders>
              <w:right w:val="single" w:sz="8" w:color="auto"/>
            </w:tcBorders>
            <w:gridSpan w:val="2"/>
          </w:tcPr>
          <w:p>
            <w:pPr>
              <w:jc w:val="right"/>
              <w:ind w:right="55"/>
              <w:spacing w:after="0"/>
              <w:rPr>
                <w:sz w:val="20"/>
                <w:szCs w:val="20"/>
                <w:color w:val="auto"/>
              </w:rPr>
            </w:pPr>
            <w:r>
              <w:rPr>
                <w:rFonts w:ascii="Arial" w:cs="Arial" w:eastAsia="Arial" w:hAnsi="Arial"/>
                <w:sz w:val="9"/>
                <w:szCs w:val="9"/>
                <w:color w:val="auto"/>
              </w:rPr>
              <w:t>3.4 %</w:t>
            </w:r>
          </w:p>
        </w:tc>
        <w:tc>
          <w:tcPr>
            <w:tcW w:w="60" w:type="dxa"/>
            <w:vAlign w:val="bottom"/>
          </w:tcPr>
          <w:p>
            <w:pPr>
              <w:spacing w:after="0"/>
              <w:rPr>
                <w:sz w:val="10"/>
                <w:szCs w:val="10"/>
                <w:color w:val="auto"/>
              </w:rPr>
            </w:pPr>
          </w:p>
        </w:tc>
        <w:tc>
          <w:tcPr>
            <w:tcW w:w="240" w:type="dxa"/>
            <w:vAlign w:val="bottom"/>
          </w:tcPr>
          <w:p>
            <w:pPr>
              <w:jc w:val="right"/>
              <w:ind w:right="135"/>
              <w:spacing w:after="0"/>
              <w:rPr>
                <w:sz w:val="20"/>
                <w:szCs w:val="20"/>
                <w:color w:val="auto"/>
              </w:rPr>
            </w:pPr>
            <w:r>
              <w:rPr>
                <w:rFonts w:ascii="Arial" w:cs="Arial" w:eastAsia="Arial" w:hAnsi="Arial"/>
                <w:sz w:val="9"/>
                <w:szCs w:val="9"/>
                <w:color w:val="auto"/>
                <w:w w:val="78"/>
              </w:rPr>
              <w:t>$</w:t>
            </w:r>
          </w:p>
        </w:tc>
        <w:tc>
          <w:tcPr>
            <w:tcW w:w="960" w:type="dxa"/>
            <w:vAlign w:val="bottom"/>
          </w:tcPr>
          <w:p>
            <w:pPr>
              <w:jc w:val="right"/>
              <w:spacing w:after="0"/>
              <w:rPr>
                <w:sz w:val="20"/>
                <w:szCs w:val="20"/>
                <w:color w:val="auto"/>
              </w:rPr>
            </w:pPr>
            <w:r>
              <w:rPr>
                <w:rFonts w:ascii="Arial" w:cs="Arial" w:eastAsia="Arial" w:hAnsi="Arial"/>
                <w:sz w:val="9"/>
                <w:szCs w:val="9"/>
                <w:color w:val="auto"/>
              </w:rPr>
              <w:t>1,357.4</w:t>
            </w:r>
          </w:p>
        </w:tc>
        <w:tc>
          <w:tcPr>
            <w:tcW w:w="80" w:type="dxa"/>
            <w:vAlign w:val="bottom"/>
          </w:tcPr>
          <w:p>
            <w:pPr>
              <w:spacing w:after="0"/>
              <w:rPr>
                <w:sz w:val="10"/>
                <w:szCs w:val="10"/>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9"/>
                <w:szCs w:val="9"/>
                <w:color w:val="auto"/>
              </w:rPr>
              <w:t>2.7 %</w:t>
            </w:r>
          </w:p>
        </w:tc>
      </w:tr>
      <w:tr>
        <w:trPr>
          <w:trHeight w:val="131"/>
        </w:trPr>
        <w:tc>
          <w:tcPr>
            <w:tcW w:w="5460" w:type="dxa"/>
            <w:vAlign w:val="bottom"/>
            <w:tcBorders>
              <w:left w:val="single" w:sz="8" w:color="auto"/>
            </w:tcBorders>
            <w:gridSpan w:val="3"/>
            <w:shd w:val="clear" w:color="auto" w:fill="CCEEFF"/>
          </w:tcPr>
          <w:p>
            <w:pPr>
              <w:ind w:left="20"/>
              <w:spacing w:after="0"/>
              <w:rPr>
                <w:sz w:val="20"/>
                <w:szCs w:val="20"/>
                <w:color w:val="auto"/>
              </w:rPr>
            </w:pPr>
            <w:r>
              <w:rPr>
                <w:rFonts w:ascii="Arial" w:cs="Arial" w:eastAsia="Arial" w:hAnsi="Arial"/>
                <w:sz w:val="9"/>
                <w:szCs w:val="9"/>
                <w:color w:val="auto"/>
              </w:rPr>
              <w:t>Ending assets under management</w:t>
            </w:r>
          </w:p>
        </w:tc>
        <w:tc>
          <w:tcPr>
            <w:tcW w:w="220" w:type="dxa"/>
            <w:vAlign w:val="bottom"/>
            <w:shd w:val="clear" w:color="auto" w:fill="CCEEFF"/>
          </w:tcPr>
          <w:p>
            <w:pPr>
              <w:jc w:val="right"/>
              <w:ind w:right="115"/>
              <w:spacing w:after="0"/>
              <w:rPr>
                <w:sz w:val="20"/>
                <w:szCs w:val="20"/>
                <w:color w:val="auto"/>
              </w:rPr>
            </w:pPr>
            <w:r>
              <w:rPr>
                <w:rFonts w:ascii="Arial" w:cs="Arial" w:eastAsia="Arial" w:hAnsi="Arial"/>
                <w:sz w:val="9"/>
                <w:szCs w:val="9"/>
                <w:color w:val="auto"/>
                <w:w w:val="78"/>
              </w:rPr>
              <w:t>$</w:t>
            </w: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1,346.5</w:t>
            </w: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5"/>
              <w:spacing w:after="0"/>
              <w:rPr>
                <w:sz w:val="20"/>
                <w:szCs w:val="20"/>
                <w:color w:val="auto"/>
              </w:rPr>
            </w:pPr>
            <w:r>
              <w:rPr>
                <w:rFonts w:ascii="Arial" w:cs="Arial" w:eastAsia="Arial" w:hAnsi="Arial"/>
                <w:sz w:val="9"/>
                <w:szCs w:val="9"/>
                <w:color w:val="auto"/>
                <w:w w:val="78"/>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9"/>
                <w:szCs w:val="9"/>
                <w:color w:val="auto"/>
              </w:rPr>
              <w:t>1,230.0</w:t>
            </w:r>
          </w:p>
        </w:tc>
        <w:tc>
          <w:tcPr>
            <w:tcW w:w="1100" w:type="dxa"/>
            <w:vAlign w:val="bottom"/>
            <w:tcBorders>
              <w:right w:val="single" w:sz="8" w:color="auto"/>
            </w:tcBorders>
            <w:gridSpan w:val="2"/>
            <w:shd w:val="clear" w:color="auto" w:fill="CCEEFF"/>
          </w:tcPr>
          <w:p>
            <w:pPr>
              <w:jc w:val="right"/>
              <w:ind w:right="55"/>
              <w:spacing w:after="0"/>
              <w:rPr>
                <w:sz w:val="20"/>
                <w:szCs w:val="20"/>
                <w:color w:val="auto"/>
              </w:rPr>
            </w:pPr>
            <w:r>
              <w:rPr>
                <w:rFonts w:ascii="Arial" w:cs="Arial" w:eastAsia="Arial" w:hAnsi="Arial"/>
                <w:sz w:val="9"/>
                <w:szCs w:val="9"/>
                <w:color w:val="auto"/>
              </w:rPr>
              <w:t>9.5 %</w:t>
            </w: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5"/>
              <w:spacing w:after="0"/>
              <w:rPr>
                <w:sz w:val="20"/>
                <w:szCs w:val="20"/>
                <w:color w:val="auto"/>
              </w:rPr>
            </w:pPr>
            <w:r>
              <w:rPr>
                <w:rFonts w:ascii="Arial" w:cs="Arial" w:eastAsia="Arial" w:hAnsi="Arial"/>
                <w:sz w:val="9"/>
                <w:szCs w:val="9"/>
                <w:color w:val="auto"/>
                <w:w w:val="78"/>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9"/>
                <w:szCs w:val="9"/>
                <w:color w:val="auto"/>
              </w:rPr>
              <w:t>1,399.4</w:t>
            </w:r>
          </w:p>
        </w:tc>
        <w:tc>
          <w:tcPr>
            <w:tcW w:w="80" w:type="dxa"/>
            <w:vAlign w:val="bottom"/>
            <w:shd w:val="clear" w:color="auto" w:fill="CCEEFF"/>
          </w:tcPr>
          <w:p>
            <w:pPr>
              <w:spacing w:after="0"/>
              <w:rPr>
                <w:sz w:val="11"/>
                <w:szCs w:val="11"/>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(3.8)%</w:t>
            </w:r>
          </w:p>
        </w:tc>
      </w:tr>
      <w:tr>
        <w:trPr>
          <w:trHeight w:val="36"/>
        </w:trPr>
        <w:tc>
          <w:tcPr>
            <w:tcW w:w="720" w:type="dxa"/>
            <w:vAlign w:val="bottom"/>
            <w:tcBorders>
              <w:left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4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r>
      <w:tr>
        <w:trPr>
          <w:trHeight w:val="121"/>
        </w:trPr>
        <w:tc>
          <w:tcPr>
            <w:tcW w:w="5460" w:type="dxa"/>
            <w:vAlign w:val="bottom"/>
            <w:tcBorders>
              <w:left w:val="single" w:sz="8" w:color="auto"/>
              <w:bottom w:val="single" w:sz="8" w:color="auto"/>
            </w:tcBorders>
            <w:gridSpan w:val="3"/>
            <w:shd w:val="clear" w:color="auto" w:fill="CCEEFF"/>
          </w:tcPr>
          <w:p>
            <w:pPr>
              <w:ind w:left="20"/>
              <w:spacing w:after="0"/>
              <w:rPr>
                <w:sz w:val="20"/>
                <w:szCs w:val="20"/>
                <w:color w:val="auto"/>
              </w:rPr>
            </w:pPr>
            <w:r>
              <w:rPr>
                <w:rFonts w:ascii="Arial" w:cs="Arial" w:eastAsia="Arial" w:hAnsi="Arial"/>
                <w:sz w:val="9"/>
                <w:szCs w:val="9"/>
                <w:color w:val="auto"/>
              </w:rPr>
              <w:t>Investment advisory effective fee rate (bps)</w:t>
            </w:r>
          </w:p>
        </w:tc>
        <w:tc>
          <w:tcPr>
            <w:tcW w:w="220" w:type="dxa"/>
            <w:vAlign w:val="bottom"/>
            <w:tcBorders>
              <w:bottom w:val="single" w:sz="8" w:color="auto"/>
            </w:tcBorders>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rPr>
              <w:t>41.7</w:t>
            </w:r>
          </w:p>
        </w:tc>
        <w:tc>
          <w:tcPr>
            <w:tcW w:w="60" w:type="dxa"/>
            <w:vAlign w:val="bottom"/>
            <w:tcBorders>
              <w:bottom w:val="single" w:sz="8" w:color="auto"/>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42.5</w:t>
            </w:r>
          </w:p>
        </w:tc>
        <w:tc>
          <w:tcPr>
            <w:tcW w:w="1100" w:type="dxa"/>
            <w:vAlign w:val="bottom"/>
            <w:tcBorders>
              <w:bottom w:val="single" w:sz="8" w:color="auto"/>
              <w:right w:val="single" w:sz="8" w:color="auto"/>
            </w:tcBorders>
            <w:gridSpan w:val="2"/>
            <w:shd w:val="clear" w:color="auto" w:fill="CCEEFF"/>
          </w:tcPr>
          <w:p>
            <w:pPr>
              <w:jc w:val="right"/>
              <w:ind w:right="55"/>
              <w:spacing w:after="0"/>
              <w:rPr>
                <w:sz w:val="20"/>
                <w:szCs w:val="20"/>
                <w:color w:val="auto"/>
              </w:rPr>
            </w:pPr>
            <w:r>
              <w:rPr>
                <w:rFonts w:ascii="Arial" w:cs="Arial" w:eastAsia="Arial" w:hAnsi="Arial"/>
                <w:sz w:val="9"/>
                <w:szCs w:val="9"/>
                <w:color w:val="auto"/>
              </w:rPr>
              <w:t>(1.9)%</w:t>
            </w:r>
          </w:p>
        </w:tc>
        <w:tc>
          <w:tcPr>
            <w:tcW w:w="60" w:type="dxa"/>
            <w:vAlign w:val="bottom"/>
            <w:tcBorders>
              <w:bottom w:val="single" w:sz="8" w:color="auto"/>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42.3</w:t>
            </w:r>
          </w:p>
        </w:tc>
        <w:tc>
          <w:tcPr>
            <w:tcW w:w="80" w:type="dxa"/>
            <w:vAlign w:val="bottom"/>
            <w:tcBorders>
              <w:bottom w:val="single" w:sz="8" w:color="auto"/>
            </w:tcBorders>
            <w:shd w:val="clear" w:color="auto" w:fill="CCEEFF"/>
          </w:tcPr>
          <w:p>
            <w:pPr>
              <w:spacing w:after="0"/>
              <w:rPr>
                <w:sz w:val="10"/>
                <w:szCs w:val="10"/>
                <w:color w:val="auto"/>
              </w:rPr>
            </w:pP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(1.4)%</w:t>
            </w:r>
          </w:p>
        </w:tc>
      </w:tr>
    </w:tbl>
    <w:p>
      <w:pPr>
        <w:spacing w:after="0" w:line="34" w:lineRule="exact"/>
        <w:rPr>
          <w:sz w:val="20"/>
          <w:szCs w:val="20"/>
          <w:color w:val="auto"/>
        </w:rPr>
      </w:pPr>
    </w:p>
    <w:p>
      <w:pPr>
        <w:ind w:left="88" w:hanging="88"/>
        <w:spacing w:after="0"/>
        <w:tabs>
          <w:tab w:leader="none" w:pos="88" w:val="left"/>
        </w:tabs>
        <w:numPr>
          <w:ilvl w:val="0"/>
          <w:numId w:val="3"/>
        </w:numPr>
        <w:rPr>
          <w:rFonts w:ascii="Arial" w:cs="Arial" w:eastAsia="Arial" w:hAnsi="Arial"/>
          <w:sz w:val="10"/>
          <w:szCs w:val="10"/>
          <w:i w:val="1"/>
          <w:iCs w:val="1"/>
          <w:color w:val="auto"/>
          <w:vertAlign w:val="superscript"/>
        </w:rPr>
      </w:pPr>
      <w:r>
        <w:rPr>
          <w:rFonts w:ascii="Arial" w:cs="Arial" w:eastAsia="Arial" w:hAnsi="Arial"/>
          <w:sz w:val="8"/>
          <w:szCs w:val="8"/>
          <w:i w:val="1"/>
          <w:iCs w:val="1"/>
          <w:color w:val="auto"/>
        </w:rPr>
        <w:t>Capital allocation-based income represents the change in accrued carried interest.</w:t>
      </w:r>
    </w:p>
    <w:p>
      <w:pPr>
        <w:ind w:left="88" w:hanging="88"/>
        <w:spacing w:after="0" w:line="208" w:lineRule="auto"/>
        <w:tabs>
          <w:tab w:leader="none" w:pos="88" w:val="left"/>
        </w:tabs>
        <w:numPr>
          <w:ilvl w:val="0"/>
          <w:numId w:val="3"/>
        </w:numPr>
        <w:rPr>
          <w:rFonts w:ascii="Arial" w:cs="Arial" w:eastAsia="Arial" w:hAnsi="Arial"/>
          <w:sz w:val="10"/>
          <w:szCs w:val="10"/>
          <w:i w:val="1"/>
          <w:iCs w:val="1"/>
          <w:color w:val="auto"/>
          <w:vertAlign w:val="superscript"/>
        </w:rPr>
      </w:pPr>
      <w:r>
        <w:rPr>
          <w:rFonts w:ascii="Arial" w:cs="Arial" w:eastAsia="Arial" w:hAnsi="Arial"/>
          <w:sz w:val="8"/>
          <w:szCs w:val="8"/>
          <w:i w:val="1"/>
          <w:iCs w:val="1"/>
          <w:color w:val="auto"/>
        </w:rPr>
        <w:t>The percentage change is not meaningful (n/m).</w:t>
      </w:r>
    </w:p>
    <w:p>
      <w:pPr>
        <w:spacing w:after="0" w:line="8" w:lineRule="exact"/>
        <w:rPr>
          <w:rFonts w:ascii="Arial" w:cs="Arial" w:eastAsia="Arial" w:hAnsi="Arial"/>
          <w:sz w:val="10"/>
          <w:szCs w:val="10"/>
          <w:i w:val="1"/>
          <w:iCs w:val="1"/>
          <w:color w:val="auto"/>
          <w:vertAlign w:val="superscript"/>
        </w:rPr>
      </w:pPr>
    </w:p>
    <w:p>
      <w:pPr>
        <w:ind w:left="88" w:hanging="88"/>
        <w:spacing w:after="0" w:line="208" w:lineRule="auto"/>
        <w:tabs>
          <w:tab w:leader="none" w:pos="88" w:val="left"/>
        </w:tabs>
        <w:numPr>
          <w:ilvl w:val="0"/>
          <w:numId w:val="3"/>
        </w:numPr>
        <w:rPr>
          <w:rFonts w:ascii="Arial" w:cs="Arial" w:eastAsia="Arial" w:hAnsi="Arial"/>
          <w:sz w:val="10"/>
          <w:szCs w:val="10"/>
          <w:i w:val="1"/>
          <w:iCs w:val="1"/>
          <w:color w:val="auto"/>
          <w:vertAlign w:val="superscript"/>
        </w:rPr>
      </w:pPr>
      <w:r>
        <w:rPr>
          <w:rFonts w:ascii="Arial" w:cs="Arial" w:eastAsia="Arial" w:hAnsi="Arial"/>
          <w:sz w:val="8"/>
          <w:szCs w:val="8"/>
          <w:i w:val="1"/>
          <w:iCs w:val="1"/>
          <w:color w:val="auto"/>
        </w:rPr>
        <w:t>See the reconciliation to the comparable U.S. GAAP measures at the end of this earnings release.</w:t>
      </w:r>
    </w:p>
    <w:p>
      <w:pPr>
        <w:spacing w:after="0" w:line="17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308"/>
          </w:cols>
          <w:pgMar w:left="292" w:top="1440" w:right="299" w:bottom="1440" w:gutter="0" w:footer="0" w:header="0"/>
        </w:sectPr>
      </w:pPr>
    </w:p>
    <w:bookmarkStart w:id="3" w:name="page4"/>
    <w:bookmarkEnd w:id="3"/>
    <w:p>
      <w:pPr>
        <w:ind w:left="8"/>
        <w:spacing w:after="0"/>
        <w:rPr>
          <w:sz w:val="20"/>
          <w:szCs w:val="20"/>
          <w:color w:val="auto"/>
        </w:rPr>
      </w:pPr>
      <w:r>
        <w:rPr>
          <w:rFonts w:ascii="Arial" w:cs="Arial" w:eastAsia="Arial" w:hAnsi="Arial"/>
          <w:sz w:val="12"/>
          <w:szCs w:val="12"/>
          <w:b w:val="1"/>
          <w:bCs w:val="1"/>
          <w:color w:val="auto"/>
        </w:rPr>
        <w:t>Assets Under Management</w:t>
      </w:r>
    </w:p>
    <w:p>
      <w:pPr>
        <w:spacing w:after="0" w:line="75" w:lineRule="exact"/>
        <w:rPr>
          <w:sz w:val="20"/>
          <w:szCs w:val="20"/>
          <w:color w:val="auto"/>
        </w:rPr>
      </w:pPr>
    </w:p>
    <w:p>
      <w:pPr>
        <w:ind w:left="8"/>
        <w:spacing w:after="0"/>
        <w:rPr>
          <w:sz w:val="20"/>
          <w:szCs w:val="20"/>
          <w:color w:val="auto"/>
        </w:rPr>
      </w:pPr>
      <w:r>
        <w:rPr>
          <w:rFonts w:ascii="Arial" w:cs="Arial" w:eastAsia="Arial" w:hAnsi="Arial"/>
          <w:sz w:val="12"/>
          <w:szCs w:val="12"/>
          <w:color w:val="auto"/>
        </w:rPr>
        <w:t>During Q3 2023, assets under management (AUM) decreased $52.9 billion to $1.35 trillion. The components of the change in AUM, by asset class, are shown in the table below.</w:t>
      </w:r>
    </w:p>
    <w:p>
      <w:pPr>
        <w:spacing w:after="0" w:line="123" w:lineRule="exact"/>
        <w:rPr>
          <w:sz w:val="20"/>
          <w:szCs w:val="20"/>
          <w:color w:val="auto"/>
        </w:rPr>
      </w:pPr>
    </w:p>
    <w:tbl>
      <w:tblPr>
        <w:tblLayout w:type="fixed"/>
        <w:tblInd w:w="148" w:type="dxa"/>
        <w:tblCellMar>
          <w:top w:w="0" w:type="dxa"/>
          <w:left w:w="0" w:type="dxa"/>
          <w:bottom w:w="0" w:type="dxa"/>
          <w:right w:w="0" w:type="dxa"/>
        </w:tblCellMar>
      </w:tblPr>
      <w:tr>
        <w:trPr>
          <w:trHeight w:val="135"/>
        </w:trPr>
        <w:tc>
          <w:tcPr>
            <w:tcW w:w="46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2380" w:type="dxa"/>
            <w:vAlign w:val="bottom"/>
            <w:tcBorders>
              <w:bottom w:val="single" w:sz="8" w:color="auto"/>
            </w:tcBorders>
            <w:gridSpan w:val="5"/>
            <w:shd w:val="clear" w:color="auto" w:fill="CCEEFF"/>
          </w:tcPr>
          <w:p>
            <w:pPr>
              <w:ind w:left="1020"/>
              <w:spacing w:after="0"/>
              <w:rPr>
                <w:sz w:val="20"/>
                <w:szCs w:val="20"/>
                <w:color w:val="auto"/>
              </w:rPr>
            </w:pPr>
            <w:r>
              <w:rPr>
                <w:rFonts w:ascii="Arial" w:cs="Arial" w:eastAsia="Arial" w:hAnsi="Arial"/>
                <w:sz w:val="10"/>
                <w:szCs w:val="10"/>
                <w:color w:val="auto"/>
                <w:w w:val="95"/>
              </w:rPr>
              <w:t>Three months ended 9/30/2023</w:t>
            </w:r>
          </w:p>
        </w:tc>
        <w:tc>
          <w:tcPr>
            <w:tcW w:w="18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620" w:type="dxa"/>
            <w:vAlign w:val="bottom"/>
            <w:vMerge w:val="restart"/>
          </w:tcPr>
          <w:p>
            <w:pPr>
              <w:spacing w:after="0"/>
              <w:rPr>
                <w:sz w:val="20"/>
                <w:szCs w:val="20"/>
                <w:color w:val="auto"/>
              </w:rPr>
            </w:pPr>
            <w:r>
              <w:rPr>
                <w:rFonts w:ascii="Arial" w:cs="Arial" w:eastAsia="Arial" w:hAnsi="Arial"/>
                <w:sz w:val="10"/>
                <w:szCs w:val="10"/>
                <w:color w:val="auto"/>
              </w:rPr>
              <w:t>(in billions)</w:t>
            </w:r>
          </w:p>
        </w:tc>
        <w:tc>
          <w:tcPr>
            <w:tcW w:w="240" w:type="dxa"/>
            <w:vAlign w:val="bottom"/>
          </w:tcPr>
          <w:p>
            <w:pPr>
              <w:spacing w:after="0"/>
              <w:rPr>
                <w:sz w:val="8"/>
                <w:szCs w:val="8"/>
                <w:color w:val="auto"/>
              </w:rPr>
            </w:pPr>
          </w:p>
        </w:tc>
        <w:tc>
          <w:tcPr>
            <w:tcW w:w="940" w:type="dxa"/>
            <w:vAlign w:val="bottom"/>
            <w:gridSpan w:val="2"/>
            <w:vMerge w:val="restart"/>
          </w:tcPr>
          <w:p>
            <w:pPr>
              <w:ind w:left="180"/>
              <w:spacing w:after="0"/>
              <w:rPr>
                <w:sz w:val="20"/>
                <w:szCs w:val="20"/>
                <w:color w:val="auto"/>
              </w:rPr>
            </w:pPr>
            <w:r>
              <w:rPr>
                <w:rFonts w:ascii="Arial" w:cs="Arial" w:eastAsia="Arial" w:hAnsi="Arial"/>
                <w:sz w:val="10"/>
                <w:szCs w:val="10"/>
                <w:color w:val="auto"/>
              </w:rPr>
              <w:t>Equity</w:t>
            </w:r>
          </w:p>
        </w:tc>
        <w:tc>
          <w:tcPr>
            <w:tcW w:w="1520" w:type="dxa"/>
            <w:vAlign w:val="bottom"/>
            <w:gridSpan w:val="3"/>
          </w:tcPr>
          <w:p>
            <w:pPr>
              <w:jc w:val="center"/>
              <w:ind w:right="80"/>
              <w:spacing w:after="0" w:line="94" w:lineRule="exact"/>
              <w:rPr>
                <w:sz w:val="20"/>
                <w:szCs w:val="20"/>
                <w:color w:val="auto"/>
              </w:rPr>
            </w:pPr>
            <w:r>
              <w:rPr>
                <w:rFonts w:ascii="Arial" w:cs="Arial" w:eastAsia="Arial" w:hAnsi="Arial"/>
                <w:sz w:val="10"/>
                <w:szCs w:val="10"/>
                <w:color w:val="auto"/>
                <w:w w:val="96"/>
              </w:rPr>
              <w:t>Fixed income, including money</w:t>
            </w:r>
          </w:p>
        </w:tc>
        <w:tc>
          <w:tcPr>
            <w:tcW w:w="180" w:type="dxa"/>
            <w:vAlign w:val="bottom"/>
          </w:tcPr>
          <w:p>
            <w:pPr>
              <w:spacing w:after="0"/>
              <w:rPr>
                <w:sz w:val="8"/>
                <w:szCs w:val="8"/>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0"/>
                <w:szCs w:val="10"/>
                <w:color w:val="auto"/>
              </w:rPr>
              <w:t>Multi-asset</w:t>
            </w:r>
            <w:r>
              <w:rPr>
                <w:rFonts w:ascii="Arial" w:cs="Arial" w:eastAsia="Arial" w:hAnsi="Arial"/>
                <w:sz w:val="12"/>
                <w:szCs w:val="12"/>
                <w:color w:val="auto"/>
                <w:vertAlign w:val="superscript"/>
              </w:rPr>
              <w:t>(1)</w:t>
            </w:r>
          </w:p>
        </w:tc>
        <w:tc>
          <w:tcPr>
            <w:tcW w:w="180" w:type="dxa"/>
            <w:vAlign w:val="bottom"/>
          </w:tcPr>
          <w:p>
            <w:pPr>
              <w:spacing w:after="0"/>
              <w:rPr>
                <w:sz w:val="8"/>
                <w:szCs w:val="8"/>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0"/>
                <w:szCs w:val="10"/>
                <w:color w:val="auto"/>
              </w:rPr>
              <w:t>Alternatives</w:t>
            </w:r>
            <w:r>
              <w:rPr>
                <w:rFonts w:ascii="Arial" w:cs="Arial" w:eastAsia="Arial" w:hAnsi="Arial"/>
                <w:sz w:val="12"/>
                <w:szCs w:val="12"/>
                <w:color w:val="auto"/>
                <w:vertAlign w:val="superscript"/>
              </w:rPr>
              <w:t>(2)</w:t>
            </w:r>
          </w:p>
        </w:tc>
        <w:tc>
          <w:tcPr>
            <w:tcW w:w="300" w:type="dxa"/>
            <w:vAlign w:val="bottom"/>
          </w:tcPr>
          <w:p>
            <w:pPr>
              <w:spacing w:after="0"/>
              <w:rPr>
                <w:sz w:val="8"/>
                <w:szCs w:val="8"/>
                <w:color w:val="auto"/>
              </w:rPr>
            </w:pPr>
          </w:p>
        </w:tc>
        <w:tc>
          <w:tcPr>
            <w:tcW w:w="960" w:type="dxa"/>
            <w:vAlign w:val="bottom"/>
            <w:vMerge w:val="restart"/>
          </w:tcPr>
          <w:p>
            <w:pPr>
              <w:jc w:val="right"/>
              <w:ind w:right="487"/>
              <w:spacing w:after="0"/>
              <w:rPr>
                <w:sz w:val="20"/>
                <w:szCs w:val="20"/>
                <w:color w:val="auto"/>
              </w:rPr>
            </w:pPr>
            <w:r>
              <w:rPr>
                <w:rFonts w:ascii="Arial" w:cs="Arial" w:eastAsia="Arial" w:hAnsi="Arial"/>
                <w:sz w:val="10"/>
                <w:szCs w:val="10"/>
                <w:color w:val="auto"/>
              </w:rPr>
              <w:t>Total</w:t>
            </w:r>
          </w:p>
        </w:tc>
        <w:tc>
          <w:tcPr>
            <w:tcW w:w="0" w:type="dxa"/>
            <w:vAlign w:val="bottom"/>
          </w:tcPr>
          <w:p>
            <w:pPr>
              <w:spacing w:after="0"/>
              <w:rPr>
                <w:sz w:val="1"/>
                <w:szCs w:val="1"/>
                <w:color w:val="auto"/>
              </w:rPr>
            </w:pPr>
          </w:p>
        </w:tc>
      </w:tr>
      <w:tr>
        <w:trPr>
          <w:trHeight w:val="120"/>
        </w:trPr>
        <w:tc>
          <w:tcPr>
            <w:tcW w:w="46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0"/>
                <w:szCs w:val="10"/>
                <w:color w:val="auto"/>
                <w:w w:val="91"/>
              </w:rPr>
              <w:t>market</w:t>
            </w:r>
          </w:p>
        </w:tc>
        <w:tc>
          <w:tcPr>
            <w:tcW w:w="1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color w:val="auto"/>
              </w:rPr>
              <w:t>Assets under management at beginning of period</w:t>
            </w:r>
          </w:p>
        </w:tc>
        <w:tc>
          <w:tcPr>
            <w:tcW w:w="24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732.2</w:t>
            </w:r>
          </w:p>
        </w:tc>
        <w:tc>
          <w:tcPr>
            <w:tcW w:w="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1"/>
                <w:szCs w:val="11"/>
                <w:color w:val="auto"/>
                <w:w w:val="97"/>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169.3</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453.2</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44.7</w:t>
            </w:r>
          </w:p>
        </w:tc>
        <w:tc>
          <w:tcPr>
            <w:tcW w:w="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1,399.4</w:t>
            </w:r>
          </w:p>
        </w:tc>
        <w:tc>
          <w:tcPr>
            <w:tcW w:w="0" w:type="dxa"/>
            <w:vAlign w:val="bottom"/>
          </w:tcPr>
          <w:p>
            <w:pPr>
              <w:spacing w:after="0"/>
              <w:rPr>
                <w:sz w:val="1"/>
                <w:szCs w:val="1"/>
                <w:color w:val="auto"/>
              </w:rPr>
            </w:pPr>
          </w:p>
        </w:tc>
      </w:tr>
      <w:tr>
        <w:trPr>
          <w:trHeight w:val="45"/>
        </w:trPr>
        <w:tc>
          <w:tcPr>
            <w:tcW w:w="4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4620" w:type="dxa"/>
            <w:vAlign w:val="bottom"/>
            <w:shd w:val="clear" w:color="auto" w:fill="CCEEFF"/>
          </w:tcPr>
          <w:p>
            <w:pPr>
              <w:spacing w:after="0" w:line="144" w:lineRule="exact"/>
              <w:rPr>
                <w:sz w:val="20"/>
                <w:szCs w:val="20"/>
                <w:color w:val="auto"/>
              </w:rPr>
            </w:pPr>
            <w:r>
              <w:rPr>
                <w:rFonts w:ascii="Arial" w:cs="Arial" w:eastAsia="Arial" w:hAnsi="Arial"/>
                <w:sz w:val="11"/>
                <w:szCs w:val="11"/>
                <w:color w:val="auto"/>
              </w:rPr>
              <w:t>Net cash flows</w:t>
            </w:r>
            <w:r>
              <w:rPr>
                <w:rFonts w:ascii="Arial" w:cs="Arial" w:eastAsia="Arial" w:hAnsi="Arial"/>
                <w:sz w:val="14"/>
                <w:szCs w:val="14"/>
                <w:color w:val="auto"/>
                <w:vertAlign w:val="superscript"/>
              </w:rPr>
              <w:t>(3)</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(19.7)</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0.9</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w:t>
            </w:r>
          </w:p>
        </w:tc>
        <w:tc>
          <w:tcPr>
            <w:tcW w:w="0" w:type="dxa"/>
            <w:vAlign w:val="bottom"/>
          </w:tcPr>
          <w:p>
            <w:pPr>
              <w:spacing w:after="0"/>
              <w:rPr>
                <w:sz w:val="1"/>
                <w:szCs w:val="1"/>
                <w:color w:val="auto"/>
              </w:rPr>
            </w:pPr>
          </w:p>
        </w:tc>
      </w:tr>
      <w:tr>
        <w:trPr>
          <w:trHeight w:val="144"/>
        </w:trPr>
        <w:tc>
          <w:tcPr>
            <w:tcW w:w="4620" w:type="dxa"/>
            <w:vAlign w:val="bottom"/>
            <w:tcBorders>
              <w:bottom w:val="single" w:sz="8" w:color="CCEEFF"/>
            </w:tcBorders>
          </w:tcPr>
          <w:p>
            <w:pPr>
              <w:spacing w:after="0" w:line="144" w:lineRule="exact"/>
              <w:rPr>
                <w:sz w:val="20"/>
                <w:szCs w:val="20"/>
                <w:color w:val="auto"/>
              </w:rPr>
            </w:pPr>
            <w:r>
              <w:rPr>
                <w:rFonts w:ascii="Arial" w:cs="Arial" w:eastAsia="Arial" w:hAnsi="Arial"/>
                <w:sz w:val="11"/>
                <w:szCs w:val="11"/>
                <w:color w:val="auto"/>
              </w:rPr>
              <w:t>Net market appreciation (depreciation) and gains (losses)</w:t>
            </w:r>
            <w:r>
              <w:rPr>
                <w:rFonts w:ascii="Arial" w:cs="Arial" w:eastAsia="Arial" w:hAnsi="Arial"/>
                <w:sz w:val="14"/>
                <w:szCs w:val="14"/>
                <w:color w:val="auto"/>
                <w:vertAlign w:val="superscript"/>
              </w:rPr>
              <w:t>(4)</w:t>
            </w: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(22.5)</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(13.1)</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(35.5)</w:t>
            </w:r>
          </w:p>
        </w:tc>
        <w:tc>
          <w:tcPr>
            <w:tcW w:w="0" w:type="dxa"/>
            <w:vAlign w:val="bottom"/>
          </w:tcPr>
          <w:p>
            <w:pPr>
              <w:spacing w:after="0"/>
              <w:rPr>
                <w:sz w:val="1"/>
                <w:szCs w:val="1"/>
                <w:color w:val="auto"/>
              </w:rPr>
            </w:pPr>
          </w:p>
        </w:tc>
      </w:tr>
      <w:tr>
        <w:trPr>
          <w:trHeight w:val="131"/>
        </w:trPr>
        <w:tc>
          <w:tcPr>
            <w:tcW w:w="4620" w:type="dxa"/>
            <w:vAlign w:val="bottom"/>
            <w:shd w:val="clear" w:color="auto" w:fill="CCEEFF"/>
          </w:tcPr>
          <w:p>
            <w:pPr>
              <w:spacing w:after="0"/>
              <w:rPr>
                <w:sz w:val="20"/>
                <w:szCs w:val="20"/>
                <w:color w:val="auto"/>
              </w:rPr>
            </w:pPr>
            <w:r>
              <w:rPr>
                <w:rFonts w:ascii="Arial" w:cs="Arial" w:eastAsia="Arial" w:hAnsi="Arial"/>
                <w:sz w:val="11"/>
                <w:szCs w:val="11"/>
                <w:color w:val="auto"/>
              </w:rPr>
              <w:t>Change during the period</w:t>
            </w: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(42.2)</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(52.9)</w:t>
            </w:r>
          </w:p>
        </w:tc>
        <w:tc>
          <w:tcPr>
            <w:tcW w:w="0" w:type="dxa"/>
            <w:vAlign w:val="bottom"/>
          </w:tcPr>
          <w:p>
            <w:pPr>
              <w:spacing w:after="0"/>
              <w:rPr>
                <w:sz w:val="1"/>
                <w:szCs w:val="1"/>
                <w:color w:val="auto"/>
              </w:rPr>
            </w:pPr>
          </w:p>
        </w:tc>
      </w:tr>
      <w:tr>
        <w:trPr>
          <w:trHeight w:val="135"/>
        </w:trPr>
        <w:tc>
          <w:tcPr>
            <w:tcW w:w="4620" w:type="dxa"/>
            <w:vAlign w:val="bottom"/>
          </w:tcPr>
          <w:p>
            <w:pPr>
              <w:spacing w:after="0"/>
              <w:rPr>
                <w:sz w:val="20"/>
                <w:szCs w:val="20"/>
                <w:color w:val="auto"/>
              </w:rPr>
            </w:pPr>
            <w:r>
              <w:rPr>
                <w:rFonts w:ascii="Arial" w:cs="Arial" w:eastAsia="Arial" w:hAnsi="Arial"/>
                <w:sz w:val="11"/>
                <w:szCs w:val="11"/>
                <w:color w:val="auto"/>
              </w:rPr>
              <w:t>Assets under management at September 30, 2023</w:t>
            </w:r>
          </w:p>
        </w:tc>
        <w:tc>
          <w:tcPr>
            <w:tcW w:w="24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690.0</w:t>
            </w:r>
          </w:p>
        </w:tc>
        <w:tc>
          <w:tcPr>
            <w:tcW w:w="80" w:type="dxa"/>
            <w:vAlign w:val="bottom"/>
          </w:tcPr>
          <w:p>
            <w:pPr>
              <w:spacing w:after="0"/>
              <w:rPr>
                <w:sz w:val="11"/>
                <w:szCs w:val="11"/>
                <w:color w:val="auto"/>
              </w:rPr>
            </w:pPr>
          </w:p>
        </w:tc>
        <w:tc>
          <w:tcPr>
            <w:tcW w:w="32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1"/>
                <w:szCs w:val="11"/>
                <w:color w:val="auto"/>
                <w:w w:val="97"/>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169.3</w:t>
            </w:r>
          </w:p>
        </w:tc>
        <w:tc>
          <w:tcPr>
            <w:tcW w:w="80" w:type="dxa"/>
            <w:vAlign w:val="bottom"/>
          </w:tcPr>
          <w:p>
            <w:pPr>
              <w:spacing w:after="0"/>
              <w:rPr>
                <w:sz w:val="11"/>
                <w:szCs w:val="11"/>
                <w:color w:val="auto"/>
              </w:rPr>
            </w:pPr>
          </w:p>
        </w:tc>
        <w:tc>
          <w:tcPr>
            <w:tcW w:w="1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440.5</w:t>
            </w:r>
          </w:p>
        </w:tc>
        <w:tc>
          <w:tcPr>
            <w:tcW w:w="80" w:type="dxa"/>
            <w:vAlign w:val="bottom"/>
          </w:tcPr>
          <w:p>
            <w:pPr>
              <w:spacing w:after="0"/>
              <w:rPr>
                <w:sz w:val="11"/>
                <w:szCs w:val="11"/>
                <w:color w:val="auto"/>
              </w:rPr>
            </w:pPr>
          </w:p>
        </w:tc>
        <w:tc>
          <w:tcPr>
            <w:tcW w:w="1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46.7</w:t>
            </w:r>
          </w:p>
        </w:tc>
        <w:tc>
          <w:tcPr>
            <w:tcW w:w="80" w:type="dxa"/>
            <w:vAlign w:val="bottom"/>
          </w:tcPr>
          <w:p>
            <w:pPr>
              <w:spacing w:after="0"/>
              <w:rPr>
                <w:sz w:val="11"/>
                <w:szCs w:val="11"/>
                <w:color w:val="auto"/>
              </w:rPr>
            </w:pPr>
          </w:p>
        </w:tc>
        <w:tc>
          <w:tcPr>
            <w:tcW w:w="30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1,346.5</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 w:lineRule="exact"/>
        <w:rPr>
          <w:sz w:val="20"/>
          <w:szCs w:val="20"/>
          <w:color w:val="auto"/>
        </w:rPr>
      </w:pPr>
    </w:p>
    <w:p>
      <w:pPr>
        <w:ind w:left="148" w:hanging="148"/>
        <w:spacing w:after="0"/>
        <w:tabs>
          <w:tab w:leader="none" w:pos="148" w:val="left"/>
        </w:tabs>
        <w:numPr>
          <w:ilvl w:val="0"/>
          <w:numId w:val="4"/>
        </w:numPr>
        <w:rPr>
          <w:rFonts w:ascii="Arial" w:cs="Arial" w:eastAsia="Arial" w:hAnsi="Arial"/>
          <w:sz w:val="11"/>
          <w:szCs w:val="11"/>
          <w:i w:val="1"/>
          <w:iCs w:val="1"/>
          <w:color w:val="auto"/>
          <w:vertAlign w:val="superscript"/>
        </w:rPr>
      </w:pPr>
      <w:r>
        <w:rPr>
          <w:rFonts w:ascii="Arial" w:cs="Arial" w:eastAsia="Arial" w:hAnsi="Arial"/>
          <w:sz w:val="8"/>
          <w:szCs w:val="8"/>
          <w:i w:val="1"/>
          <w:iCs w:val="1"/>
          <w:color w:val="auto"/>
        </w:rPr>
        <w:t>The underlying AUM of the multi-asset portfolios have been aggregated and presented in this category and not reported in the equity and fixed income columns.</w:t>
      </w:r>
    </w:p>
    <w:p>
      <w:pPr>
        <w:ind w:left="108" w:hanging="108"/>
        <w:spacing w:after="0" w:line="229" w:lineRule="auto"/>
        <w:tabs>
          <w:tab w:leader="none" w:pos="82" w:val="left"/>
        </w:tabs>
        <w:numPr>
          <w:ilvl w:val="0"/>
          <w:numId w:val="4"/>
        </w:numPr>
        <w:rPr>
          <w:rFonts w:ascii="Arial" w:cs="Arial" w:eastAsia="Arial" w:hAnsi="Arial"/>
          <w:sz w:val="10"/>
          <w:szCs w:val="10"/>
          <w:i w:val="1"/>
          <w:iCs w:val="1"/>
          <w:color w:val="auto"/>
          <w:vertAlign w:val="superscript"/>
        </w:rPr>
      </w:pPr>
      <w:r>
        <w:rPr>
          <w:rFonts w:ascii="Arial" w:cs="Arial" w:eastAsia="Arial" w:hAnsi="Arial"/>
          <w:sz w:val="8"/>
          <w:szCs w:val="8"/>
          <w:i w:val="1"/>
          <w:iCs w:val="1"/>
          <w:color w:val="auto"/>
        </w:rPr>
        <w:t>The alternatives asset class includes strategies authorized to invest more than 50% of its holdings in private credit, leveraged loans, mezzanine, real assets/CRE, structured products, stressed/distressed, non-investment grade CLOs, special situations, business development companies, or that have absolute return as its investment objective. Generally, only those strategies with longer than daily liquidity are included. Unfunded capital commitments as of September 30, 2023 were</w:t>
      </w:r>
    </w:p>
    <w:p>
      <w:pPr>
        <w:ind w:left="108"/>
        <w:spacing w:after="0"/>
        <w:rPr>
          <w:rFonts w:ascii="Arial" w:cs="Arial" w:eastAsia="Arial" w:hAnsi="Arial"/>
          <w:sz w:val="10"/>
          <w:szCs w:val="10"/>
          <w:i w:val="1"/>
          <w:iCs w:val="1"/>
          <w:color w:val="auto"/>
          <w:vertAlign w:val="superscript"/>
        </w:rPr>
      </w:pPr>
      <w:r>
        <w:rPr>
          <w:rFonts w:ascii="Arial" w:cs="Arial" w:eastAsia="Arial" w:hAnsi="Arial"/>
          <w:sz w:val="8"/>
          <w:szCs w:val="8"/>
          <w:i w:val="1"/>
          <w:iCs w:val="1"/>
          <w:color w:val="auto"/>
        </w:rPr>
        <w:t>$12.3 billion and are not reflected in fee basis AUM above.</w:t>
      </w:r>
    </w:p>
    <w:p>
      <w:pPr>
        <w:spacing w:after="0" w:line="7" w:lineRule="exact"/>
        <w:rPr>
          <w:rFonts w:ascii="Arial" w:cs="Arial" w:eastAsia="Arial" w:hAnsi="Arial"/>
          <w:sz w:val="10"/>
          <w:szCs w:val="10"/>
          <w:i w:val="1"/>
          <w:iCs w:val="1"/>
          <w:color w:val="auto"/>
          <w:vertAlign w:val="superscript"/>
        </w:rPr>
      </w:pPr>
    </w:p>
    <w:p>
      <w:pPr>
        <w:ind w:left="128" w:hanging="128"/>
        <w:spacing w:after="0" w:line="189" w:lineRule="auto"/>
        <w:tabs>
          <w:tab w:leader="none" w:pos="128" w:val="left"/>
        </w:tabs>
        <w:numPr>
          <w:ilvl w:val="0"/>
          <w:numId w:val="4"/>
        </w:numPr>
        <w:rPr>
          <w:rFonts w:ascii="Arial" w:cs="Arial" w:eastAsia="Arial" w:hAnsi="Arial"/>
          <w:sz w:val="11"/>
          <w:szCs w:val="11"/>
          <w:color w:val="auto"/>
          <w:vertAlign w:val="superscript"/>
        </w:rPr>
      </w:pPr>
      <w:r>
        <w:rPr>
          <w:rFonts w:ascii="Arial" w:cs="Arial" w:eastAsia="Arial" w:hAnsi="Arial"/>
          <w:sz w:val="8"/>
          <w:szCs w:val="8"/>
          <w:i w:val="1"/>
          <w:iCs w:val="1"/>
          <w:color w:val="auto"/>
        </w:rPr>
        <w:t>Alternatives net cash flows include $0.8 billion in outflows that represent investment manager-driven distributions.</w:t>
      </w:r>
    </w:p>
    <w:p>
      <w:pPr>
        <w:spacing w:after="0" w:line="8" w:lineRule="exact"/>
        <w:rPr>
          <w:rFonts w:ascii="Arial" w:cs="Arial" w:eastAsia="Arial" w:hAnsi="Arial"/>
          <w:sz w:val="11"/>
          <w:szCs w:val="11"/>
          <w:color w:val="auto"/>
          <w:vertAlign w:val="superscript"/>
        </w:rPr>
      </w:pPr>
    </w:p>
    <w:p>
      <w:pPr>
        <w:ind w:left="88" w:hanging="88"/>
        <w:spacing w:after="0" w:line="208" w:lineRule="auto"/>
        <w:tabs>
          <w:tab w:leader="none" w:pos="88" w:val="left"/>
        </w:tabs>
        <w:numPr>
          <w:ilvl w:val="0"/>
          <w:numId w:val="4"/>
        </w:numPr>
        <w:rPr>
          <w:rFonts w:ascii="Arial" w:cs="Arial" w:eastAsia="Arial" w:hAnsi="Arial"/>
          <w:sz w:val="10"/>
          <w:szCs w:val="10"/>
          <w:i w:val="1"/>
          <w:iCs w:val="1"/>
          <w:color w:val="auto"/>
          <w:vertAlign w:val="superscript"/>
        </w:rPr>
      </w:pPr>
      <w:r>
        <w:rPr>
          <w:rFonts w:ascii="Arial" w:cs="Arial" w:eastAsia="Arial" w:hAnsi="Arial"/>
          <w:sz w:val="8"/>
          <w:szCs w:val="8"/>
          <w:i w:val="1"/>
          <w:iCs w:val="1"/>
          <w:color w:val="auto"/>
        </w:rPr>
        <w:t>Includes net distributions not reinvested of $0.2 billion.</w:t>
      </w:r>
    </w:p>
    <w:p>
      <w:pPr>
        <w:spacing w:after="0" w:line="355" w:lineRule="exact"/>
        <w:rPr>
          <w:sz w:val="20"/>
          <w:szCs w:val="20"/>
          <w:color w:val="auto"/>
        </w:rPr>
      </w:pPr>
    </w:p>
    <w:p>
      <w:pPr>
        <w:ind w:left="8"/>
        <w:spacing w:after="0"/>
        <w:rPr>
          <w:sz w:val="20"/>
          <w:szCs w:val="20"/>
          <w:color w:val="auto"/>
        </w:rPr>
      </w:pPr>
      <w:r>
        <w:rPr>
          <w:rFonts w:ascii="Arial" w:cs="Arial" w:eastAsia="Arial" w:hAnsi="Arial"/>
          <w:sz w:val="12"/>
          <w:szCs w:val="12"/>
          <w:color w:val="auto"/>
        </w:rPr>
        <w:t>Investors domiciled outside the United States accounted for 9.2% of the firm's AUM at September 30, 2023, 8.9% at June 30, 2023 and 9.1% at December 31, 2022.</w:t>
      </w:r>
    </w:p>
    <w:p>
      <w:pPr>
        <w:spacing w:after="0" w:line="231" w:lineRule="exact"/>
        <w:rPr>
          <w:sz w:val="20"/>
          <w:szCs w:val="20"/>
          <w:color w:val="auto"/>
        </w:rPr>
      </w:pPr>
    </w:p>
    <w:p>
      <w:pPr>
        <w:ind w:left="8" w:right="260"/>
        <w:spacing w:after="0" w:line="385" w:lineRule="auto"/>
        <w:rPr>
          <w:sz w:val="20"/>
          <w:szCs w:val="20"/>
          <w:color w:val="auto"/>
        </w:rPr>
      </w:pPr>
      <w:r>
        <w:rPr>
          <w:rFonts w:ascii="Arial" w:cs="Arial" w:eastAsia="Arial" w:hAnsi="Arial"/>
          <w:sz w:val="12"/>
          <w:szCs w:val="12"/>
          <w:color w:val="auto"/>
        </w:rPr>
        <w:t>The firm provides participant accounting and plan administration for retirement plans that invest in the firm's U.S. mutual funds and collective investment trusts, as well as funds managed outside of the firm's complex. As of September 30, 2023, the firm's assets under administration were $234 billion, of which $141 billion were assets we manage.</w:t>
      </w:r>
    </w:p>
    <w:p>
      <w:pPr>
        <w:spacing w:after="0" w:line="133" w:lineRule="exact"/>
        <w:rPr>
          <w:sz w:val="20"/>
          <w:szCs w:val="20"/>
          <w:color w:val="auto"/>
        </w:rPr>
      </w:pPr>
    </w:p>
    <w:p>
      <w:pPr>
        <w:ind w:left="8" w:right="80"/>
        <w:spacing w:after="0" w:line="367" w:lineRule="auto"/>
        <w:rPr>
          <w:sz w:val="20"/>
          <w:szCs w:val="20"/>
          <w:color w:val="auto"/>
        </w:rPr>
      </w:pPr>
      <w:r>
        <w:rPr>
          <w:rFonts w:ascii="Arial" w:cs="Arial" w:eastAsia="Arial" w:hAnsi="Arial"/>
          <w:sz w:val="12"/>
          <w:szCs w:val="12"/>
          <w:color w:val="auto"/>
        </w:rPr>
        <w:t>In recent years, the firm began offering non-discretionary advisory services through model delivery and multi-asset solutions for providers to implement. The firm records the revenue earned on these services in administrative fees. The assets under advisement in these portfolios, predominantly in the United States, were $10 billion at</w:t>
      </w:r>
    </w:p>
    <w:p>
      <w:pPr>
        <w:spacing w:after="0" w:line="1" w:lineRule="exact"/>
        <w:rPr>
          <w:sz w:val="20"/>
          <w:szCs w:val="20"/>
          <w:color w:val="auto"/>
        </w:rPr>
      </w:pPr>
    </w:p>
    <w:p>
      <w:pPr>
        <w:ind w:left="8"/>
        <w:spacing w:after="0"/>
        <w:rPr>
          <w:sz w:val="20"/>
          <w:szCs w:val="20"/>
          <w:color w:val="auto"/>
        </w:rPr>
      </w:pPr>
      <w:r>
        <w:rPr>
          <w:rFonts w:ascii="Arial" w:cs="Arial" w:eastAsia="Arial" w:hAnsi="Arial"/>
          <w:sz w:val="12"/>
          <w:szCs w:val="12"/>
          <w:color w:val="auto"/>
        </w:rPr>
        <w:t>September 30, 2023.</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27"/>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168"/>
          </w:cols>
          <w:pgMar w:left="292" w:top="917" w:right="439" w:bottom="1440" w:gutter="0" w:footer="0" w:header="0"/>
        </w:sectPr>
      </w:pPr>
    </w:p>
    <w:bookmarkStart w:id="4" w:name="page5"/>
    <w:bookmarkEnd w:id="4"/>
    <w:p>
      <w:pPr>
        <w:spacing w:after="0"/>
        <w:rPr>
          <w:sz w:val="20"/>
          <w:szCs w:val="20"/>
          <w:color w:val="auto"/>
        </w:rPr>
      </w:pPr>
      <w:r>
        <w:rPr>
          <w:rFonts w:ascii="Arial" w:cs="Arial" w:eastAsia="Arial" w:hAnsi="Arial"/>
          <w:sz w:val="12"/>
          <w:szCs w:val="12"/>
          <w:b w:val="1"/>
          <w:bCs w:val="1"/>
          <w:color w:val="auto"/>
        </w:rPr>
        <w:t>Financial Results Highlights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Net Revenues</w:t>
      </w:r>
    </w:p>
    <w:p>
      <w:pPr>
        <w:spacing w:after="0" w:line="91"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5280" w:type="dxa"/>
            <w:vAlign w:val="bottom"/>
            <w:tcBorders>
              <w:top w:val="single" w:sz="8" w:color="auto"/>
              <w:left w:val="single" w:sz="8" w:color="auto"/>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920" w:type="dxa"/>
            <w:vAlign w:val="bottom"/>
            <w:tcBorders>
              <w:top w:val="single" w:sz="8" w:color="auto"/>
              <w:bottom w:val="single" w:sz="8" w:color="auto"/>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132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Three months ended</w:t>
            </w: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920" w:type="dxa"/>
            <w:vAlign w:val="bottom"/>
            <w:tcBorders>
              <w:top w:val="single" w:sz="8" w:color="auto"/>
              <w:bottom w:val="single" w:sz="8" w:color="auto"/>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1200" w:type="dxa"/>
            <w:vAlign w:val="bottom"/>
            <w:tcBorders>
              <w:top w:val="single" w:sz="8" w:color="auto"/>
              <w:bottom w:val="single" w:sz="8" w:color="auto"/>
            </w:tcBorders>
            <w:shd w:val="clear" w:color="auto" w:fill="CCEEFF"/>
          </w:tcPr>
          <w:p>
            <w:pPr>
              <w:spacing w:after="0"/>
              <w:rPr>
                <w:sz w:val="13"/>
                <w:szCs w:val="13"/>
                <w:color w:val="auto"/>
              </w:rPr>
            </w:pPr>
          </w:p>
        </w:tc>
        <w:tc>
          <w:tcPr>
            <w:tcW w:w="20" w:type="dxa"/>
            <w:vAlign w:val="bottom"/>
            <w:tcBorders>
              <w:top w:val="single" w:sz="8" w:color="auto"/>
              <w:bottom w:val="single" w:sz="8" w:color="auto"/>
            </w:tcBorders>
            <w:shd w:val="clear" w:color="auto" w:fill="000000"/>
          </w:tcPr>
          <w:p>
            <w:pPr>
              <w:spacing w:after="0"/>
              <w:rPr>
                <w:sz w:val="13"/>
                <w:szCs w:val="13"/>
                <w:color w:val="auto"/>
              </w:rPr>
            </w:pPr>
          </w:p>
        </w:tc>
      </w:tr>
      <w:tr>
        <w:trPr>
          <w:trHeight w:val="131"/>
        </w:trPr>
        <w:tc>
          <w:tcPr>
            <w:tcW w:w="5280" w:type="dxa"/>
            <w:vAlign w:val="bottom"/>
            <w:tcBorders>
              <w:left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180" w:type="dxa"/>
            <w:vAlign w:val="bottom"/>
          </w:tcPr>
          <w:p>
            <w:pPr>
              <w:spacing w:after="0"/>
              <w:rPr>
                <w:sz w:val="11"/>
                <w:szCs w:val="11"/>
                <w:color w:val="auto"/>
              </w:rPr>
            </w:pPr>
          </w:p>
        </w:tc>
        <w:tc>
          <w:tcPr>
            <w:tcW w:w="920" w:type="dxa"/>
            <w:vAlign w:val="bottom"/>
          </w:tcPr>
          <w:p>
            <w:pPr>
              <w:jc w:val="right"/>
              <w:ind w:right="266"/>
              <w:spacing w:after="0"/>
              <w:rPr>
                <w:sz w:val="20"/>
                <w:szCs w:val="20"/>
                <w:color w:val="auto"/>
              </w:rPr>
            </w:pPr>
            <w:r>
              <w:rPr>
                <w:rFonts w:ascii="Arial" w:cs="Arial" w:eastAsia="Arial" w:hAnsi="Arial"/>
                <w:sz w:val="11"/>
                <w:szCs w:val="11"/>
                <w:color w:val="auto"/>
              </w:rPr>
              <w:t>9/30/2023</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right"/>
              <w:ind w:right="246"/>
              <w:spacing w:after="0"/>
              <w:rPr>
                <w:sz w:val="20"/>
                <w:szCs w:val="20"/>
                <w:color w:val="auto"/>
              </w:rPr>
            </w:pPr>
            <w:r>
              <w:rPr>
                <w:rFonts w:ascii="Arial" w:cs="Arial" w:eastAsia="Arial" w:hAnsi="Arial"/>
                <w:sz w:val="11"/>
                <w:szCs w:val="11"/>
                <w:color w:val="auto"/>
              </w:rPr>
              <w:t>9/30/2022</w:t>
            </w:r>
          </w:p>
        </w:tc>
        <w:tc>
          <w:tcPr>
            <w:tcW w:w="80" w:type="dxa"/>
            <w:vAlign w:val="bottom"/>
          </w:tcPr>
          <w:p>
            <w:pPr>
              <w:spacing w:after="0"/>
              <w:rPr>
                <w:sz w:val="11"/>
                <w:szCs w:val="11"/>
                <w:color w:val="auto"/>
              </w:rPr>
            </w:pPr>
          </w:p>
        </w:tc>
        <w:tc>
          <w:tcPr>
            <w:tcW w:w="1260" w:type="dxa"/>
            <w:vAlign w:val="bottom"/>
            <w:tcBorders>
              <w:right w:val="single" w:sz="8" w:color="auto"/>
            </w:tcBorders>
          </w:tcPr>
          <w:p>
            <w:pPr>
              <w:jc w:val="right"/>
              <w:ind w:right="346"/>
              <w:spacing w:after="0"/>
              <w:rPr>
                <w:sz w:val="20"/>
                <w:szCs w:val="20"/>
                <w:color w:val="auto"/>
              </w:rPr>
            </w:pPr>
            <w:r>
              <w:rPr>
                <w:rFonts w:ascii="Arial" w:cs="Arial" w:eastAsia="Arial" w:hAnsi="Arial"/>
                <w:sz w:val="11"/>
                <w:szCs w:val="11"/>
                <w:color w:val="auto"/>
              </w:rPr>
              <w:t>% Change</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right"/>
              <w:ind w:right="266"/>
              <w:spacing w:after="0"/>
              <w:rPr>
                <w:sz w:val="20"/>
                <w:szCs w:val="20"/>
                <w:color w:val="auto"/>
              </w:rPr>
            </w:pPr>
            <w:r>
              <w:rPr>
                <w:rFonts w:ascii="Arial" w:cs="Arial" w:eastAsia="Arial" w:hAnsi="Arial"/>
                <w:sz w:val="11"/>
                <w:szCs w:val="11"/>
                <w:color w:val="auto"/>
              </w:rPr>
              <w:t>6/30/2023</w:t>
            </w:r>
          </w:p>
        </w:tc>
        <w:tc>
          <w:tcPr>
            <w:tcW w:w="60" w:type="dxa"/>
            <w:vAlign w:val="bottom"/>
          </w:tcPr>
          <w:p>
            <w:pPr>
              <w:spacing w:after="0"/>
              <w:rPr>
                <w:sz w:val="11"/>
                <w:szCs w:val="11"/>
                <w:color w:val="auto"/>
              </w:rPr>
            </w:pPr>
          </w:p>
        </w:tc>
        <w:tc>
          <w:tcPr>
            <w:tcW w:w="1200" w:type="dxa"/>
            <w:vAlign w:val="bottom"/>
          </w:tcPr>
          <w:p>
            <w:pPr>
              <w:jc w:val="right"/>
              <w:ind w:right="286"/>
              <w:spacing w:after="0"/>
              <w:rPr>
                <w:sz w:val="20"/>
                <w:szCs w:val="20"/>
                <w:color w:val="auto"/>
              </w:rPr>
            </w:pPr>
            <w:r>
              <w:rPr>
                <w:rFonts w:ascii="Arial" w:cs="Arial" w:eastAsia="Arial" w:hAnsi="Arial"/>
                <w:sz w:val="11"/>
                <w:szCs w:val="11"/>
                <w:color w:val="auto"/>
              </w:rPr>
              <w:t>% Change</w:t>
            </w:r>
          </w:p>
        </w:tc>
        <w:tc>
          <w:tcPr>
            <w:tcW w:w="20" w:type="dxa"/>
            <w:vAlign w:val="bottom"/>
            <w:shd w:val="clear" w:color="auto" w:fill="000000"/>
          </w:tcPr>
          <w:p>
            <w:pPr>
              <w:spacing w:after="0"/>
              <w:rPr>
                <w:sz w:val="11"/>
                <w:szCs w:val="11"/>
                <w:color w:val="auto"/>
              </w:rPr>
            </w:pPr>
          </w:p>
        </w:tc>
      </w:tr>
      <w:tr>
        <w:trPr>
          <w:trHeight w:val="126"/>
        </w:trPr>
        <w:tc>
          <w:tcPr>
            <w:tcW w:w="5280" w:type="dxa"/>
            <w:vAlign w:val="bottom"/>
            <w:tcBorders>
              <w:top w:val="single" w:sz="8" w:color="CCEEFF"/>
              <w:left w:val="single" w:sz="8" w:color="auto"/>
            </w:tcBorders>
            <w:shd w:val="clear" w:color="auto" w:fill="CCEEFF"/>
          </w:tcPr>
          <w:p>
            <w:pPr>
              <w:ind w:left="20"/>
              <w:spacing w:after="0" w:line="122" w:lineRule="exact"/>
              <w:rPr>
                <w:sz w:val="20"/>
                <w:szCs w:val="20"/>
                <w:color w:val="auto"/>
              </w:rPr>
            </w:pPr>
            <w:r>
              <w:rPr>
                <w:rFonts w:ascii="Arial" w:cs="Arial" w:eastAsia="Arial" w:hAnsi="Arial"/>
                <w:sz w:val="11"/>
                <w:szCs w:val="11"/>
                <w:color w:val="auto"/>
              </w:rPr>
              <w:t>Investment advisory fees</w:t>
            </w:r>
          </w:p>
        </w:tc>
        <w:tc>
          <w:tcPr>
            <w:tcW w:w="18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60" w:type="dxa"/>
            <w:vAlign w:val="bottom"/>
            <w:tcBorders>
              <w:top w:val="single" w:sz="8" w:color="auto"/>
              <w:right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r>
      <w:tr>
        <w:trPr>
          <w:trHeight w:val="142"/>
        </w:trPr>
        <w:tc>
          <w:tcPr>
            <w:tcW w:w="5280" w:type="dxa"/>
            <w:vAlign w:val="bottom"/>
            <w:tcBorders>
              <w:left w:val="single" w:sz="8" w:color="auto"/>
            </w:tcBorders>
          </w:tcPr>
          <w:p>
            <w:pPr>
              <w:ind w:left="80"/>
              <w:spacing w:after="0"/>
              <w:rPr>
                <w:sz w:val="20"/>
                <w:szCs w:val="20"/>
                <w:color w:val="auto"/>
              </w:rPr>
            </w:pPr>
            <w:r>
              <w:rPr>
                <w:rFonts w:ascii="Arial" w:cs="Arial" w:eastAsia="Arial" w:hAnsi="Arial"/>
                <w:sz w:val="11"/>
                <w:szCs w:val="11"/>
                <w:color w:val="auto"/>
              </w:rPr>
              <w:t>Equity</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885.0</w:t>
            </w:r>
          </w:p>
        </w:tc>
        <w:tc>
          <w:tcPr>
            <w:tcW w:w="60" w:type="dxa"/>
            <w:vAlign w:val="bottom"/>
          </w:tcPr>
          <w:p>
            <w:pPr>
              <w:spacing w:after="0"/>
              <w:rPr>
                <w:sz w:val="12"/>
                <w:szCs w:val="12"/>
                <w:color w:val="auto"/>
              </w:rPr>
            </w:pP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897.0</w:t>
            </w:r>
          </w:p>
        </w:tc>
        <w:tc>
          <w:tcPr>
            <w:tcW w:w="80" w:type="dxa"/>
            <w:vAlign w:val="bottom"/>
          </w:tcPr>
          <w:p>
            <w:pPr>
              <w:spacing w:after="0"/>
              <w:rPr>
                <w:sz w:val="12"/>
                <w:szCs w:val="12"/>
                <w:color w:val="auto"/>
              </w:rPr>
            </w:pPr>
          </w:p>
        </w:tc>
        <w:tc>
          <w:tcPr>
            <w:tcW w:w="1260" w:type="dxa"/>
            <w:vAlign w:val="bottom"/>
            <w:tcBorders>
              <w:right w:val="single" w:sz="8" w:color="auto"/>
            </w:tcBorders>
          </w:tcPr>
          <w:p>
            <w:pPr>
              <w:jc w:val="right"/>
              <w:ind w:right="46"/>
              <w:spacing w:after="0"/>
              <w:rPr>
                <w:sz w:val="20"/>
                <w:szCs w:val="20"/>
                <w:color w:val="auto"/>
              </w:rPr>
            </w:pPr>
            <w:r>
              <w:rPr>
                <w:rFonts w:ascii="Arial" w:cs="Arial" w:eastAsia="Arial" w:hAnsi="Arial"/>
                <w:sz w:val="11"/>
                <w:szCs w:val="11"/>
                <w:color w:val="auto"/>
              </w:rPr>
              <w:t>(1.3)%</w:t>
            </w:r>
          </w:p>
        </w:tc>
        <w:tc>
          <w:tcPr>
            <w:tcW w:w="60" w:type="dxa"/>
            <w:vAlign w:val="bottom"/>
          </w:tcPr>
          <w:p>
            <w:pPr>
              <w:spacing w:after="0"/>
              <w:rPr>
                <w:sz w:val="12"/>
                <w:szCs w:val="12"/>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862.3</w:t>
            </w:r>
          </w:p>
        </w:tc>
        <w:tc>
          <w:tcPr>
            <w:tcW w:w="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2.6 %</w:t>
            </w:r>
          </w:p>
        </w:tc>
        <w:tc>
          <w:tcPr>
            <w:tcW w:w="20" w:type="dxa"/>
            <w:vAlign w:val="bottom"/>
            <w:shd w:val="clear" w:color="auto" w:fill="000000"/>
          </w:tcPr>
          <w:p>
            <w:pPr>
              <w:spacing w:after="0"/>
              <w:rPr>
                <w:sz w:val="12"/>
                <w:szCs w:val="12"/>
                <w:color w:val="auto"/>
              </w:rPr>
            </w:pPr>
          </w:p>
        </w:tc>
      </w:tr>
      <w:tr>
        <w:trPr>
          <w:trHeight w:val="146"/>
        </w:trPr>
        <w:tc>
          <w:tcPr>
            <w:tcW w:w="5280" w:type="dxa"/>
            <w:vAlign w:val="bottom"/>
            <w:tcBorders>
              <w:left w:val="single" w:sz="8" w:color="auto"/>
            </w:tcBorders>
            <w:shd w:val="clear" w:color="auto" w:fill="CCEEFF"/>
          </w:tcPr>
          <w:p>
            <w:pPr>
              <w:ind w:left="80"/>
              <w:spacing w:after="0"/>
              <w:rPr>
                <w:sz w:val="20"/>
                <w:szCs w:val="20"/>
                <w:color w:val="auto"/>
              </w:rPr>
            </w:pPr>
            <w:r>
              <w:rPr>
                <w:rFonts w:ascii="Arial" w:cs="Arial" w:eastAsia="Arial" w:hAnsi="Arial"/>
                <w:sz w:val="11"/>
                <w:szCs w:val="11"/>
                <w:color w:val="auto"/>
              </w:rPr>
              <w:t>Fixed income, including money market</w:t>
            </w: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100.9</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107.6</w:t>
            </w:r>
          </w:p>
        </w:tc>
        <w:tc>
          <w:tcPr>
            <w:tcW w:w="80" w:type="dxa"/>
            <w:vAlign w:val="bottom"/>
            <w:shd w:val="clear" w:color="auto" w:fill="CCEEFF"/>
          </w:tcPr>
          <w:p>
            <w:pPr>
              <w:spacing w:after="0"/>
              <w:rPr>
                <w:sz w:val="12"/>
                <w:szCs w:val="12"/>
                <w:color w:val="auto"/>
              </w:rPr>
            </w:pPr>
          </w:p>
        </w:tc>
        <w:tc>
          <w:tcPr>
            <w:tcW w:w="1260" w:type="dxa"/>
            <w:vAlign w:val="bottom"/>
            <w:tcBorders>
              <w:right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(6.2)%</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100.0</w:t>
            </w:r>
          </w:p>
        </w:tc>
        <w:tc>
          <w:tcPr>
            <w:tcW w:w="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0.9 %</w:t>
            </w:r>
          </w:p>
        </w:tc>
        <w:tc>
          <w:tcPr>
            <w:tcW w:w="20" w:type="dxa"/>
            <w:vAlign w:val="bottom"/>
            <w:shd w:val="clear" w:color="auto" w:fill="000000"/>
          </w:tcPr>
          <w:p>
            <w:pPr>
              <w:spacing w:after="0"/>
              <w:rPr>
                <w:sz w:val="12"/>
                <w:szCs w:val="12"/>
                <w:color w:val="auto"/>
              </w:rPr>
            </w:pPr>
          </w:p>
        </w:tc>
      </w:tr>
      <w:tr>
        <w:trPr>
          <w:trHeight w:val="142"/>
        </w:trPr>
        <w:tc>
          <w:tcPr>
            <w:tcW w:w="5280" w:type="dxa"/>
            <w:vAlign w:val="bottom"/>
            <w:tcBorders>
              <w:left w:val="single" w:sz="8" w:color="auto"/>
            </w:tcBorders>
          </w:tcPr>
          <w:p>
            <w:pPr>
              <w:ind w:left="80"/>
              <w:spacing w:after="0"/>
              <w:rPr>
                <w:sz w:val="20"/>
                <w:szCs w:val="20"/>
                <w:color w:val="auto"/>
              </w:rPr>
            </w:pPr>
            <w:r>
              <w:rPr>
                <w:rFonts w:ascii="Arial" w:cs="Arial" w:eastAsia="Arial" w:hAnsi="Arial"/>
                <w:sz w:val="11"/>
                <w:szCs w:val="11"/>
                <w:color w:val="auto"/>
              </w:rPr>
              <w:t>Multi-asset</w:t>
            </w:r>
          </w:p>
        </w:tc>
        <w:tc>
          <w:tcPr>
            <w:tcW w:w="180" w:type="dxa"/>
            <w:vAlign w:val="bottom"/>
          </w:tcPr>
          <w:p>
            <w:pPr>
              <w:spacing w:after="0"/>
              <w:rPr>
                <w:sz w:val="12"/>
                <w:szCs w:val="12"/>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405.5</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367.2</w:t>
            </w:r>
          </w:p>
        </w:tc>
        <w:tc>
          <w:tcPr>
            <w:tcW w:w="80" w:type="dxa"/>
            <w:vAlign w:val="bottom"/>
          </w:tcPr>
          <w:p>
            <w:pPr>
              <w:spacing w:after="0"/>
              <w:rPr>
                <w:sz w:val="12"/>
                <w:szCs w:val="12"/>
                <w:color w:val="auto"/>
              </w:rPr>
            </w:pPr>
          </w:p>
        </w:tc>
        <w:tc>
          <w:tcPr>
            <w:tcW w:w="1260" w:type="dxa"/>
            <w:vAlign w:val="bottom"/>
            <w:tcBorders>
              <w:right w:val="single" w:sz="8" w:color="auto"/>
            </w:tcBorders>
          </w:tcPr>
          <w:p>
            <w:pPr>
              <w:jc w:val="right"/>
              <w:ind w:right="46"/>
              <w:spacing w:after="0"/>
              <w:rPr>
                <w:sz w:val="20"/>
                <w:szCs w:val="20"/>
                <w:color w:val="auto"/>
              </w:rPr>
            </w:pPr>
            <w:r>
              <w:rPr>
                <w:rFonts w:ascii="Arial" w:cs="Arial" w:eastAsia="Arial" w:hAnsi="Arial"/>
                <w:sz w:val="11"/>
                <w:szCs w:val="11"/>
                <w:color w:val="auto"/>
              </w:rPr>
              <w:t>10.4 %</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391.3</w:t>
            </w:r>
          </w:p>
        </w:tc>
        <w:tc>
          <w:tcPr>
            <w:tcW w:w="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3.6 %</w:t>
            </w:r>
          </w:p>
        </w:tc>
        <w:tc>
          <w:tcPr>
            <w:tcW w:w="20" w:type="dxa"/>
            <w:vAlign w:val="bottom"/>
            <w:shd w:val="clear" w:color="auto" w:fill="000000"/>
          </w:tcPr>
          <w:p>
            <w:pPr>
              <w:spacing w:after="0"/>
              <w:rPr>
                <w:sz w:val="12"/>
                <w:szCs w:val="12"/>
                <w:color w:val="auto"/>
              </w:rPr>
            </w:pPr>
          </w:p>
        </w:tc>
      </w:tr>
      <w:tr>
        <w:trPr>
          <w:trHeight w:val="146"/>
        </w:trPr>
        <w:tc>
          <w:tcPr>
            <w:tcW w:w="5280" w:type="dxa"/>
            <w:vAlign w:val="bottom"/>
            <w:tcBorders>
              <w:left w:val="single" w:sz="8" w:color="auto"/>
            </w:tcBorders>
            <w:shd w:val="clear" w:color="auto" w:fill="CCEEFF"/>
          </w:tcPr>
          <w:p>
            <w:pPr>
              <w:ind w:left="80"/>
              <w:spacing w:after="0"/>
              <w:rPr>
                <w:sz w:val="20"/>
                <w:szCs w:val="20"/>
                <w:color w:val="auto"/>
              </w:rPr>
            </w:pPr>
            <w:r>
              <w:rPr>
                <w:rFonts w:ascii="Arial" w:cs="Arial" w:eastAsia="Arial" w:hAnsi="Arial"/>
                <w:sz w:val="11"/>
                <w:szCs w:val="11"/>
                <w:color w:val="auto"/>
              </w:rPr>
              <w:t>Alternatives</w:t>
            </w:r>
          </w:p>
        </w:tc>
        <w:tc>
          <w:tcPr>
            <w:tcW w:w="1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72.5</w:t>
            </w:r>
          </w:p>
        </w:tc>
        <w:tc>
          <w:tcPr>
            <w:tcW w:w="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70.2</w:t>
            </w:r>
          </w:p>
        </w:tc>
        <w:tc>
          <w:tcPr>
            <w:tcW w:w="80" w:type="dxa"/>
            <w:vAlign w:val="bottom"/>
            <w:shd w:val="clear" w:color="auto" w:fill="CCEEFF"/>
          </w:tcPr>
          <w:p>
            <w:pPr>
              <w:spacing w:after="0"/>
              <w:rPr>
                <w:sz w:val="12"/>
                <w:szCs w:val="12"/>
                <w:color w:val="auto"/>
              </w:rPr>
            </w:pPr>
          </w:p>
        </w:tc>
        <w:tc>
          <w:tcPr>
            <w:tcW w:w="1260" w:type="dxa"/>
            <w:vAlign w:val="bottom"/>
            <w:tcBorders>
              <w:bottom w:val="single" w:sz="8" w:color="auto"/>
              <w:right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3.3 %</w:t>
            </w:r>
          </w:p>
        </w:tc>
        <w:tc>
          <w:tcPr>
            <w:tcW w:w="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77.2</w:t>
            </w:r>
          </w:p>
        </w:tc>
        <w:tc>
          <w:tcPr>
            <w:tcW w:w="60" w:type="dxa"/>
            <w:vAlign w:val="bottom"/>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(6.1)%</w:t>
            </w:r>
          </w:p>
        </w:tc>
        <w:tc>
          <w:tcPr>
            <w:tcW w:w="20" w:type="dxa"/>
            <w:vAlign w:val="bottom"/>
            <w:tcBorders>
              <w:bottom w:val="single" w:sz="8" w:color="auto"/>
            </w:tcBorders>
            <w:shd w:val="clear" w:color="auto" w:fill="000000"/>
          </w:tcPr>
          <w:p>
            <w:pPr>
              <w:spacing w:after="0"/>
              <w:rPr>
                <w:sz w:val="12"/>
                <w:szCs w:val="12"/>
                <w:color w:val="auto"/>
              </w:rPr>
            </w:pPr>
          </w:p>
        </w:tc>
      </w:tr>
      <w:tr>
        <w:trPr>
          <w:trHeight w:val="131"/>
        </w:trPr>
        <w:tc>
          <w:tcPr>
            <w:tcW w:w="5280" w:type="dxa"/>
            <w:vAlign w:val="bottom"/>
            <w:tcBorders>
              <w:left w:val="single" w:sz="8" w:color="auto"/>
            </w:tcBorders>
          </w:tcPr>
          <w:p>
            <w:pPr>
              <w:ind w:left="20"/>
              <w:spacing w:after="0"/>
              <w:rPr>
                <w:sz w:val="20"/>
                <w:szCs w:val="20"/>
                <w:color w:val="auto"/>
              </w:rPr>
            </w:pPr>
            <w:r>
              <w:rPr>
                <w:rFonts w:ascii="Arial" w:cs="Arial" w:eastAsia="Arial" w:hAnsi="Arial"/>
                <w:sz w:val="11"/>
                <w:szCs w:val="11"/>
                <w:color w:val="auto"/>
              </w:rPr>
              <w:t>Total investment advisory fees</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1,463.9</w:t>
            </w:r>
          </w:p>
        </w:tc>
        <w:tc>
          <w:tcPr>
            <w:tcW w:w="60" w:type="dxa"/>
            <w:vAlign w:val="bottom"/>
          </w:tcPr>
          <w:p>
            <w:pPr>
              <w:spacing w:after="0"/>
              <w:rPr>
                <w:sz w:val="11"/>
                <w:szCs w:val="11"/>
                <w:color w:val="auto"/>
              </w:rPr>
            </w:pP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1,442.0</w:t>
            </w:r>
          </w:p>
        </w:tc>
        <w:tc>
          <w:tcPr>
            <w:tcW w:w="80" w:type="dxa"/>
            <w:vAlign w:val="bottom"/>
          </w:tcPr>
          <w:p>
            <w:pPr>
              <w:spacing w:after="0"/>
              <w:rPr>
                <w:sz w:val="11"/>
                <w:szCs w:val="11"/>
                <w:color w:val="auto"/>
              </w:rPr>
            </w:pPr>
          </w:p>
        </w:tc>
        <w:tc>
          <w:tcPr>
            <w:tcW w:w="1260" w:type="dxa"/>
            <w:vAlign w:val="bottom"/>
            <w:tcBorders>
              <w:right w:val="single" w:sz="8" w:color="auto"/>
            </w:tcBorders>
          </w:tcPr>
          <w:p>
            <w:pPr>
              <w:jc w:val="right"/>
              <w:ind w:right="46"/>
              <w:spacing w:after="0"/>
              <w:rPr>
                <w:sz w:val="20"/>
                <w:szCs w:val="20"/>
                <w:color w:val="auto"/>
              </w:rPr>
            </w:pPr>
            <w:r>
              <w:rPr>
                <w:rFonts w:ascii="Arial" w:cs="Arial" w:eastAsia="Arial" w:hAnsi="Arial"/>
                <w:sz w:val="11"/>
                <w:szCs w:val="11"/>
                <w:color w:val="auto"/>
              </w:rPr>
              <w:t>1.5 %</w:t>
            </w:r>
          </w:p>
        </w:tc>
        <w:tc>
          <w:tcPr>
            <w:tcW w:w="60" w:type="dxa"/>
            <w:vAlign w:val="bottom"/>
          </w:tcPr>
          <w:p>
            <w:pPr>
              <w:spacing w:after="0"/>
              <w:rPr>
                <w:sz w:val="11"/>
                <w:szCs w:val="11"/>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1,430.8</w:t>
            </w:r>
          </w:p>
        </w:tc>
        <w:tc>
          <w:tcPr>
            <w:tcW w:w="6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2.3 %</w:t>
            </w:r>
          </w:p>
        </w:tc>
        <w:tc>
          <w:tcPr>
            <w:tcW w:w="20" w:type="dxa"/>
            <w:vAlign w:val="bottom"/>
            <w:shd w:val="clear" w:color="auto" w:fill="000000"/>
          </w:tcPr>
          <w:p>
            <w:pPr>
              <w:spacing w:after="0"/>
              <w:rPr>
                <w:sz w:val="11"/>
                <w:szCs w:val="11"/>
                <w:color w:val="auto"/>
              </w:rPr>
            </w:pPr>
          </w:p>
        </w:tc>
      </w:tr>
      <w:tr>
        <w:trPr>
          <w:trHeight w:val="146"/>
        </w:trPr>
        <w:tc>
          <w:tcPr>
            <w:tcW w:w="5280" w:type="dxa"/>
            <w:vAlign w:val="bottom"/>
            <w:tcBorders>
              <w:left w:val="single" w:sz="8" w:color="auto"/>
            </w:tcBorders>
            <w:shd w:val="clear" w:color="auto" w:fill="CCEEFF"/>
          </w:tcPr>
          <w:p>
            <w:pPr>
              <w:ind w:left="20"/>
              <w:spacing w:after="0" w:line="146" w:lineRule="exact"/>
              <w:rPr>
                <w:sz w:val="20"/>
                <w:szCs w:val="20"/>
                <w:color w:val="auto"/>
              </w:rPr>
            </w:pPr>
            <w:r>
              <w:rPr>
                <w:rFonts w:ascii="Arial" w:cs="Arial" w:eastAsia="Arial" w:hAnsi="Arial"/>
                <w:sz w:val="11"/>
                <w:szCs w:val="11"/>
                <w:color w:val="auto"/>
              </w:rPr>
              <w:t>Capital allocation-based income</w:t>
            </w:r>
            <w:r>
              <w:rPr>
                <w:rFonts w:ascii="Arial" w:cs="Arial" w:eastAsia="Arial" w:hAnsi="Arial"/>
                <w:sz w:val="14"/>
                <w:szCs w:val="14"/>
                <w:color w:val="auto"/>
                <w:vertAlign w:val="superscript"/>
              </w:rPr>
              <w:t>(1)</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66.1</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80" w:type="dxa"/>
            <w:vAlign w:val="bottom"/>
            <w:shd w:val="clear" w:color="auto" w:fill="CCEEFF"/>
          </w:tcPr>
          <w:p>
            <w:pPr>
              <w:spacing w:after="0"/>
              <w:rPr>
                <w:sz w:val="12"/>
                <w:szCs w:val="12"/>
                <w:color w:val="auto"/>
              </w:rPr>
            </w:pPr>
          </w:p>
        </w:tc>
        <w:tc>
          <w:tcPr>
            <w:tcW w:w="1260" w:type="dxa"/>
            <w:vAlign w:val="bottom"/>
            <w:tcBorders>
              <w:right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n/m</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38.7</w:t>
            </w:r>
          </w:p>
        </w:tc>
        <w:tc>
          <w:tcPr>
            <w:tcW w:w="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n/m</w:t>
            </w:r>
          </w:p>
        </w:tc>
        <w:tc>
          <w:tcPr>
            <w:tcW w:w="20" w:type="dxa"/>
            <w:vAlign w:val="bottom"/>
            <w:shd w:val="clear" w:color="auto" w:fill="000000"/>
          </w:tcPr>
          <w:p>
            <w:pPr>
              <w:spacing w:after="0"/>
              <w:rPr>
                <w:sz w:val="12"/>
                <w:szCs w:val="12"/>
                <w:color w:val="auto"/>
              </w:rPr>
            </w:pPr>
          </w:p>
        </w:tc>
      </w:tr>
      <w:tr>
        <w:trPr>
          <w:trHeight w:val="142"/>
        </w:trPr>
        <w:tc>
          <w:tcPr>
            <w:tcW w:w="5280" w:type="dxa"/>
            <w:vAlign w:val="bottom"/>
            <w:tcBorders>
              <w:left w:val="single" w:sz="8" w:color="auto"/>
              <w:bottom w:val="single" w:sz="8" w:color="CCEEFF"/>
            </w:tcBorders>
          </w:tcPr>
          <w:p>
            <w:pPr>
              <w:ind w:left="20"/>
              <w:spacing w:after="0"/>
              <w:rPr>
                <w:sz w:val="20"/>
                <w:szCs w:val="20"/>
                <w:color w:val="auto"/>
              </w:rPr>
            </w:pPr>
            <w:r>
              <w:rPr>
                <w:rFonts w:ascii="Arial" w:cs="Arial" w:eastAsia="Arial" w:hAnsi="Arial"/>
                <w:sz w:val="11"/>
                <w:szCs w:val="11"/>
                <w:color w:val="auto"/>
              </w:rPr>
              <w:t>Administrative, distribution, and servicing fees</w:t>
            </w: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140.7</w:t>
            </w: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145.1</w:t>
            </w:r>
          </w:p>
        </w:tc>
        <w:tc>
          <w:tcPr>
            <w:tcW w:w="80" w:type="dxa"/>
            <w:vAlign w:val="bottom"/>
            <w:tcBorders>
              <w:bottom w:val="single" w:sz="8" w:color="CCEEFF"/>
            </w:tcBorders>
          </w:tcPr>
          <w:p>
            <w:pPr>
              <w:spacing w:after="0"/>
              <w:rPr>
                <w:sz w:val="12"/>
                <w:szCs w:val="12"/>
                <w:color w:val="auto"/>
              </w:rPr>
            </w:pPr>
          </w:p>
        </w:tc>
        <w:tc>
          <w:tcPr>
            <w:tcW w:w="1260" w:type="dxa"/>
            <w:vAlign w:val="bottom"/>
            <w:tcBorders>
              <w:bottom w:val="single" w:sz="8" w:color="auto"/>
              <w:right w:val="single" w:sz="8" w:color="auto"/>
            </w:tcBorders>
          </w:tcPr>
          <w:p>
            <w:pPr>
              <w:jc w:val="right"/>
              <w:ind w:right="46"/>
              <w:spacing w:after="0"/>
              <w:rPr>
                <w:sz w:val="20"/>
                <w:szCs w:val="20"/>
                <w:color w:val="auto"/>
              </w:rPr>
            </w:pPr>
            <w:r>
              <w:rPr>
                <w:rFonts w:ascii="Arial" w:cs="Arial" w:eastAsia="Arial" w:hAnsi="Arial"/>
                <w:sz w:val="11"/>
                <w:szCs w:val="11"/>
                <w:color w:val="auto"/>
              </w:rPr>
              <w:t>(3.0)%</w:t>
            </w: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140.7</w:t>
            </w:r>
          </w:p>
        </w:tc>
        <w:tc>
          <w:tcPr>
            <w:tcW w:w="60" w:type="dxa"/>
            <w:vAlign w:val="bottom"/>
            <w:tcBorders>
              <w:bottom w:val="single" w:sz="8" w:color="CCEEFF"/>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 %</w:t>
            </w:r>
          </w:p>
        </w:tc>
        <w:tc>
          <w:tcPr>
            <w:tcW w:w="20" w:type="dxa"/>
            <w:vAlign w:val="bottom"/>
            <w:tcBorders>
              <w:bottom w:val="single" w:sz="8" w:color="auto"/>
            </w:tcBorders>
            <w:shd w:val="clear" w:color="auto" w:fill="000000"/>
          </w:tcPr>
          <w:p>
            <w:pPr>
              <w:spacing w:after="0"/>
              <w:rPr>
                <w:sz w:val="12"/>
                <w:szCs w:val="12"/>
                <w:color w:val="auto"/>
              </w:rPr>
            </w:pPr>
          </w:p>
        </w:tc>
      </w:tr>
      <w:tr>
        <w:trPr>
          <w:trHeight w:val="146"/>
        </w:trPr>
        <w:tc>
          <w:tcPr>
            <w:tcW w:w="5280" w:type="dxa"/>
            <w:vAlign w:val="bottom"/>
            <w:tcBorders>
              <w:left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revenues</w:t>
            </w:r>
          </w:p>
        </w:tc>
        <w:tc>
          <w:tcPr>
            <w:tcW w:w="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1,670.7</w:t>
            </w:r>
          </w:p>
        </w:tc>
        <w:tc>
          <w:tcPr>
            <w:tcW w:w="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1,588.2</w:t>
            </w:r>
          </w:p>
        </w:tc>
        <w:tc>
          <w:tcPr>
            <w:tcW w:w="8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auto"/>
              <w:right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5.2 %</w:t>
            </w:r>
          </w:p>
        </w:tc>
        <w:tc>
          <w:tcPr>
            <w:tcW w:w="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1,610.2</w:t>
            </w:r>
          </w:p>
        </w:tc>
        <w:tc>
          <w:tcPr>
            <w:tcW w:w="6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3.8 %</w:t>
            </w:r>
          </w:p>
        </w:tc>
        <w:tc>
          <w:tcPr>
            <w:tcW w:w="20" w:type="dxa"/>
            <w:vAlign w:val="bottom"/>
            <w:tcBorders>
              <w:bottom w:val="single" w:sz="8" w:color="auto"/>
            </w:tcBorders>
            <w:shd w:val="clear" w:color="auto" w:fill="000000"/>
          </w:tcPr>
          <w:p>
            <w:pPr>
              <w:spacing w:after="0"/>
              <w:rPr>
                <w:sz w:val="12"/>
                <w:szCs w:val="12"/>
                <w:color w:val="auto"/>
              </w:rPr>
            </w:pPr>
          </w:p>
        </w:tc>
      </w:tr>
      <w:tr>
        <w:trPr>
          <w:trHeight w:val="23"/>
        </w:trPr>
        <w:tc>
          <w:tcPr>
            <w:tcW w:w="528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144"/>
        </w:trPr>
        <w:tc>
          <w:tcPr>
            <w:tcW w:w="5280" w:type="dxa"/>
            <w:vAlign w:val="bottom"/>
            <w:tcBorders>
              <w:left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Average AUM (in billions):</w:t>
            </w: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r>
      <w:tr>
        <w:trPr>
          <w:trHeight w:val="142"/>
        </w:trPr>
        <w:tc>
          <w:tcPr>
            <w:tcW w:w="5280" w:type="dxa"/>
            <w:vAlign w:val="bottom"/>
            <w:tcBorders>
              <w:left w:val="single" w:sz="8" w:color="auto"/>
            </w:tcBorders>
          </w:tcPr>
          <w:p>
            <w:pPr>
              <w:ind w:left="80"/>
              <w:spacing w:after="0"/>
              <w:rPr>
                <w:sz w:val="20"/>
                <w:szCs w:val="20"/>
                <w:color w:val="auto"/>
              </w:rPr>
            </w:pPr>
            <w:r>
              <w:rPr>
                <w:rFonts w:ascii="Arial" w:cs="Arial" w:eastAsia="Arial" w:hAnsi="Arial"/>
                <w:sz w:val="11"/>
                <w:szCs w:val="11"/>
                <w:color w:val="auto"/>
              </w:rPr>
              <w:t>Equity</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725.0</w:t>
            </w:r>
          </w:p>
        </w:tc>
        <w:tc>
          <w:tcPr>
            <w:tcW w:w="60" w:type="dxa"/>
            <w:vAlign w:val="bottom"/>
          </w:tcPr>
          <w:p>
            <w:pPr>
              <w:spacing w:after="0"/>
              <w:rPr>
                <w:sz w:val="12"/>
                <w:szCs w:val="12"/>
                <w:color w:val="auto"/>
              </w:rPr>
            </w:pP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724.9</w:t>
            </w:r>
          </w:p>
        </w:tc>
        <w:tc>
          <w:tcPr>
            <w:tcW w:w="80" w:type="dxa"/>
            <w:vAlign w:val="bottom"/>
          </w:tcPr>
          <w:p>
            <w:pPr>
              <w:spacing w:after="0"/>
              <w:rPr>
                <w:sz w:val="12"/>
                <w:szCs w:val="12"/>
                <w:color w:val="auto"/>
              </w:rPr>
            </w:pPr>
          </w:p>
        </w:tc>
        <w:tc>
          <w:tcPr>
            <w:tcW w:w="1260" w:type="dxa"/>
            <w:vAlign w:val="bottom"/>
            <w:tcBorders>
              <w:right w:val="single" w:sz="8" w:color="auto"/>
            </w:tcBorders>
          </w:tcPr>
          <w:p>
            <w:pPr>
              <w:jc w:val="right"/>
              <w:ind w:right="46"/>
              <w:spacing w:after="0"/>
              <w:rPr>
                <w:sz w:val="20"/>
                <w:szCs w:val="20"/>
                <w:color w:val="auto"/>
              </w:rPr>
            </w:pPr>
            <w:r>
              <w:rPr>
                <w:rFonts w:ascii="Arial" w:cs="Arial" w:eastAsia="Arial" w:hAnsi="Arial"/>
                <w:sz w:val="11"/>
                <w:szCs w:val="11"/>
                <w:color w:val="auto"/>
              </w:rPr>
              <w:t>— %</w:t>
            </w:r>
          </w:p>
        </w:tc>
        <w:tc>
          <w:tcPr>
            <w:tcW w:w="60" w:type="dxa"/>
            <w:vAlign w:val="bottom"/>
          </w:tcPr>
          <w:p>
            <w:pPr>
              <w:spacing w:after="0"/>
              <w:rPr>
                <w:sz w:val="12"/>
                <w:szCs w:val="12"/>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703.4</w:t>
            </w:r>
          </w:p>
        </w:tc>
        <w:tc>
          <w:tcPr>
            <w:tcW w:w="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3.1 %</w:t>
            </w:r>
          </w:p>
        </w:tc>
        <w:tc>
          <w:tcPr>
            <w:tcW w:w="20" w:type="dxa"/>
            <w:vAlign w:val="bottom"/>
            <w:shd w:val="clear" w:color="auto" w:fill="000000"/>
          </w:tcPr>
          <w:p>
            <w:pPr>
              <w:spacing w:after="0"/>
              <w:rPr>
                <w:sz w:val="12"/>
                <w:szCs w:val="12"/>
                <w:color w:val="auto"/>
              </w:rPr>
            </w:pPr>
          </w:p>
        </w:tc>
      </w:tr>
      <w:tr>
        <w:trPr>
          <w:trHeight w:val="146"/>
        </w:trPr>
        <w:tc>
          <w:tcPr>
            <w:tcW w:w="5280" w:type="dxa"/>
            <w:vAlign w:val="bottom"/>
            <w:tcBorders>
              <w:left w:val="single" w:sz="8" w:color="auto"/>
            </w:tcBorders>
            <w:shd w:val="clear" w:color="auto" w:fill="CCEEFF"/>
          </w:tcPr>
          <w:p>
            <w:pPr>
              <w:ind w:left="80"/>
              <w:spacing w:after="0"/>
              <w:rPr>
                <w:sz w:val="20"/>
                <w:szCs w:val="20"/>
                <w:color w:val="auto"/>
              </w:rPr>
            </w:pPr>
            <w:r>
              <w:rPr>
                <w:rFonts w:ascii="Arial" w:cs="Arial" w:eastAsia="Arial" w:hAnsi="Arial"/>
                <w:sz w:val="11"/>
                <w:szCs w:val="11"/>
                <w:color w:val="auto"/>
              </w:rPr>
              <w:t>Fixed income, including money market</w:t>
            </w: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169.0</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173.0</w:t>
            </w:r>
          </w:p>
        </w:tc>
        <w:tc>
          <w:tcPr>
            <w:tcW w:w="80" w:type="dxa"/>
            <w:vAlign w:val="bottom"/>
            <w:shd w:val="clear" w:color="auto" w:fill="CCEEFF"/>
          </w:tcPr>
          <w:p>
            <w:pPr>
              <w:spacing w:after="0"/>
              <w:rPr>
                <w:sz w:val="12"/>
                <w:szCs w:val="12"/>
                <w:color w:val="auto"/>
              </w:rPr>
            </w:pPr>
          </w:p>
        </w:tc>
        <w:tc>
          <w:tcPr>
            <w:tcW w:w="1260" w:type="dxa"/>
            <w:vAlign w:val="bottom"/>
            <w:tcBorders>
              <w:right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(2.3)%</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170.4</w:t>
            </w:r>
          </w:p>
        </w:tc>
        <w:tc>
          <w:tcPr>
            <w:tcW w:w="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(0.8)%</w:t>
            </w:r>
          </w:p>
        </w:tc>
        <w:tc>
          <w:tcPr>
            <w:tcW w:w="20" w:type="dxa"/>
            <w:vAlign w:val="bottom"/>
            <w:shd w:val="clear" w:color="auto" w:fill="000000"/>
          </w:tcPr>
          <w:p>
            <w:pPr>
              <w:spacing w:after="0"/>
              <w:rPr>
                <w:sz w:val="12"/>
                <w:szCs w:val="12"/>
                <w:color w:val="auto"/>
              </w:rPr>
            </w:pPr>
          </w:p>
        </w:tc>
      </w:tr>
      <w:tr>
        <w:trPr>
          <w:trHeight w:val="142"/>
        </w:trPr>
        <w:tc>
          <w:tcPr>
            <w:tcW w:w="5280" w:type="dxa"/>
            <w:vAlign w:val="bottom"/>
            <w:tcBorders>
              <w:left w:val="single" w:sz="8" w:color="auto"/>
            </w:tcBorders>
          </w:tcPr>
          <w:p>
            <w:pPr>
              <w:ind w:left="80"/>
              <w:spacing w:after="0"/>
              <w:rPr>
                <w:sz w:val="20"/>
                <w:szCs w:val="20"/>
                <w:color w:val="auto"/>
              </w:rPr>
            </w:pPr>
            <w:r>
              <w:rPr>
                <w:rFonts w:ascii="Arial" w:cs="Arial" w:eastAsia="Arial" w:hAnsi="Arial"/>
                <w:sz w:val="11"/>
                <w:szCs w:val="11"/>
                <w:color w:val="auto"/>
              </w:rPr>
              <w:t>Multi-asset</w:t>
            </w:r>
          </w:p>
        </w:tc>
        <w:tc>
          <w:tcPr>
            <w:tcW w:w="180" w:type="dxa"/>
            <w:vAlign w:val="bottom"/>
          </w:tcPr>
          <w:p>
            <w:pPr>
              <w:spacing w:after="0"/>
              <w:rPr>
                <w:sz w:val="12"/>
                <w:szCs w:val="12"/>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453.8</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406.7</w:t>
            </w:r>
          </w:p>
        </w:tc>
        <w:tc>
          <w:tcPr>
            <w:tcW w:w="80" w:type="dxa"/>
            <w:vAlign w:val="bottom"/>
          </w:tcPr>
          <w:p>
            <w:pPr>
              <w:spacing w:after="0"/>
              <w:rPr>
                <w:sz w:val="12"/>
                <w:szCs w:val="12"/>
                <w:color w:val="auto"/>
              </w:rPr>
            </w:pPr>
          </w:p>
        </w:tc>
        <w:tc>
          <w:tcPr>
            <w:tcW w:w="1260" w:type="dxa"/>
            <w:vAlign w:val="bottom"/>
            <w:tcBorders>
              <w:right w:val="single" w:sz="8" w:color="auto"/>
            </w:tcBorders>
          </w:tcPr>
          <w:p>
            <w:pPr>
              <w:jc w:val="right"/>
              <w:ind w:right="46"/>
              <w:spacing w:after="0"/>
              <w:rPr>
                <w:sz w:val="20"/>
                <w:szCs w:val="20"/>
                <w:color w:val="auto"/>
              </w:rPr>
            </w:pPr>
            <w:r>
              <w:rPr>
                <w:rFonts w:ascii="Arial" w:cs="Arial" w:eastAsia="Arial" w:hAnsi="Arial"/>
                <w:sz w:val="11"/>
                <w:szCs w:val="11"/>
                <w:color w:val="auto"/>
              </w:rPr>
              <w:t>11.6 %</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439.0</w:t>
            </w:r>
          </w:p>
        </w:tc>
        <w:tc>
          <w:tcPr>
            <w:tcW w:w="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3.4 %</w:t>
            </w:r>
          </w:p>
        </w:tc>
        <w:tc>
          <w:tcPr>
            <w:tcW w:w="20" w:type="dxa"/>
            <w:vAlign w:val="bottom"/>
            <w:shd w:val="clear" w:color="auto" w:fill="000000"/>
          </w:tcPr>
          <w:p>
            <w:pPr>
              <w:spacing w:after="0"/>
              <w:rPr>
                <w:sz w:val="12"/>
                <w:szCs w:val="12"/>
                <w:color w:val="auto"/>
              </w:rPr>
            </w:pPr>
          </w:p>
        </w:tc>
      </w:tr>
      <w:tr>
        <w:trPr>
          <w:trHeight w:val="144"/>
        </w:trPr>
        <w:tc>
          <w:tcPr>
            <w:tcW w:w="5280" w:type="dxa"/>
            <w:vAlign w:val="bottom"/>
            <w:tcBorders>
              <w:left w:val="single" w:sz="8" w:color="auto"/>
            </w:tcBorders>
            <w:shd w:val="clear" w:color="auto" w:fill="CCEEFF"/>
          </w:tcPr>
          <w:p>
            <w:pPr>
              <w:ind w:left="80"/>
              <w:spacing w:after="0"/>
              <w:rPr>
                <w:sz w:val="20"/>
                <w:szCs w:val="20"/>
                <w:color w:val="auto"/>
              </w:rPr>
            </w:pPr>
            <w:r>
              <w:rPr>
                <w:rFonts w:ascii="Arial" w:cs="Arial" w:eastAsia="Arial" w:hAnsi="Arial"/>
                <w:sz w:val="11"/>
                <w:szCs w:val="11"/>
                <w:color w:val="auto"/>
              </w:rPr>
              <w:t>Alternatives</w:t>
            </w:r>
          </w:p>
        </w:tc>
        <w:tc>
          <w:tcPr>
            <w:tcW w:w="1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45.8</w:t>
            </w:r>
          </w:p>
        </w:tc>
        <w:tc>
          <w:tcPr>
            <w:tcW w:w="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42.9</w:t>
            </w:r>
          </w:p>
        </w:tc>
        <w:tc>
          <w:tcPr>
            <w:tcW w:w="80" w:type="dxa"/>
            <w:vAlign w:val="bottom"/>
            <w:shd w:val="clear" w:color="auto" w:fill="CCEEFF"/>
          </w:tcPr>
          <w:p>
            <w:pPr>
              <w:spacing w:after="0"/>
              <w:rPr>
                <w:sz w:val="12"/>
                <w:szCs w:val="12"/>
                <w:color w:val="auto"/>
              </w:rPr>
            </w:pPr>
          </w:p>
        </w:tc>
        <w:tc>
          <w:tcPr>
            <w:tcW w:w="1260" w:type="dxa"/>
            <w:vAlign w:val="bottom"/>
            <w:tcBorders>
              <w:bottom w:val="single" w:sz="8" w:color="auto"/>
              <w:right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6.8 %</w:t>
            </w:r>
          </w:p>
        </w:tc>
        <w:tc>
          <w:tcPr>
            <w:tcW w:w="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44.6</w:t>
            </w:r>
          </w:p>
        </w:tc>
        <w:tc>
          <w:tcPr>
            <w:tcW w:w="60" w:type="dxa"/>
            <w:vAlign w:val="bottom"/>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2.7 %</w:t>
            </w:r>
          </w:p>
        </w:tc>
        <w:tc>
          <w:tcPr>
            <w:tcW w:w="20" w:type="dxa"/>
            <w:vAlign w:val="bottom"/>
            <w:tcBorders>
              <w:bottom w:val="single" w:sz="8" w:color="auto"/>
            </w:tcBorders>
            <w:shd w:val="clear" w:color="auto" w:fill="000000"/>
          </w:tcPr>
          <w:p>
            <w:pPr>
              <w:spacing w:after="0"/>
              <w:rPr>
                <w:sz w:val="12"/>
                <w:szCs w:val="12"/>
                <w:color w:val="auto"/>
              </w:rPr>
            </w:pPr>
          </w:p>
        </w:tc>
      </w:tr>
      <w:tr>
        <w:trPr>
          <w:trHeight w:val="182"/>
        </w:trPr>
        <w:tc>
          <w:tcPr>
            <w:tcW w:w="5280" w:type="dxa"/>
            <w:vAlign w:val="bottom"/>
            <w:tcBorders>
              <w:left w:val="single" w:sz="8" w:color="auto"/>
              <w:bottom w:val="single" w:sz="8" w:color="CCEEFF"/>
            </w:tcBorders>
          </w:tcPr>
          <w:p>
            <w:pPr>
              <w:ind w:left="20"/>
              <w:spacing w:after="0"/>
              <w:rPr>
                <w:sz w:val="20"/>
                <w:szCs w:val="20"/>
                <w:color w:val="auto"/>
              </w:rPr>
            </w:pPr>
            <w:r>
              <w:rPr>
                <w:rFonts w:ascii="Arial" w:cs="Arial" w:eastAsia="Arial" w:hAnsi="Arial"/>
                <w:sz w:val="11"/>
                <w:szCs w:val="11"/>
                <w:color w:val="auto"/>
              </w:rPr>
              <w:t>Average AUM</w:t>
            </w:r>
          </w:p>
        </w:tc>
        <w:tc>
          <w:tcPr>
            <w:tcW w:w="1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1,393.6</w:t>
            </w:r>
          </w:p>
        </w:tc>
        <w:tc>
          <w:tcPr>
            <w:tcW w:w="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1,347.5</w:t>
            </w:r>
          </w:p>
        </w:tc>
        <w:tc>
          <w:tcPr>
            <w:tcW w:w="80" w:type="dxa"/>
            <w:vAlign w:val="bottom"/>
            <w:tcBorders>
              <w:bottom w:val="single" w:sz="8" w:color="CCEEFF"/>
            </w:tcBorders>
          </w:tcPr>
          <w:p>
            <w:pPr>
              <w:spacing w:after="0"/>
              <w:rPr>
                <w:sz w:val="15"/>
                <w:szCs w:val="15"/>
                <w:color w:val="auto"/>
              </w:rPr>
            </w:pPr>
          </w:p>
        </w:tc>
        <w:tc>
          <w:tcPr>
            <w:tcW w:w="1260" w:type="dxa"/>
            <w:vAlign w:val="bottom"/>
            <w:tcBorders>
              <w:bottom w:val="single" w:sz="8" w:color="auto"/>
              <w:right w:val="single" w:sz="8" w:color="auto"/>
            </w:tcBorders>
          </w:tcPr>
          <w:p>
            <w:pPr>
              <w:jc w:val="right"/>
              <w:ind w:right="46"/>
              <w:spacing w:after="0"/>
              <w:rPr>
                <w:sz w:val="20"/>
                <w:szCs w:val="20"/>
                <w:color w:val="auto"/>
              </w:rPr>
            </w:pPr>
            <w:r>
              <w:rPr>
                <w:rFonts w:ascii="Arial" w:cs="Arial" w:eastAsia="Arial" w:hAnsi="Arial"/>
                <w:sz w:val="11"/>
                <w:szCs w:val="11"/>
                <w:color w:val="auto"/>
              </w:rPr>
              <w:t>3.4 %</w:t>
            </w: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1,357.4</w:t>
            </w:r>
          </w:p>
        </w:tc>
        <w:tc>
          <w:tcPr>
            <w:tcW w:w="6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2.7 %</w:t>
            </w:r>
          </w:p>
        </w:tc>
        <w:tc>
          <w:tcPr>
            <w:tcW w:w="20" w:type="dxa"/>
            <w:vAlign w:val="bottom"/>
            <w:tcBorders>
              <w:bottom w:val="single" w:sz="8" w:color="auto"/>
            </w:tcBorders>
            <w:shd w:val="clear" w:color="auto" w:fill="000000"/>
          </w:tcPr>
          <w:p>
            <w:pPr>
              <w:spacing w:after="0"/>
              <w:rPr>
                <w:sz w:val="15"/>
                <w:szCs w:val="15"/>
                <w:color w:val="auto"/>
              </w:rPr>
            </w:pPr>
          </w:p>
        </w:tc>
      </w:tr>
      <w:tr>
        <w:trPr>
          <w:trHeight w:val="20"/>
        </w:trPr>
        <w:tc>
          <w:tcPr>
            <w:tcW w:w="5280" w:type="dxa"/>
            <w:vAlign w:val="bottom"/>
            <w:tcBorders>
              <w:top w:val="single" w:sz="8" w:color="CCEEFF"/>
              <w:lef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920" w:type="dxa"/>
            <w:vAlign w:val="bottom"/>
            <w:tcBorders>
              <w:top w:val="single" w:sz="8" w:color="CCEEFF"/>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c>
          <w:tcPr>
            <w:tcW w:w="9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260" w:type="dxa"/>
            <w:vAlign w:val="bottom"/>
            <w:tcBorders>
              <w:top w:val="single" w:sz="8" w:color="CCEEFF"/>
              <w:right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920" w:type="dxa"/>
            <w:vAlign w:val="bottom"/>
            <w:tcBorders>
              <w:top w:val="single" w:sz="8" w:color="CCEEFF"/>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000000"/>
          </w:tcPr>
          <w:p>
            <w:pPr>
              <w:spacing w:after="0" w:line="20" w:lineRule="exact"/>
              <w:rPr>
                <w:sz w:val="1"/>
                <w:szCs w:val="1"/>
                <w:color w:val="auto"/>
              </w:rPr>
            </w:pPr>
          </w:p>
        </w:tc>
        <w:tc>
          <w:tcPr>
            <w:tcW w:w="1200" w:type="dxa"/>
            <w:vAlign w:val="bottom"/>
            <w:tcBorders>
              <w:top w:val="single" w:sz="8" w:color="CCEEFF"/>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7172960</wp:posOffset>
            </wp:positionH>
            <wp:positionV relativeFrom="paragraph">
              <wp:posOffset>-16510</wp:posOffset>
            </wp:positionV>
            <wp:extent cx="57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 cy="1714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0"/>
          <w:szCs w:val="10"/>
          <w:i w:val="1"/>
          <w:iCs w:val="1"/>
          <w:color w:val="auto"/>
          <w:vertAlign w:val="superscript"/>
        </w:rPr>
        <w:t>(1)</w:t>
      </w:r>
      <w:r>
        <w:rPr>
          <w:rFonts w:ascii="Arial" w:cs="Arial" w:eastAsia="Arial" w:hAnsi="Arial"/>
          <w:sz w:val="8"/>
          <w:szCs w:val="8"/>
          <w:i w:val="1"/>
          <w:iCs w:val="1"/>
          <w:color w:val="auto"/>
        </w:rPr>
        <w:t>The Capital allocation-based income represents the change in accrued carried interest. The percentage change is not meaningful (n/m).</w:t>
      </w:r>
    </w:p>
    <w:p>
      <w:pPr>
        <w:spacing w:after="0" w:line="203" w:lineRule="exact"/>
        <w:rPr>
          <w:sz w:val="20"/>
          <w:szCs w:val="20"/>
          <w:color w:val="auto"/>
        </w:rPr>
      </w:pPr>
    </w:p>
    <w:p>
      <w:pPr>
        <w:ind w:right="120"/>
        <w:spacing w:after="0" w:line="395" w:lineRule="auto"/>
        <w:rPr>
          <w:sz w:val="20"/>
          <w:szCs w:val="20"/>
          <w:color w:val="auto"/>
        </w:rPr>
      </w:pPr>
      <w:r>
        <w:rPr>
          <w:rFonts w:ascii="Arial" w:cs="Arial" w:eastAsia="Arial" w:hAnsi="Arial"/>
          <w:sz w:val="12"/>
          <w:szCs w:val="12"/>
          <w:b w:val="1"/>
          <w:bCs w:val="1"/>
          <w:color w:val="auto"/>
        </w:rPr>
        <w:t xml:space="preserve">Net revenues </w:t>
      </w:r>
      <w:r>
        <w:rPr>
          <w:rFonts w:ascii="Arial" w:cs="Arial" w:eastAsia="Arial" w:hAnsi="Arial"/>
          <w:sz w:val="12"/>
          <w:szCs w:val="12"/>
          <w:color w:val="auto"/>
        </w:rPr>
        <w:t>earned in Q3 2023 were $1.7 billion, an increase of 5.2% from Q3 2022 and an increase of 3.8% from Q2 2023. The Q3 2023 increase over both periods was driven by increases in accrued carried</w:t>
      </w:r>
      <w:r>
        <w:rPr>
          <w:rFonts w:ascii="Arial" w:cs="Arial" w:eastAsia="Arial" w:hAnsi="Arial"/>
          <w:sz w:val="12"/>
          <w:szCs w:val="12"/>
          <w:b w:val="1"/>
          <w:bCs w:val="1"/>
          <w:color w:val="auto"/>
        </w:rPr>
        <w:t xml:space="preserve"> </w:t>
      </w:r>
      <w:r>
        <w:rPr>
          <w:rFonts w:ascii="Arial" w:cs="Arial" w:eastAsia="Arial" w:hAnsi="Arial"/>
          <w:sz w:val="12"/>
          <w:szCs w:val="12"/>
          <w:color w:val="auto"/>
        </w:rPr>
        <w:t>interest and higher investment advisory fees.</w:t>
      </w:r>
    </w:p>
    <w:p>
      <w:pPr>
        <w:spacing w:after="0" w:line="155" w:lineRule="exact"/>
        <w:rPr>
          <w:sz w:val="20"/>
          <w:szCs w:val="20"/>
          <w:color w:val="auto"/>
        </w:rPr>
      </w:pPr>
    </w:p>
    <w:p>
      <w:pPr>
        <w:ind w:left="420" w:right="80" w:hanging="212"/>
        <w:spacing w:after="0" w:line="358" w:lineRule="auto"/>
        <w:tabs>
          <w:tab w:leader="none" w:pos="417" w:val="left"/>
        </w:tabs>
        <w:numPr>
          <w:ilvl w:val="0"/>
          <w:numId w:val="5"/>
        </w:numPr>
        <w:rPr>
          <w:rFonts w:ascii="Arial" w:cs="Arial" w:eastAsia="Arial" w:hAnsi="Arial"/>
          <w:sz w:val="14"/>
          <w:szCs w:val="14"/>
          <w:b w:val="1"/>
          <w:bCs w:val="1"/>
          <w:color w:val="40AEFF"/>
        </w:rPr>
      </w:pPr>
      <w:r>
        <w:rPr>
          <w:rFonts w:ascii="Arial" w:cs="Arial" w:eastAsia="Arial" w:hAnsi="Arial"/>
          <w:sz w:val="12"/>
          <w:szCs w:val="12"/>
          <w:color w:val="auto"/>
        </w:rPr>
        <w:t>The investment advisory fee annualized effective fee rate of 41.7 basis points in Q3 2023 decreased from 42.5 basis points earned in Q3 2022 and 42.3 basis points earned in Q2 2023. In comparison with Q3 2022, the decrease was primarily driven by a mix shift in assets under management toward lower fee asset classes and vehicles as a result of net equity outflows over the last twelve months. The impact of the net equity outflows was offset slightly by higher market returns. In comparison with Q2 2023, the decrease was primarily driven by performance fees earned on certain alternatives and equity products in Q2 2023 along with a mix shift in assets under management toward lower fee asset classes and vehicles.</w:t>
      </w:r>
    </w:p>
    <w:p>
      <w:pPr>
        <w:spacing w:after="0" w:line="186" w:lineRule="exact"/>
        <w:rPr>
          <w:rFonts w:ascii="Arial" w:cs="Arial" w:eastAsia="Arial" w:hAnsi="Arial"/>
          <w:sz w:val="14"/>
          <w:szCs w:val="14"/>
          <w:b w:val="1"/>
          <w:bCs w:val="1"/>
          <w:color w:val="40AEFF"/>
        </w:rPr>
      </w:pPr>
    </w:p>
    <w:p>
      <w:pPr>
        <w:ind w:left="420" w:right="180" w:hanging="212"/>
        <w:spacing w:after="0" w:line="358" w:lineRule="auto"/>
        <w:tabs>
          <w:tab w:leader="none" w:pos="417" w:val="left"/>
        </w:tabs>
        <w:numPr>
          <w:ilvl w:val="0"/>
          <w:numId w:val="5"/>
        </w:numPr>
        <w:rPr>
          <w:rFonts w:ascii="Arial" w:cs="Arial" w:eastAsia="Arial" w:hAnsi="Arial"/>
          <w:sz w:val="14"/>
          <w:szCs w:val="14"/>
          <w:b w:val="1"/>
          <w:bCs w:val="1"/>
          <w:i w:val="1"/>
          <w:iCs w:val="1"/>
          <w:color w:val="40AEFF"/>
        </w:rPr>
      </w:pPr>
      <w:r>
        <w:rPr>
          <w:rFonts w:ascii="Arial" w:cs="Arial" w:eastAsia="Arial" w:hAnsi="Arial"/>
          <w:sz w:val="12"/>
          <w:szCs w:val="12"/>
          <w:color w:val="auto"/>
        </w:rPr>
        <w:t>Capital allocation-based income in Q3 2023 of $66.1 million includes $91.9 million in additional accrued carried interest, partially offset by $25.8 million in acquisition-related non-cash amortization and impairments. Comparatively, the Q3 2022 amount of $1.1 million includes $14.3 million in additional accrued carried interest, substantially offset by $13.2 million in non-cash amortization. The increase in accrued carried interest in the 2023 quarter as compared to the 2022 quarter was largely driven by stronger absolute and relative performance.</w:t>
      </w:r>
    </w:p>
    <w:p>
      <w:pPr>
        <w:spacing w:after="0" w:line="14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 portion of the capital allocation-based income is passed through as compensation and recognized in compensation and related costs with the unpaid amount reported as non-controlling interest on the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300"/>
          </w:cols>
          <w:pgMar w:left="300" w:top="719" w:right="299" w:bottom="1440" w:gutter="0" w:footer="0" w:header="0"/>
        </w:sectPr>
      </w:pPr>
    </w:p>
    <w:bookmarkStart w:id="5" w:name="page6"/>
    <w:bookmarkEnd w:id="5"/>
    <w:p>
      <w:pPr>
        <w:ind w:left="428" w:right="200"/>
        <w:spacing w:after="0" w:line="385" w:lineRule="auto"/>
        <w:rPr>
          <w:sz w:val="20"/>
          <w:szCs w:val="20"/>
          <w:color w:val="auto"/>
        </w:rPr>
      </w:pPr>
      <w:r>
        <w:rPr>
          <w:rFonts w:ascii="Arial" w:cs="Arial" w:eastAsia="Arial" w:hAnsi="Arial"/>
          <w:sz w:val="12"/>
          <w:szCs w:val="12"/>
          <w:color w:val="auto"/>
        </w:rPr>
        <w:t>consolidated balance sheet. For detail of the quarterly change in accrued carried interest, which is reported as part of investments on the consolidated balance sheet, and related non-controlling interest, see the applicable tables at the end of this release.</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2"/>
          <w:szCs w:val="12"/>
          <w:b w:val="1"/>
          <w:bCs w:val="1"/>
          <w:u w:val="single" w:color="auto"/>
          <w:color w:val="auto"/>
        </w:rPr>
        <w:t>Operating Expenses</w:t>
      </w:r>
    </w:p>
    <w:p>
      <w:pPr>
        <w:spacing w:after="0" w:line="217" w:lineRule="exact"/>
        <w:rPr>
          <w:sz w:val="20"/>
          <w:szCs w:val="20"/>
          <w:color w:val="auto"/>
        </w:rPr>
      </w:pPr>
    </w:p>
    <w:tbl>
      <w:tblPr>
        <w:tblLayout w:type="fixed"/>
        <w:tblInd w:w="18" w:type="dxa"/>
        <w:tblCellMar>
          <w:top w:w="0" w:type="dxa"/>
          <w:left w:w="0" w:type="dxa"/>
          <w:bottom w:w="0" w:type="dxa"/>
          <w:right w:w="0" w:type="dxa"/>
        </w:tblCellMar>
      </w:tblPr>
      <w:tr>
        <w:trPr>
          <w:trHeight w:val="153"/>
        </w:trPr>
        <w:tc>
          <w:tcPr>
            <w:tcW w:w="4860" w:type="dxa"/>
            <w:vAlign w:val="bottom"/>
            <w:tcBorders>
              <w:top w:val="single" w:sz="8" w:color="auto"/>
              <w:left w:val="single" w:sz="8" w:color="auto"/>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1540" w:type="dxa"/>
            <w:vAlign w:val="bottom"/>
            <w:tcBorders>
              <w:top w:val="single" w:sz="8" w:color="auto"/>
              <w:bottom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Three months ended</w:t>
            </w: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1420" w:type="dxa"/>
            <w:vAlign w:val="bottom"/>
            <w:tcBorders>
              <w:top w:val="single" w:sz="8" w:color="auto"/>
              <w:bottom w:val="single" w:sz="8" w:color="auto"/>
              <w:right w:val="single" w:sz="8" w:color="auto"/>
            </w:tcBorders>
            <w:shd w:val="clear" w:color="auto" w:fill="CCEEFF"/>
          </w:tcPr>
          <w:p>
            <w:pPr>
              <w:spacing w:after="0"/>
              <w:rPr>
                <w:sz w:val="13"/>
                <w:szCs w:val="13"/>
                <w:color w:val="auto"/>
              </w:rPr>
            </w:pPr>
          </w:p>
        </w:tc>
      </w:tr>
      <w:tr>
        <w:trPr>
          <w:trHeight w:val="133"/>
        </w:trPr>
        <w:tc>
          <w:tcPr>
            <w:tcW w:w="4860" w:type="dxa"/>
            <w:vAlign w:val="bottom"/>
            <w:tcBorders>
              <w:left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180" w:type="dxa"/>
            <w:vAlign w:val="bottom"/>
          </w:tcPr>
          <w:p>
            <w:pPr>
              <w:spacing w:after="0"/>
              <w:rPr>
                <w:sz w:val="11"/>
                <w:szCs w:val="11"/>
                <w:color w:val="auto"/>
              </w:rPr>
            </w:pPr>
          </w:p>
        </w:tc>
        <w:tc>
          <w:tcPr>
            <w:tcW w:w="900" w:type="dxa"/>
            <w:vAlign w:val="bottom"/>
          </w:tcPr>
          <w:p>
            <w:pPr>
              <w:jc w:val="right"/>
              <w:ind w:right="246"/>
              <w:spacing w:after="0"/>
              <w:rPr>
                <w:sz w:val="20"/>
                <w:szCs w:val="20"/>
                <w:color w:val="auto"/>
              </w:rPr>
            </w:pPr>
            <w:r>
              <w:rPr>
                <w:rFonts w:ascii="Arial" w:cs="Arial" w:eastAsia="Arial" w:hAnsi="Arial"/>
                <w:sz w:val="11"/>
                <w:szCs w:val="11"/>
                <w:color w:val="auto"/>
              </w:rPr>
              <w:t>9/30/2023</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right"/>
              <w:ind w:right="246"/>
              <w:spacing w:after="0"/>
              <w:rPr>
                <w:sz w:val="20"/>
                <w:szCs w:val="20"/>
                <w:color w:val="auto"/>
              </w:rPr>
            </w:pPr>
            <w:r>
              <w:rPr>
                <w:rFonts w:ascii="Arial" w:cs="Arial" w:eastAsia="Arial" w:hAnsi="Arial"/>
                <w:sz w:val="11"/>
                <w:szCs w:val="11"/>
                <w:color w:val="auto"/>
              </w:rPr>
              <w:t>9/30/2022</w:t>
            </w:r>
          </w:p>
        </w:tc>
        <w:tc>
          <w:tcPr>
            <w:tcW w:w="80" w:type="dxa"/>
            <w:vAlign w:val="bottom"/>
          </w:tcPr>
          <w:p>
            <w:pPr>
              <w:spacing w:after="0"/>
              <w:rPr>
                <w:sz w:val="11"/>
                <w:szCs w:val="11"/>
                <w:color w:val="auto"/>
              </w:rPr>
            </w:pPr>
          </w:p>
        </w:tc>
        <w:tc>
          <w:tcPr>
            <w:tcW w:w="1480" w:type="dxa"/>
            <w:vAlign w:val="bottom"/>
            <w:tcBorders>
              <w:right w:val="single" w:sz="8" w:color="auto"/>
            </w:tcBorders>
            <w:gridSpan w:val="2"/>
          </w:tcPr>
          <w:p>
            <w:pPr>
              <w:ind w:left="400"/>
              <w:spacing w:after="0" w:line="133" w:lineRule="exact"/>
              <w:rPr>
                <w:sz w:val="20"/>
                <w:szCs w:val="20"/>
                <w:color w:val="auto"/>
              </w:rPr>
            </w:pPr>
            <w:r>
              <w:rPr>
                <w:rFonts w:ascii="Arial" w:cs="Arial" w:eastAsia="Arial" w:hAnsi="Arial"/>
                <w:sz w:val="11"/>
                <w:szCs w:val="11"/>
                <w:color w:val="auto"/>
              </w:rPr>
              <w:t xml:space="preserve">% Change </w:t>
            </w:r>
            <w:r>
              <w:rPr>
                <w:rFonts w:ascii="Arial" w:cs="Arial" w:eastAsia="Arial" w:hAnsi="Arial"/>
                <w:sz w:val="14"/>
                <w:szCs w:val="14"/>
                <w:color w:val="auto"/>
                <w:vertAlign w:val="superscript"/>
              </w:rPr>
              <w:t>(1)</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right"/>
              <w:ind w:right="246"/>
              <w:spacing w:after="0"/>
              <w:rPr>
                <w:sz w:val="20"/>
                <w:szCs w:val="20"/>
                <w:color w:val="auto"/>
              </w:rPr>
            </w:pPr>
            <w:r>
              <w:rPr>
                <w:rFonts w:ascii="Arial" w:cs="Arial" w:eastAsia="Arial" w:hAnsi="Arial"/>
                <w:sz w:val="11"/>
                <w:szCs w:val="11"/>
                <w:color w:val="auto"/>
              </w:rPr>
              <w:t>6/30/2023</w:t>
            </w:r>
          </w:p>
        </w:tc>
        <w:tc>
          <w:tcPr>
            <w:tcW w:w="80" w:type="dxa"/>
            <w:vAlign w:val="bottom"/>
          </w:tcPr>
          <w:p>
            <w:pPr>
              <w:spacing w:after="0"/>
              <w:rPr>
                <w:sz w:val="11"/>
                <w:szCs w:val="11"/>
                <w:color w:val="auto"/>
              </w:rPr>
            </w:pPr>
          </w:p>
        </w:tc>
        <w:tc>
          <w:tcPr>
            <w:tcW w:w="1420" w:type="dxa"/>
            <w:vAlign w:val="bottom"/>
            <w:tcBorders>
              <w:right w:val="single" w:sz="8" w:color="auto"/>
            </w:tcBorders>
          </w:tcPr>
          <w:p>
            <w:pPr>
              <w:jc w:val="right"/>
              <w:ind w:right="346"/>
              <w:spacing w:after="0" w:line="133" w:lineRule="exact"/>
              <w:rPr>
                <w:sz w:val="20"/>
                <w:szCs w:val="20"/>
                <w:color w:val="auto"/>
              </w:rPr>
            </w:pPr>
            <w:r>
              <w:rPr>
                <w:rFonts w:ascii="Arial" w:cs="Arial" w:eastAsia="Arial" w:hAnsi="Arial"/>
                <w:sz w:val="11"/>
                <w:szCs w:val="11"/>
                <w:color w:val="auto"/>
              </w:rPr>
              <w:t xml:space="preserve">% Change </w:t>
            </w:r>
            <w:r>
              <w:rPr>
                <w:rFonts w:ascii="Arial" w:cs="Arial" w:eastAsia="Arial" w:hAnsi="Arial"/>
                <w:sz w:val="14"/>
                <w:szCs w:val="14"/>
                <w:color w:val="auto"/>
                <w:vertAlign w:val="superscript"/>
              </w:rPr>
              <w:t>(1)</w:t>
            </w:r>
          </w:p>
        </w:tc>
      </w:tr>
      <w:tr>
        <w:trPr>
          <w:trHeight w:val="133"/>
        </w:trPr>
        <w:tc>
          <w:tcPr>
            <w:tcW w:w="4860" w:type="dxa"/>
            <w:vAlign w:val="bottom"/>
            <w:tcBorders>
              <w:top w:val="single" w:sz="8" w:color="CCEEFF"/>
              <w:left w:val="single" w:sz="8" w:color="auto"/>
            </w:tcBorders>
            <w:shd w:val="clear" w:color="auto" w:fill="CCEEFF"/>
          </w:tcPr>
          <w:p>
            <w:pPr>
              <w:ind w:left="80"/>
              <w:spacing w:after="0"/>
              <w:rPr>
                <w:sz w:val="20"/>
                <w:szCs w:val="20"/>
                <w:color w:val="auto"/>
              </w:rPr>
            </w:pPr>
            <w:r>
              <w:rPr>
                <w:rFonts w:ascii="Arial" w:cs="Arial" w:eastAsia="Arial" w:hAnsi="Arial"/>
                <w:sz w:val="11"/>
                <w:szCs w:val="11"/>
                <w:color w:val="auto"/>
              </w:rPr>
              <w:t>Compensation, benefits, and related costs</w:t>
            </w:r>
          </w:p>
        </w:tc>
        <w:tc>
          <w:tcPr>
            <w:tcW w:w="1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617.0</w:t>
            </w: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595.6</w:t>
            </w:r>
          </w:p>
        </w:tc>
        <w:tc>
          <w:tcPr>
            <w:tcW w:w="80" w:type="dxa"/>
            <w:vAlign w:val="bottom"/>
            <w:tcBorders>
              <w:top w:val="single" w:sz="8" w:color="CCEEFF"/>
            </w:tcBorders>
            <w:shd w:val="clear" w:color="auto" w:fill="CCEEFF"/>
          </w:tcPr>
          <w:p>
            <w:pPr>
              <w:spacing w:after="0"/>
              <w:rPr>
                <w:sz w:val="11"/>
                <w:szCs w:val="11"/>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3.6 %</w:t>
            </w:r>
          </w:p>
        </w:tc>
        <w:tc>
          <w:tcPr>
            <w:tcW w:w="100" w:type="dxa"/>
            <w:vAlign w:val="bottom"/>
            <w:tcBorders>
              <w:top w:val="single" w:sz="8" w:color="CCEEFF"/>
              <w:right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591.0</w:t>
            </w:r>
          </w:p>
        </w:tc>
        <w:tc>
          <w:tcPr>
            <w:tcW w:w="80" w:type="dxa"/>
            <w:vAlign w:val="bottom"/>
            <w:tcBorders>
              <w:top w:val="single" w:sz="8" w:color="CCEEFF"/>
            </w:tcBorders>
            <w:shd w:val="clear" w:color="auto" w:fill="CCEEFF"/>
          </w:tcPr>
          <w:p>
            <w:pPr>
              <w:spacing w:after="0"/>
              <w:rPr>
                <w:sz w:val="11"/>
                <w:szCs w:val="11"/>
                <w:color w:val="auto"/>
              </w:rPr>
            </w:pPr>
          </w:p>
        </w:tc>
        <w:tc>
          <w:tcPr>
            <w:tcW w:w="142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4.4 %</w:t>
            </w:r>
          </w:p>
        </w:tc>
      </w:tr>
      <w:tr>
        <w:trPr>
          <w:trHeight w:val="142"/>
        </w:trPr>
        <w:tc>
          <w:tcPr>
            <w:tcW w:w="4860" w:type="dxa"/>
            <w:vAlign w:val="bottom"/>
            <w:tcBorders>
              <w:left w:val="single" w:sz="8" w:color="auto"/>
            </w:tcBorders>
          </w:tcPr>
          <w:p>
            <w:pPr>
              <w:ind w:left="80"/>
              <w:spacing w:after="0"/>
              <w:rPr>
                <w:sz w:val="20"/>
                <w:szCs w:val="20"/>
                <w:color w:val="auto"/>
              </w:rPr>
            </w:pPr>
            <w:r>
              <w:rPr>
                <w:rFonts w:ascii="Arial" w:cs="Arial" w:eastAsia="Arial" w:hAnsi="Arial"/>
                <w:sz w:val="11"/>
                <w:szCs w:val="11"/>
                <w:color w:val="auto"/>
              </w:rPr>
              <w:t>Acquisition-related retention agreements</w:t>
            </w:r>
          </w:p>
        </w:tc>
        <w:tc>
          <w:tcPr>
            <w:tcW w:w="1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13.7</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17.1</w:t>
            </w:r>
          </w:p>
        </w:tc>
        <w:tc>
          <w:tcPr>
            <w:tcW w:w="8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(19.9)%</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13.6</w:t>
            </w:r>
          </w:p>
        </w:tc>
        <w:tc>
          <w:tcPr>
            <w:tcW w:w="80" w:type="dxa"/>
            <w:vAlign w:val="bottom"/>
          </w:tcPr>
          <w:p>
            <w:pPr>
              <w:spacing w:after="0"/>
              <w:rPr>
                <w:sz w:val="12"/>
                <w:szCs w:val="12"/>
                <w:color w:val="auto"/>
              </w:rPr>
            </w:pPr>
          </w:p>
        </w:tc>
        <w:tc>
          <w:tcPr>
            <w:tcW w:w="142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0.7 %</w:t>
            </w:r>
          </w:p>
        </w:tc>
      </w:tr>
      <w:tr>
        <w:trPr>
          <w:trHeight w:val="146"/>
        </w:trPr>
        <w:tc>
          <w:tcPr>
            <w:tcW w:w="4860" w:type="dxa"/>
            <w:vAlign w:val="bottom"/>
            <w:tcBorders>
              <w:left w:val="single" w:sz="8" w:color="auto"/>
            </w:tcBorders>
            <w:shd w:val="clear" w:color="auto" w:fill="CCEEFF"/>
          </w:tcPr>
          <w:p>
            <w:pPr>
              <w:ind w:left="80"/>
              <w:spacing w:after="0" w:line="146" w:lineRule="exact"/>
              <w:rPr>
                <w:sz w:val="20"/>
                <w:szCs w:val="20"/>
                <w:color w:val="auto"/>
              </w:rPr>
            </w:pPr>
            <w:r>
              <w:rPr>
                <w:rFonts w:ascii="Arial" w:cs="Arial" w:eastAsia="Arial" w:hAnsi="Arial"/>
                <w:sz w:val="11"/>
                <w:szCs w:val="11"/>
                <w:color w:val="auto"/>
              </w:rPr>
              <w:t>Capital allocation-based income compensation</w:t>
            </w:r>
            <w:r>
              <w:rPr>
                <w:rFonts w:ascii="Arial" w:cs="Arial" w:eastAsia="Arial" w:hAnsi="Arial"/>
                <w:sz w:val="14"/>
                <w:szCs w:val="14"/>
                <w:color w:val="auto"/>
                <w:vertAlign w:val="superscript"/>
              </w:rPr>
              <w:t>(2)</w:t>
            </w: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19.9</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w:t>
            </w:r>
          </w:p>
        </w:tc>
        <w:tc>
          <w:tcPr>
            <w:tcW w:w="80" w:type="dxa"/>
            <w:vAlign w:val="bottom"/>
            <w:shd w:val="clear" w:color="auto" w:fill="CCEEFF"/>
          </w:tcPr>
          <w:p>
            <w:pPr>
              <w:spacing w:after="0"/>
              <w:rPr>
                <w:sz w:val="12"/>
                <w:szCs w:val="12"/>
                <w:color w:val="auto"/>
              </w:rPr>
            </w:pPr>
          </w:p>
        </w:tc>
        <w:tc>
          <w:tcPr>
            <w:tcW w:w="14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n/m</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10.6</w:t>
            </w:r>
          </w:p>
        </w:tc>
        <w:tc>
          <w:tcPr>
            <w:tcW w:w="80" w:type="dxa"/>
            <w:vAlign w:val="bottom"/>
            <w:shd w:val="clear" w:color="auto" w:fill="CCEEFF"/>
          </w:tcPr>
          <w:p>
            <w:pPr>
              <w:spacing w:after="0"/>
              <w:rPr>
                <w:sz w:val="12"/>
                <w:szCs w:val="12"/>
                <w:color w:val="auto"/>
              </w:rPr>
            </w:pPr>
          </w:p>
        </w:tc>
        <w:tc>
          <w:tcPr>
            <w:tcW w:w="1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n/m</w:t>
            </w:r>
          </w:p>
        </w:tc>
      </w:tr>
      <w:tr>
        <w:trPr>
          <w:trHeight w:val="142"/>
        </w:trPr>
        <w:tc>
          <w:tcPr>
            <w:tcW w:w="4860" w:type="dxa"/>
            <w:vAlign w:val="bottom"/>
            <w:tcBorders>
              <w:left w:val="single" w:sz="8" w:color="auto"/>
            </w:tcBorders>
          </w:tcPr>
          <w:p>
            <w:pPr>
              <w:ind w:left="80"/>
              <w:spacing w:after="0"/>
              <w:rPr>
                <w:sz w:val="20"/>
                <w:szCs w:val="20"/>
                <w:color w:val="auto"/>
              </w:rPr>
            </w:pPr>
            <w:r>
              <w:rPr>
                <w:rFonts w:ascii="Arial" w:cs="Arial" w:eastAsia="Arial" w:hAnsi="Arial"/>
                <w:sz w:val="11"/>
                <w:szCs w:val="11"/>
                <w:color w:val="auto"/>
              </w:rPr>
              <w:t>Supplemental savings plan</w:t>
            </w:r>
          </w:p>
        </w:tc>
        <w:tc>
          <w:tcPr>
            <w:tcW w:w="1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(14.2)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(24.7)</w:t>
            </w:r>
          </w:p>
        </w:tc>
        <w:tc>
          <w:tcPr>
            <w:tcW w:w="80" w:type="dxa"/>
            <w:vAlign w:val="bottom"/>
          </w:tcPr>
          <w:p>
            <w:pPr>
              <w:spacing w:after="0"/>
              <w:rPr>
                <w:sz w:val="12"/>
                <w:szCs w:val="12"/>
                <w:color w:val="auto"/>
              </w:rPr>
            </w:pPr>
          </w:p>
        </w:tc>
        <w:tc>
          <w:tcPr>
            <w:tcW w:w="14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1"/>
                <w:szCs w:val="11"/>
                <w:color w:val="auto"/>
              </w:rPr>
              <w:t>n/m</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33.0</w:t>
            </w:r>
          </w:p>
        </w:tc>
        <w:tc>
          <w:tcPr>
            <w:tcW w:w="80" w:type="dxa"/>
            <w:vAlign w:val="bottom"/>
          </w:tcPr>
          <w:p>
            <w:pPr>
              <w:spacing w:after="0"/>
              <w:rPr>
                <w:sz w:val="12"/>
                <w:szCs w:val="12"/>
                <w:color w:val="auto"/>
              </w:rPr>
            </w:pPr>
          </w:p>
        </w:tc>
        <w:tc>
          <w:tcPr>
            <w:tcW w:w="142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n/m</w:t>
            </w:r>
          </w:p>
        </w:tc>
      </w:tr>
      <w:tr>
        <w:trPr>
          <w:trHeight w:val="135"/>
        </w:trPr>
        <w:tc>
          <w:tcPr>
            <w:tcW w:w="4860" w:type="dxa"/>
            <w:vAlign w:val="bottom"/>
            <w:tcBorders>
              <w:top w:val="single" w:sz="8" w:color="CCEEFF"/>
              <w:left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Total compensation and related costs</w:t>
            </w:r>
          </w:p>
        </w:tc>
        <w:tc>
          <w:tcPr>
            <w:tcW w:w="18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636.4</w:t>
            </w: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588.1</w:t>
            </w:r>
          </w:p>
        </w:tc>
        <w:tc>
          <w:tcPr>
            <w:tcW w:w="80" w:type="dxa"/>
            <w:vAlign w:val="bottom"/>
            <w:tcBorders>
              <w:top w:val="single" w:sz="8" w:color="CCEEFF"/>
            </w:tcBorders>
            <w:shd w:val="clear" w:color="auto" w:fill="CCEEFF"/>
          </w:tcPr>
          <w:p>
            <w:pPr>
              <w:spacing w:after="0"/>
              <w:rPr>
                <w:sz w:val="11"/>
                <w:szCs w:val="11"/>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8.2 %</w:t>
            </w:r>
          </w:p>
        </w:tc>
        <w:tc>
          <w:tcPr>
            <w:tcW w:w="100" w:type="dxa"/>
            <w:vAlign w:val="bottom"/>
            <w:tcBorders>
              <w:top w:val="single" w:sz="8" w:color="CCEEFF"/>
              <w:right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648.2</w:t>
            </w:r>
          </w:p>
        </w:tc>
        <w:tc>
          <w:tcPr>
            <w:tcW w:w="80" w:type="dxa"/>
            <w:vAlign w:val="bottom"/>
            <w:tcBorders>
              <w:top w:val="single" w:sz="8" w:color="CCEEFF"/>
            </w:tcBorders>
            <w:shd w:val="clear" w:color="auto" w:fill="CCEEFF"/>
          </w:tcPr>
          <w:p>
            <w:pPr>
              <w:spacing w:after="0"/>
              <w:rPr>
                <w:sz w:val="11"/>
                <w:szCs w:val="11"/>
                <w:color w:val="auto"/>
              </w:rPr>
            </w:pPr>
          </w:p>
        </w:tc>
        <w:tc>
          <w:tcPr>
            <w:tcW w:w="142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w:t>
            </w:r>
          </w:p>
        </w:tc>
      </w:tr>
      <w:tr>
        <w:trPr>
          <w:trHeight w:val="142"/>
        </w:trPr>
        <w:tc>
          <w:tcPr>
            <w:tcW w:w="4860" w:type="dxa"/>
            <w:vAlign w:val="bottom"/>
            <w:tcBorders>
              <w:left w:val="single" w:sz="8" w:color="auto"/>
            </w:tcBorders>
          </w:tcPr>
          <w:p>
            <w:pPr>
              <w:ind w:left="20"/>
              <w:spacing w:after="0"/>
              <w:rPr>
                <w:sz w:val="20"/>
                <w:szCs w:val="20"/>
                <w:color w:val="auto"/>
              </w:rPr>
            </w:pPr>
            <w:r>
              <w:rPr>
                <w:rFonts w:ascii="Arial" w:cs="Arial" w:eastAsia="Arial" w:hAnsi="Arial"/>
                <w:sz w:val="11"/>
                <w:szCs w:val="11"/>
                <w:color w:val="auto"/>
              </w:rPr>
              <w:t>Distribution and servicing</w:t>
            </w:r>
          </w:p>
        </w:tc>
        <w:tc>
          <w:tcPr>
            <w:tcW w:w="1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74.9</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69.9</w:t>
            </w:r>
          </w:p>
        </w:tc>
        <w:tc>
          <w:tcPr>
            <w:tcW w:w="8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7.2 %</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67.8</w:t>
            </w:r>
          </w:p>
        </w:tc>
        <w:tc>
          <w:tcPr>
            <w:tcW w:w="80" w:type="dxa"/>
            <w:vAlign w:val="bottom"/>
          </w:tcPr>
          <w:p>
            <w:pPr>
              <w:spacing w:after="0"/>
              <w:rPr>
                <w:sz w:val="12"/>
                <w:szCs w:val="12"/>
                <w:color w:val="auto"/>
              </w:rPr>
            </w:pPr>
          </w:p>
        </w:tc>
        <w:tc>
          <w:tcPr>
            <w:tcW w:w="142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10.5 %</w:t>
            </w:r>
          </w:p>
        </w:tc>
      </w:tr>
      <w:tr>
        <w:trPr>
          <w:trHeight w:val="146"/>
        </w:trPr>
        <w:tc>
          <w:tcPr>
            <w:tcW w:w="4860" w:type="dxa"/>
            <w:vAlign w:val="bottom"/>
            <w:tcBorders>
              <w:left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Advertising and promotion</w:t>
            </w: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24.3</w:t>
            </w:r>
          </w:p>
        </w:tc>
        <w:tc>
          <w:tcPr>
            <w:tcW w:w="8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(13.2)%</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22.9</w:t>
            </w:r>
          </w:p>
        </w:tc>
        <w:tc>
          <w:tcPr>
            <w:tcW w:w="80" w:type="dxa"/>
            <w:vAlign w:val="bottom"/>
            <w:shd w:val="clear" w:color="auto" w:fill="CCEEFF"/>
          </w:tcPr>
          <w:p>
            <w:pPr>
              <w:spacing w:after="0"/>
              <w:rPr>
                <w:sz w:val="12"/>
                <w:szCs w:val="12"/>
                <w:color w:val="auto"/>
              </w:rPr>
            </w:pPr>
          </w:p>
        </w:tc>
        <w:tc>
          <w:tcPr>
            <w:tcW w:w="1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(7.9)%</w:t>
            </w:r>
          </w:p>
        </w:tc>
      </w:tr>
      <w:tr>
        <w:trPr>
          <w:trHeight w:val="142"/>
        </w:trPr>
        <w:tc>
          <w:tcPr>
            <w:tcW w:w="4860" w:type="dxa"/>
            <w:vAlign w:val="bottom"/>
            <w:tcBorders>
              <w:left w:val="single" w:sz="8" w:color="auto"/>
            </w:tcBorders>
          </w:tcPr>
          <w:p>
            <w:pPr>
              <w:ind w:left="20"/>
              <w:spacing w:after="0"/>
              <w:rPr>
                <w:sz w:val="20"/>
                <w:szCs w:val="20"/>
                <w:color w:val="auto"/>
              </w:rPr>
            </w:pPr>
            <w:r>
              <w:rPr>
                <w:rFonts w:ascii="Arial" w:cs="Arial" w:eastAsia="Arial" w:hAnsi="Arial"/>
                <w:sz w:val="11"/>
                <w:szCs w:val="11"/>
                <w:color w:val="auto"/>
              </w:rPr>
              <w:t>Product and recordkeeping related costs</w:t>
            </w:r>
          </w:p>
        </w:tc>
        <w:tc>
          <w:tcPr>
            <w:tcW w:w="1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73.1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75.6</w:t>
            </w:r>
          </w:p>
        </w:tc>
        <w:tc>
          <w:tcPr>
            <w:tcW w:w="8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(3.3)%</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77.7</w:t>
            </w:r>
          </w:p>
        </w:tc>
        <w:tc>
          <w:tcPr>
            <w:tcW w:w="80" w:type="dxa"/>
            <w:vAlign w:val="bottom"/>
          </w:tcPr>
          <w:p>
            <w:pPr>
              <w:spacing w:after="0"/>
              <w:rPr>
                <w:sz w:val="12"/>
                <w:szCs w:val="12"/>
                <w:color w:val="auto"/>
              </w:rPr>
            </w:pPr>
          </w:p>
        </w:tc>
        <w:tc>
          <w:tcPr>
            <w:tcW w:w="142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(5.9)%</w:t>
            </w:r>
          </w:p>
        </w:tc>
      </w:tr>
      <w:tr>
        <w:trPr>
          <w:trHeight w:val="146"/>
        </w:trPr>
        <w:tc>
          <w:tcPr>
            <w:tcW w:w="4860" w:type="dxa"/>
            <w:vAlign w:val="bottom"/>
            <w:tcBorders>
              <w:left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Technology, occupancy, and facility costs</w:t>
            </w: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159.7</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143.6</w:t>
            </w:r>
          </w:p>
        </w:tc>
        <w:tc>
          <w:tcPr>
            <w:tcW w:w="8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11.2 %</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154.7</w:t>
            </w:r>
          </w:p>
        </w:tc>
        <w:tc>
          <w:tcPr>
            <w:tcW w:w="80" w:type="dxa"/>
            <w:vAlign w:val="bottom"/>
            <w:shd w:val="clear" w:color="auto" w:fill="CCEEFF"/>
          </w:tcPr>
          <w:p>
            <w:pPr>
              <w:spacing w:after="0"/>
              <w:rPr>
                <w:sz w:val="12"/>
                <w:szCs w:val="12"/>
                <w:color w:val="auto"/>
              </w:rPr>
            </w:pPr>
          </w:p>
        </w:tc>
        <w:tc>
          <w:tcPr>
            <w:tcW w:w="1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3.2 %</w:t>
            </w:r>
          </w:p>
        </w:tc>
      </w:tr>
      <w:tr>
        <w:trPr>
          <w:trHeight w:val="142"/>
        </w:trPr>
        <w:tc>
          <w:tcPr>
            <w:tcW w:w="4860" w:type="dxa"/>
            <w:vAlign w:val="bottom"/>
            <w:tcBorders>
              <w:left w:val="single" w:sz="8" w:color="auto"/>
            </w:tcBorders>
          </w:tcPr>
          <w:p>
            <w:pPr>
              <w:ind w:left="20"/>
              <w:spacing w:after="0"/>
              <w:rPr>
                <w:sz w:val="20"/>
                <w:szCs w:val="20"/>
                <w:color w:val="auto"/>
              </w:rPr>
            </w:pPr>
            <w:r>
              <w:rPr>
                <w:rFonts w:ascii="Arial" w:cs="Arial" w:eastAsia="Arial" w:hAnsi="Arial"/>
                <w:sz w:val="11"/>
                <w:szCs w:val="11"/>
                <w:color w:val="auto"/>
              </w:rPr>
              <w:t>General, administrative, and other</w:t>
            </w:r>
          </w:p>
        </w:tc>
        <w:tc>
          <w:tcPr>
            <w:tcW w:w="1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85.7</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114.9</w:t>
            </w:r>
          </w:p>
        </w:tc>
        <w:tc>
          <w:tcPr>
            <w:tcW w:w="8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(25.4)%</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100.0</w:t>
            </w:r>
          </w:p>
        </w:tc>
        <w:tc>
          <w:tcPr>
            <w:tcW w:w="80" w:type="dxa"/>
            <w:vAlign w:val="bottom"/>
          </w:tcPr>
          <w:p>
            <w:pPr>
              <w:spacing w:after="0"/>
              <w:rPr>
                <w:sz w:val="12"/>
                <w:szCs w:val="12"/>
                <w:color w:val="auto"/>
              </w:rPr>
            </w:pPr>
          </w:p>
        </w:tc>
        <w:tc>
          <w:tcPr>
            <w:tcW w:w="142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(14.3)%</w:t>
            </w:r>
          </w:p>
        </w:tc>
      </w:tr>
      <w:tr>
        <w:trPr>
          <w:trHeight w:val="146"/>
        </w:trPr>
        <w:tc>
          <w:tcPr>
            <w:tcW w:w="4860" w:type="dxa"/>
            <w:vAlign w:val="bottom"/>
            <w:tcBorders>
              <w:left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Change in fair value of contingent consideration</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(29.9)</w:t>
            </w:r>
          </w:p>
        </w:tc>
        <w:tc>
          <w:tcPr>
            <w:tcW w:w="80" w:type="dxa"/>
            <w:vAlign w:val="bottom"/>
            <w:shd w:val="clear" w:color="auto" w:fill="CCEEFF"/>
          </w:tcPr>
          <w:p>
            <w:pPr>
              <w:spacing w:after="0"/>
              <w:rPr>
                <w:sz w:val="12"/>
                <w:szCs w:val="12"/>
                <w:color w:val="auto"/>
              </w:rPr>
            </w:pPr>
          </w:p>
        </w:tc>
        <w:tc>
          <w:tcPr>
            <w:tcW w:w="14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n/m</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(23.2)</w:t>
            </w:r>
          </w:p>
        </w:tc>
        <w:tc>
          <w:tcPr>
            <w:tcW w:w="80" w:type="dxa"/>
            <w:vAlign w:val="bottom"/>
            <w:shd w:val="clear" w:color="auto" w:fill="CCEEFF"/>
          </w:tcPr>
          <w:p>
            <w:pPr>
              <w:spacing w:after="0"/>
              <w:rPr>
                <w:sz w:val="12"/>
                <w:szCs w:val="12"/>
                <w:color w:val="auto"/>
              </w:rPr>
            </w:pPr>
          </w:p>
        </w:tc>
        <w:tc>
          <w:tcPr>
            <w:tcW w:w="1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n/m</w:t>
            </w:r>
          </w:p>
        </w:tc>
      </w:tr>
      <w:tr>
        <w:trPr>
          <w:trHeight w:val="142"/>
        </w:trPr>
        <w:tc>
          <w:tcPr>
            <w:tcW w:w="4860" w:type="dxa"/>
            <w:vAlign w:val="bottom"/>
            <w:tcBorders>
              <w:left w:val="single" w:sz="8" w:color="auto"/>
              <w:bottom w:val="single" w:sz="8" w:color="CCEEFF"/>
            </w:tcBorders>
          </w:tcPr>
          <w:p>
            <w:pPr>
              <w:ind w:left="20"/>
              <w:spacing w:after="0"/>
              <w:rPr>
                <w:sz w:val="20"/>
                <w:szCs w:val="20"/>
                <w:color w:val="auto"/>
              </w:rPr>
            </w:pPr>
            <w:r>
              <w:rPr>
                <w:rFonts w:ascii="Arial" w:cs="Arial" w:eastAsia="Arial" w:hAnsi="Arial"/>
                <w:sz w:val="11"/>
                <w:szCs w:val="11"/>
                <w:color w:val="auto"/>
              </w:rPr>
              <w:t>Acquisition-related amortization and impairment costs</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38.5</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27.1</w:t>
            </w:r>
          </w:p>
        </w:tc>
        <w:tc>
          <w:tcPr>
            <w:tcW w:w="8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42.1 %</w:t>
            </w:r>
          </w:p>
        </w:tc>
        <w:tc>
          <w:tcPr>
            <w:tcW w:w="100" w:type="dxa"/>
            <w:vAlign w:val="bottom"/>
            <w:tcBorders>
              <w:bottom w:val="single" w:sz="8" w:color="CCEEFF"/>
              <w:right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28.6</w:t>
            </w:r>
          </w:p>
        </w:tc>
        <w:tc>
          <w:tcPr>
            <w:tcW w:w="80" w:type="dxa"/>
            <w:vAlign w:val="bottom"/>
            <w:tcBorders>
              <w:bottom w:val="single" w:sz="8" w:color="CCEEFF"/>
            </w:tcBorders>
          </w:tcPr>
          <w:p>
            <w:pPr>
              <w:spacing w:after="0"/>
              <w:rPr>
                <w:sz w:val="12"/>
                <w:szCs w:val="12"/>
                <w:color w:val="auto"/>
              </w:rPr>
            </w:pP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34.6 %</w:t>
            </w:r>
          </w:p>
        </w:tc>
      </w:tr>
      <w:tr>
        <w:trPr>
          <w:trHeight w:val="169"/>
        </w:trPr>
        <w:tc>
          <w:tcPr>
            <w:tcW w:w="4860" w:type="dxa"/>
            <w:vAlign w:val="bottom"/>
            <w:tcBorders>
              <w:left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operating expenses</w:t>
            </w:r>
          </w:p>
        </w:tc>
        <w:tc>
          <w:tcPr>
            <w:tcW w:w="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1,089.4</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1,013.6</w:t>
            </w:r>
          </w:p>
        </w:tc>
        <w:tc>
          <w:tcPr>
            <w:tcW w:w="8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7.5 %</w:t>
            </w:r>
          </w:p>
        </w:tc>
        <w:tc>
          <w:tcPr>
            <w:tcW w:w="100" w:type="dxa"/>
            <w:vAlign w:val="bottom"/>
            <w:tcBorders>
              <w:bottom w:val="single" w:sz="8" w:color="CCEEFF"/>
              <w:right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1,076.7</w:t>
            </w:r>
          </w:p>
        </w:tc>
        <w:tc>
          <w:tcPr>
            <w:tcW w:w="8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1.2 %</w:t>
            </w:r>
          </w:p>
        </w:tc>
      </w:tr>
      <w:tr>
        <w:trPr>
          <w:trHeight w:val="160"/>
        </w:trPr>
        <w:tc>
          <w:tcPr>
            <w:tcW w:w="4860" w:type="dxa"/>
            <w:vAlign w:val="bottom"/>
            <w:tcBorders>
              <w:left w:val="single" w:sz="8" w:color="auto"/>
              <w:bottom w:val="single" w:sz="8" w:color="CCEEFF"/>
            </w:tcBorders>
            <w:shd w:val="clear" w:color="auto" w:fill="CCEEFF"/>
          </w:tcPr>
          <w:p>
            <w:pPr>
              <w:ind w:left="20"/>
              <w:spacing w:after="0" w:line="144" w:lineRule="exact"/>
              <w:rPr>
                <w:sz w:val="20"/>
                <w:szCs w:val="20"/>
                <w:color w:val="auto"/>
              </w:rPr>
            </w:pPr>
            <w:r>
              <w:rPr>
                <w:rFonts w:ascii="Arial" w:cs="Arial" w:eastAsia="Arial" w:hAnsi="Arial"/>
                <w:sz w:val="11"/>
                <w:szCs w:val="11"/>
                <w:b w:val="1"/>
                <w:bCs w:val="1"/>
                <w:color w:val="auto"/>
              </w:rPr>
              <w:t>Total adjusted operating expenses</w:t>
            </w:r>
            <w:r>
              <w:rPr>
                <w:rFonts w:ascii="Arial" w:cs="Arial" w:eastAsia="Arial" w:hAnsi="Arial"/>
                <w:sz w:val="14"/>
                <w:szCs w:val="14"/>
                <w:b w:val="1"/>
                <w:bCs w:val="1"/>
                <w:color w:val="auto"/>
                <w:vertAlign w:val="superscript"/>
              </w:rPr>
              <w:t>(3)</w:t>
            </w:r>
          </w:p>
        </w:tc>
        <w:tc>
          <w:tcPr>
            <w:tcW w:w="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1,061.3</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1,028.2</w:t>
            </w:r>
          </w:p>
        </w:tc>
        <w:tc>
          <w:tcPr>
            <w:tcW w:w="8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3.2 %</w:t>
            </w:r>
          </w:p>
        </w:tc>
        <w:tc>
          <w:tcPr>
            <w:tcW w:w="100" w:type="dxa"/>
            <w:vAlign w:val="bottom"/>
            <w:tcBorders>
              <w:bottom w:val="single" w:sz="8" w:color="CCEEFF"/>
              <w:right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1,026.2</w:t>
            </w:r>
          </w:p>
        </w:tc>
        <w:tc>
          <w:tcPr>
            <w:tcW w:w="80" w:type="dxa"/>
            <w:vAlign w:val="bottom"/>
            <w:tcBorders>
              <w:bottom w:val="single" w:sz="8" w:color="CCEEFF"/>
            </w:tcBorders>
            <w:shd w:val="clear" w:color="auto" w:fill="CCEEFF"/>
          </w:tcPr>
          <w:p>
            <w:pPr>
              <w:spacing w:after="0"/>
              <w:rPr>
                <w:sz w:val="13"/>
                <w:szCs w:val="13"/>
                <w:color w:val="auto"/>
              </w:rPr>
            </w:pPr>
          </w:p>
        </w:tc>
        <w:tc>
          <w:tcPr>
            <w:tcW w:w="14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3.4 %</w:t>
            </w:r>
          </w:p>
        </w:tc>
      </w:tr>
      <w:tr>
        <w:trPr>
          <w:trHeight w:val="20"/>
        </w:trPr>
        <w:tc>
          <w:tcPr>
            <w:tcW w:w="486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7178040</wp:posOffset>
            </wp:positionH>
            <wp:positionV relativeFrom="paragraph">
              <wp:posOffset>-16510</wp:posOffset>
            </wp:positionV>
            <wp:extent cx="57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 cy="17145"/>
                    </a:xfrm>
                    <a:prstGeom prst="rect">
                      <a:avLst/>
                    </a:prstGeom>
                    <a:noFill/>
                  </pic:spPr>
                </pic:pic>
              </a:graphicData>
            </a:graphic>
          </wp:anchor>
        </w:drawing>
      </w:r>
    </w:p>
    <w:p>
      <w:pPr>
        <w:spacing w:after="0" w:line="14" w:lineRule="exact"/>
        <w:rPr>
          <w:sz w:val="20"/>
          <w:szCs w:val="20"/>
          <w:color w:val="auto"/>
        </w:rPr>
      </w:pPr>
    </w:p>
    <w:p>
      <w:pPr>
        <w:ind w:left="88" w:hanging="88"/>
        <w:spacing w:after="0"/>
        <w:tabs>
          <w:tab w:leader="none" w:pos="88" w:val="left"/>
        </w:tabs>
        <w:numPr>
          <w:ilvl w:val="0"/>
          <w:numId w:val="6"/>
        </w:numPr>
        <w:rPr>
          <w:rFonts w:ascii="Arial" w:cs="Arial" w:eastAsia="Arial" w:hAnsi="Arial"/>
          <w:sz w:val="10"/>
          <w:szCs w:val="10"/>
          <w:i w:val="1"/>
          <w:iCs w:val="1"/>
          <w:color w:val="auto"/>
          <w:vertAlign w:val="superscript"/>
        </w:rPr>
      </w:pPr>
      <w:r>
        <w:rPr>
          <w:rFonts w:ascii="Arial" w:cs="Arial" w:eastAsia="Arial" w:hAnsi="Arial"/>
          <w:sz w:val="7"/>
          <w:szCs w:val="7"/>
          <w:i w:val="1"/>
          <w:iCs w:val="1"/>
          <w:color w:val="auto"/>
        </w:rPr>
        <w:t>The percentage change is not meaningful (n/m).</w:t>
      </w:r>
    </w:p>
    <w:p>
      <w:pPr>
        <w:ind w:left="88" w:hanging="88"/>
        <w:spacing w:after="0" w:line="208" w:lineRule="auto"/>
        <w:tabs>
          <w:tab w:leader="none" w:pos="88" w:val="left"/>
        </w:tabs>
        <w:numPr>
          <w:ilvl w:val="0"/>
          <w:numId w:val="6"/>
        </w:numPr>
        <w:rPr>
          <w:rFonts w:ascii="Arial" w:cs="Arial" w:eastAsia="Arial" w:hAnsi="Arial"/>
          <w:sz w:val="10"/>
          <w:szCs w:val="10"/>
          <w:i w:val="1"/>
          <w:iCs w:val="1"/>
          <w:color w:val="auto"/>
          <w:vertAlign w:val="superscript"/>
        </w:rPr>
      </w:pPr>
      <w:r>
        <w:rPr>
          <w:rFonts w:ascii="Arial" w:cs="Arial" w:eastAsia="Arial" w:hAnsi="Arial"/>
          <w:sz w:val="7"/>
          <w:szCs w:val="7"/>
          <w:i w:val="1"/>
          <w:iCs w:val="1"/>
          <w:color w:val="auto"/>
        </w:rPr>
        <w:t>Capital allocation-based income compensation represents the change in accrued carried interest compensation.</w:t>
      </w:r>
    </w:p>
    <w:p>
      <w:pPr>
        <w:spacing w:after="0" w:line="8" w:lineRule="exact"/>
        <w:rPr>
          <w:rFonts w:ascii="Arial" w:cs="Arial" w:eastAsia="Arial" w:hAnsi="Arial"/>
          <w:sz w:val="10"/>
          <w:szCs w:val="10"/>
          <w:i w:val="1"/>
          <w:iCs w:val="1"/>
          <w:color w:val="auto"/>
          <w:vertAlign w:val="superscript"/>
        </w:rPr>
      </w:pPr>
    </w:p>
    <w:p>
      <w:pPr>
        <w:ind w:left="88" w:hanging="88"/>
        <w:spacing w:after="0" w:line="208" w:lineRule="auto"/>
        <w:tabs>
          <w:tab w:leader="none" w:pos="88" w:val="left"/>
        </w:tabs>
        <w:numPr>
          <w:ilvl w:val="0"/>
          <w:numId w:val="6"/>
        </w:numPr>
        <w:rPr>
          <w:rFonts w:ascii="Arial" w:cs="Arial" w:eastAsia="Arial" w:hAnsi="Arial"/>
          <w:sz w:val="10"/>
          <w:szCs w:val="10"/>
          <w:i w:val="1"/>
          <w:iCs w:val="1"/>
          <w:color w:val="auto"/>
          <w:vertAlign w:val="superscript"/>
        </w:rPr>
      </w:pPr>
      <w:r>
        <w:rPr>
          <w:rFonts w:ascii="Arial" w:cs="Arial" w:eastAsia="Arial" w:hAnsi="Arial"/>
          <w:sz w:val="8"/>
          <w:szCs w:val="8"/>
          <w:i w:val="1"/>
          <w:iCs w:val="1"/>
          <w:color w:val="auto"/>
        </w:rPr>
        <w:t>See the reconciliation to the comparable U.S. GAAP measures at the end of this earnings release.</w:t>
      </w:r>
    </w:p>
    <w:p>
      <w:pPr>
        <w:spacing w:after="0" w:line="187" w:lineRule="exact"/>
        <w:rPr>
          <w:sz w:val="20"/>
          <w:szCs w:val="20"/>
          <w:color w:val="auto"/>
        </w:rPr>
      </w:pPr>
    </w:p>
    <w:p>
      <w:pPr>
        <w:ind w:left="8" w:right="120"/>
        <w:spacing w:after="0" w:line="371" w:lineRule="auto"/>
        <w:rPr>
          <w:sz w:val="20"/>
          <w:szCs w:val="20"/>
          <w:color w:val="auto"/>
        </w:rPr>
      </w:pPr>
      <w:r>
        <w:rPr>
          <w:rFonts w:ascii="Arial" w:cs="Arial" w:eastAsia="Arial" w:hAnsi="Arial"/>
          <w:sz w:val="12"/>
          <w:szCs w:val="12"/>
          <w:b w:val="1"/>
          <w:bCs w:val="1"/>
          <w:color w:val="auto"/>
        </w:rPr>
        <w:t xml:space="preserve">Operating expenses </w:t>
      </w:r>
      <w:r>
        <w:rPr>
          <w:rFonts w:ascii="Arial" w:cs="Arial" w:eastAsia="Arial" w:hAnsi="Arial"/>
          <w:sz w:val="12"/>
          <w:szCs w:val="12"/>
          <w:color w:val="auto"/>
        </w:rPr>
        <w:t>were $1,089.4 million, an increase of 7.5% from Q3 2022 and an increase of 1.2% from Q2 2023. On a non-GAAP basis,</w:t>
      </w:r>
      <w:r>
        <w:rPr>
          <w:rFonts w:ascii="Arial" w:cs="Arial" w:eastAsia="Arial" w:hAnsi="Arial"/>
          <w:sz w:val="12"/>
          <w:szCs w:val="12"/>
          <w:b w:val="1"/>
          <w:bCs w:val="1"/>
          <w:color w:val="auto"/>
        </w:rPr>
        <w:t xml:space="preserve"> adjusted operating expenses </w:t>
      </w:r>
      <w:r>
        <w:rPr>
          <w:rFonts w:ascii="Arial" w:cs="Arial" w:eastAsia="Arial" w:hAnsi="Arial"/>
          <w:sz w:val="12"/>
          <w:szCs w:val="12"/>
          <w:color w:val="auto"/>
        </w:rPr>
        <w:t>in Q3 2023 were $1,061.3 million, a</w:t>
      </w:r>
      <w:r>
        <w:rPr>
          <w:rFonts w:ascii="Arial" w:cs="Arial" w:eastAsia="Arial" w:hAnsi="Arial"/>
          <w:sz w:val="12"/>
          <w:szCs w:val="12"/>
          <w:b w:val="1"/>
          <w:bCs w:val="1"/>
          <w:color w:val="auto"/>
        </w:rPr>
        <w:t xml:space="preserve"> </w:t>
      </w:r>
      <w:r>
        <w:rPr>
          <w:rFonts w:ascii="Arial" w:cs="Arial" w:eastAsia="Arial" w:hAnsi="Arial"/>
          <w:sz w:val="12"/>
          <w:szCs w:val="12"/>
          <w:color w:val="auto"/>
        </w:rPr>
        <w:t>3.2% increase from Q3 2022 and a 3.4% increase from Q2 2023. The increase in adjusted operating expenses from Q3 2022 was primarily driven by higher salaries and related benefits, including severance related to the July workforce action, higher accrued carried interest-related compensation, and an increase in technology, occupancy, and facility costs. These increases were partly offset by lower general, administrative and other costs. A higher interim bonus accrual and distribution and servicing costs also contributed to the increase from Q2 2023.</w:t>
      </w:r>
    </w:p>
    <w:p>
      <w:pPr>
        <w:spacing w:after="0" w:line="179" w:lineRule="exact"/>
        <w:rPr>
          <w:sz w:val="20"/>
          <w:szCs w:val="20"/>
          <w:color w:val="auto"/>
        </w:rPr>
      </w:pPr>
    </w:p>
    <w:p>
      <w:pPr>
        <w:ind w:left="428" w:right="120" w:hanging="212"/>
        <w:spacing w:after="0" w:line="358" w:lineRule="auto"/>
        <w:tabs>
          <w:tab w:leader="none" w:pos="425" w:val="left"/>
        </w:tabs>
        <w:numPr>
          <w:ilvl w:val="0"/>
          <w:numId w:val="7"/>
        </w:numPr>
        <w:rPr>
          <w:rFonts w:ascii="Arial" w:cs="Arial" w:eastAsia="Arial" w:hAnsi="Arial"/>
          <w:sz w:val="14"/>
          <w:szCs w:val="14"/>
          <w:b w:val="1"/>
          <w:bCs w:val="1"/>
          <w:i w:val="1"/>
          <w:iCs w:val="1"/>
          <w:color w:val="40AEFF"/>
        </w:rPr>
      </w:pPr>
      <w:r>
        <w:rPr>
          <w:rFonts w:ascii="Arial" w:cs="Arial" w:eastAsia="Arial" w:hAnsi="Arial"/>
          <w:sz w:val="12"/>
          <w:szCs w:val="12"/>
          <w:color w:val="auto"/>
        </w:rPr>
        <w:t>Compensation, benefits, and related costs in Q3 2023 of $617.0 million increased $21.4 million from Q3 2022 and $26.0 million from Q2 2023. The increase from these periods was due primarily to higher salaries and related benefits, including severance related to the July workforce action, offset in part by an increase in capitalized labor. The firm employed 7,842 associates at September 30, 2023, a decrease of 1.9% from September 30, 2022, a decrease of 0.3% from the end of 2022, and a decrease of 0.8% from June 30, 2023.</w:t>
      </w:r>
    </w:p>
    <w:p>
      <w:pPr>
        <w:spacing w:after="0" w:line="167" w:lineRule="exact"/>
        <w:rPr>
          <w:rFonts w:ascii="Arial" w:cs="Arial" w:eastAsia="Arial" w:hAnsi="Arial"/>
          <w:sz w:val="14"/>
          <w:szCs w:val="14"/>
          <w:b w:val="1"/>
          <w:bCs w:val="1"/>
          <w:i w:val="1"/>
          <w:iCs w:val="1"/>
          <w:color w:val="40AEFF"/>
        </w:rPr>
      </w:pPr>
    </w:p>
    <w:p>
      <w:pPr>
        <w:ind w:left="428" w:hanging="212"/>
        <w:spacing w:after="0"/>
        <w:tabs>
          <w:tab w:leader="none" w:pos="428" w:val="left"/>
        </w:tabs>
        <w:numPr>
          <w:ilvl w:val="0"/>
          <w:numId w:val="7"/>
        </w:numPr>
        <w:rPr>
          <w:rFonts w:ascii="Arial" w:cs="Arial" w:eastAsia="Arial" w:hAnsi="Arial"/>
          <w:sz w:val="14"/>
          <w:szCs w:val="14"/>
          <w:b w:val="1"/>
          <w:bCs w:val="1"/>
          <w:i w:val="1"/>
          <w:iCs w:val="1"/>
          <w:color w:val="40AEFF"/>
        </w:rPr>
      </w:pPr>
      <w:r>
        <w:rPr>
          <w:rFonts w:ascii="Arial" w:cs="Arial" w:eastAsia="Arial" w:hAnsi="Arial"/>
          <w:sz w:val="12"/>
          <w:szCs w:val="12"/>
          <w:color w:val="auto"/>
        </w:rPr>
        <w:t>Technology, occupancy, and facility costs in Q3 2023 of $159.7 million increased $16.1 million from Q3 2022, primarily due to higher costs from the firm's ongoing investment in its technology capabilities,</w:t>
      </w:r>
    </w:p>
    <w:p>
      <w:pPr>
        <w:spacing w:after="0" w:line="216" w:lineRule="exact"/>
        <w:rPr>
          <w:rFonts w:ascii="Arial" w:cs="Arial" w:eastAsia="Arial" w:hAnsi="Arial"/>
          <w:sz w:val="14"/>
          <w:szCs w:val="14"/>
          <w:b w:val="1"/>
          <w:bCs w:val="1"/>
          <w:i w:val="1"/>
          <w:iCs w:val="1"/>
          <w:color w:val="40AEFF"/>
        </w:rPr>
      </w:pPr>
    </w:p>
    <w:p>
      <w:pPr>
        <w:ind w:left="5628"/>
        <w:spacing w:after="0"/>
        <w:rPr>
          <w:rFonts w:ascii="Arial" w:cs="Arial" w:eastAsia="Arial" w:hAnsi="Arial"/>
          <w:sz w:val="14"/>
          <w:szCs w:val="14"/>
          <w:b w:val="1"/>
          <w:bCs w:val="1"/>
          <w:i w:val="1"/>
          <w:iCs w:val="1"/>
          <w:color w:val="40AEFF"/>
        </w:rPr>
      </w:pPr>
      <w:r>
        <w:rPr>
          <w:rFonts w:ascii="Arial" w:cs="Arial" w:eastAsia="Arial" w:hAnsi="Arial"/>
          <w:sz w:val="12"/>
          <w:szCs w:val="12"/>
          <w:color w:val="auto"/>
        </w:rPr>
        <w:t>4</w:t>
      </w:r>
    </w:p>
    <w:p>
      <w:pPr>
        <w:sectPr>
          <w:pgSz w:w="11900" w:h="16838" w:orient="portrait"/>
          <w:cols w:equalWidth="0" w:num="1">
            <w:col w:w="11308"/>
          </w:cols>
          <w:pgMar w:left="292" w:top="761" w:right="299" w:bottom="1440" w:gutter="0" w:footer="0" w:header="0"/>
        </w:sectPr>
      </w:pPr>
    </w:p>
    <w:bookmarkStart w:id="6" w:name="page7"/>
    <w:bookmarkEnd w:id="6"/>
    <w:p>
      <w:pPr>
        <w:ind w:left="420"/>
        <w:spacing w:after="0"/>
        <w:rPr>
          <w:sz w:val="20"/>
          <w:szCs w:val="20"/>
          <w:color w:val="auto"/>
        </w:rPr>
      </w:pPr>
      <w:r>
        <w:rPr>
          <w:rFonts w:ascii="Arial" w:cs="Arial" w:eastAsia="Arial" w:hAnsi="Arial"/>
          <w:sz w:val="12"/>
          <w:szCs w:val="12"/>
          <w:color w:val="auto"/>
        </w:rPr>
        <w:t>including hosted solution licenses and depreciation. The firm began occupying its new London office in late September.</w:t>
      </w:r>
    </w:p>
    <w:p>
      <w:pPr>
        <w:spacing w:after="0" w:line="258" w:lineRule="exact"/>
        <w:rPr>
          <w:sz w:val="20"/>
          <w:szCs w:val="20"/>
          <w:color w:val="auto"/>
        </w:rPr>
      </w:pPr>
    </w:p>
    <w:p>
      <w:pPr>
        <w:ind w:left="420" w:right="20" w:hanging="212"/>
        <w:spacing w:after="0" w:line="376" w:lineRule="auto"/>
        <w:tabs>
          <w:tab w:leader="none" w:pos="417" w:val="left"/>
        </w:tabs>
        <w:numPr>
          <w:ilvl w:val="0"/>
          <w:numId w:val="8"/>
        </w:numPr>
        <w:rPr>
          <w:rFonts w:ascii="Arial" w:cs="Arial" w:eastAsia="Arial" w:hAnsi="Arial"/>
          <w:sz w:val="14"/>
          <w:szCs w:val="14"/>
          <w:b w:val="1"/>
          <w:bCs w:val="1"/>
          <w:i w:val="1"/>
          <w:iCs w:val="1"/>
          <w:color w:val="40AEFF"/>
        </w:rPr>
      </w:pPr>
      <w:r>
        <w:rPr>
          <w:rFonts w:ascii="Arial" w:cs="Arial" w:eastAsia="Arial" w:hAnsi="Arial"/>
          <w:sz w:val="12"/>
          <w:szCs w:val="12"/>
          <w:color w:val="auto"/>
        </w:rPr>
        <w:t>General, administrative, and other costs in Q3 2023 of $85.7 million decreased $29.2 million from Q3 2022 and $14.3 million from Q2 2023. The decrease from Q2 2023 was primarily due to a non-recurring recovery of costs that were incurred in Q3 2022 that more than offset increases in information services and other professional fees.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Non-operating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41910</wp:posOffset>
            </wp:positionV>
            <wp:extent cx="7183755" cy="17202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3755" cy="172021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5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(in millions)</w:t>
            </w:r>
          </w:p>
        </w:tc>
        <w:tc>
          <w:tcPr>
            <w:tcW w:w="88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1"/>
                <w:szCs w:val="11"/>
                <w:color w:val="auto"/>
              </w:rPr>
              <w:t>Three months ended</w:t>
            </w:r>
          </w:p>
        </w:tc>
        <w:tc>
          <w:tcPr>
            <w:tcW w:w="2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spacing w:after="0"/>
              <w:rPr>
                <w:sz w:val="13"/>
                <w:szCs w:val="13"/>
                <w:color w:val="auto"/>
              </w:rPr>
            </w:pPr>
          </w:p>
        </w:tc>
      </w:tr>
      <w:tr>
        <w:trPr>
          <w:trHeight w:val="131"/>
        </w:trPr>
        <w:tc>
          <w:tcPr>
            <w:tcW w:w="752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9/30/2023</w:t>
            </w: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306"/>
              <w:spacing w:after="0"/>
              <w:rPr>
                <w:sz w:val="20"/>
                <w:szCs w:val="20"/>
                <w:color w:val="auto"/>
              </w:rPr>
            </w:pPr>
            <w:r>
              <w:rPr>
                <w:rFonts w:ascii="Arial" w:cs="Arial" w:eastAsia="Arial" w:hAnsi="Arial"/>
                <w:sz w:val="11"/>
                <w:szCs w:val="11"/>
                <w:color w:val="auto"/>
              </w:rPr>
              <w:t>9/30/2022</w:t>
            </w:r>
          </w:p>
        </w:tc>
        <w:tc>
          <w:tcPr>
            <w:tcW w:w="6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306"/>
              <w:spacing w:after="0"/>
              <w:rPr>
                <w:sz w:val="20"/>
                <w:szCs w:val="20"/>
                <w:color w:val="auto"/>
              </w:rPr>
            </w:pPr>
            <w:r>
              <w:rPr>
                <w:rFonts w:ascii="Arial" w:cs="Arial" w:eastAsia="Arial" w:hAnsi="Arial"/>
                <w:sz w:val="11"/>
                <w:szCs w:val="11"/>
                <w:color w:val="auto"/>
              </w:rPr>
              <w:t>6/30/2023</w:t>
            </w:r>
          </w:p>
        </w:tc>
      </w:tr>
      <w:tr>
        <w:trPr>
          <w:trHeight w:val="126"/>
        </w:trPr>
        <w:tc>
          <w:tcPr>
            <w:tcW w:w="752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Net gains (losses) from non-consolidated T. Rowe Price investment products</w:t>
            </w:r>
          </w:p>
        </w:tc>
        <w:tc>
          <w:tcPr>
            <w:tcW w:w="8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r>
      <w:tr>
        <w:trPr>
          <w:trHeight w:val="142"/>
        </w:trPr>
        <w:tc>
          <w:tcPr>
            <w:tcW w:w="7520" w:type="dxa"/>
            <w:vAlign w:val="bottom"/>
          </w:tcPr>
          <w:p>
            <w:pPr>
              <w:ind w:left="100"/>
              <w:spacing w:after="0"/>
              <w:rPr>
                <w:sz w:val="20"/>
                <w:szCs w:val="20"/>
                <w:color w:val="auto"/>
              </w:rPr>
            </w:pPr>
            <w:r>
              <w:rPr>
                <w:rFonts w:ascii="Arial" w:cs="Arial" w:eastAsia="Arial" w:hAnsi="Arial"/>
                <w:sz w:val="11"/>
                <w:szCs w:val="11"/>
                <w:color w:val="auto"/>
              </w:rPr>
              <w:t>Cash and discretionary investments</w:t>
            </w: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6"/>
        </w:trPr>
        <w:tc>
          <w:tcPr>
            <w:tcW w:w="75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Dividend income</w:t>
            </w:r>
          </w:p>
        </w:tc>
        <w:tc>
          <w:tcPr>
            <w:tcW w:w="880" w:type="dxa"/>
            <w:vAlign w:val="bottom"/>
            <w:shd w:val="clear" w:color="auto" w:fill="CCEEFF"/>
          </w:tcPr>
          <w:p>
            <w:pPr>
              <w:jc w:val="right"/>
              <w:ind w:right="769"/>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11.5</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25.5</w:t>
            </w:r>
          </w:p>
        </w:tc>
      </w:tr>
      <w:tr>
        <w:trPr>
          <w:trHeight w:val="142"/>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Market-related gains (losses) and equity in earnings (losses)</w:t>
            </w:r>
          </w:p>
        </w:tc>
        <w:tc>
          <w:tcPr>
            <w:tcW w:w="8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(15.2)</w:t>
            </w: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6.3</w:t>
            </w:r>
          </w:p>
        </w:tc>
      </w:tr>
      <w:tr>
        <w:trPr>
          <w:trHeight w:val="135"/>
        </w:trPr>
        <w:tc>
          <w:tcPr>
            <w:tcW w:w="7520" w:type="dxa"/>
            <w:vAlign w:val="bottom"/>
            <w:shd w:val="clear" w:color="auto" w:fill="CCEEFF"/>
          </w:tcPr>
          <w:p>
            <w:pPr>
              <w:ind w:left="160"/>
              <w:spacing w:after="0"/>
              <w:rPr>
                <w:sz w:val="20"/>
                <w:szCs w:val="20"/>
                <w:color w:val="auto"/>
              </w:rPr>
            </w:pPr>
            <w:r>
              <w:rPr>
                <w:rFonts w:ascii="Arial" w:cs="Arial" w:eastAsia="Arial" w:hAnsi="Arial"/>
                <w:sz w:val="11"/>
                <w:szCs w:val="11"/>
                <w:color w:val="auto"/>
              </w:rPr>
              <w:t>Total net gains (losses) from cash and discretionary investments</w:t>
            </w:r>
          </w:p>
        </w:tc>
        <w:tc>
          <w:tcPr>
            <w:tcW w:w="8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32.5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(3.7)</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31.8</w:t>
            </w:r>
          </w:p>
        </w:tc>
      </w:tr>
      <w:tr>
        <w:trPr>
          <w:trHeight w:val="142"/>
        </w:trPr>
        <w:tc>
          <w:tcPr>
            <w:tcW w:w="7520" w:type="dxa"/>
            <w:vAlign w:val="bottom"/>
          </w:tcPr>
          <w:p>
            <w:pPr>
              <w:ind w:left="100"/>
              <w:spacing w:after="0"/>
              <w:rPr>
                <w:sz w:val="20"/>
                <w:szCs w:val="20"/>
                <w:color w:val="auto"/>
              </w:rPr>
            </w:pPr>
            <w:r>
              <w:rPr>
                <w:rFonts w:ascii="Arial" w:cs="Arial" w:eastAsia="Arial" w:hAnsi="Arial"/>
                <w:sz w:val="11"/>
                <w:szCs w:val="11"/>
                <w:color w:val="auto"/>
              </w:rPr>
              <w:t>Seed capital investments</w:t>
            </w: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6"/>
        </w:trPr>
        <w:tc>
          <w:tcPr>
            <w:tcW w:w="75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Dividend income</w:t>
            </w: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0.4</w:t>
            </w:r>
          </w:p>
        </w:tc>
      </w:tr>
      <w:tr>
        <w:trPr>
          <w:trHeight w:val="142"/>
        </w:trPr>
        <w:tc>
          <w:tcPr>
            <w:tcW w:w="7520" w:type="dxa"/>
            <w:vAlign w:val="bottom"/>
          </w:tcPr>
          <w:p>
            <w:pPr>
              <w:ind w:left="140"/>
              <w:spacing w:after="0"/>
              <w:rPr>
                <w:sz w:val="20"/>
                <w:szCs w:val="20"/>
                <w:color w:val="auto"/>
              </w:rPr>
            </w:pPr>
            <w:r>
              <w:rPr>
                <w:rFonts w:ascii="Arial" w:cs="Arial" w:eastAsia="Arial" w:hAnsi="Arial"/>
                <w:sz w:val="11"/>
                <w:szCs w:val="11"/>
                <w:color w:val="auto"/>
              </w:rPr>
              <w:t>Market-related gains (losses) and equity in earnings (losses)</w:t>
            </w:r>
          </w:p>
        </w:tc>
        <w:tc>
          <w:tcPr>
            <w:tcW w:w="8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(4.5)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(14.1)</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14.4</w:t>
            </w:r>
          </w:p>
        </w:tc>
      </w:tr>
      <w:tr>
        <w:trPr>
          <w:trHeight w:val="146"/>
        </w:trPr>
        <w:tc>
          <w:tcPr>
            <w:tcW w:w="75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 gains recognized upon deconsolidation</w:t>
            </w: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r>
      <w:tr>
        <w:trPr>
          <w:trHeight w:val="142"/>
        </w:trPr>
        <w:tc>
          <w:tcPr>
            <w:tcW w:w="752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Investments used to hedge the supplemental savings plan liability</w:t>
            </w:r>
          </w:p>
        </w:tc>
        <w:tc>
          <w:tcPr>
            <w:tcW w:w="8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(19.7)</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(26.3)</w:t>
            </w: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33.6</w:t>
            </w:r>
          </w:p>
        </w:tc>
      </w:tr>
      <w:tr>
        <w:trPr>
          <w:trHeight w:val="135"/>
        </w:trPr>
        <w:tc>
          <w:tcPr>
            <w:tcW w:w="75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Total net gains (losses) from non-consolidated T. Rowe Price investment products</w:t>
            </w:r>
          </w:p>
        </w:tc>
        <w:tc>
          <w:tcPr>
            <w:tcW w:w="8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9.3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(43.9)</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80.2</w:t>
            </w:r>
          </w:p>
        </w:tc>
      </w:tr>
      <w:tr>
        <w:trPr>
          <w:trHeight w:val="142"/>
        </w:trPr>
        <w:tc>
          <w:tcPr>
            <w:tcW w:w="752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Other investment income</w:t>
            </w:r>
          </w:p>
        </w:tc>
        <w:tc>
          <w:tcPr>
            <w:tcW w:w="8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21.4</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w:t>
            </w: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8.9</w:t>
            </w:r>
          </w:p>
        </w:tc>
      </w:tr>
      <w:tr>
        <w:trPr>
          <w:trHeight w:val="135"/>
        </w:trPr>
        <w:tc>
          <w:tcPr>
            <w:tcW w:w="75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Net gains (losses) on investments</w:t>
            </w:r>
          </w:p>
        </w:tc>
        <w:tc>
          <w:tcPr>
            <w:tcW w:w="8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30.7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(41.5)</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89.1</w:t>
            </w:r>
          </w:p>
        </w:tc>
      </w:tr>
    </w:tbl>
    <w:p>
      <w:pPr>
        <w:spacing w:after="0" w:line="2" w:lineRule="exact"/>
        <w:rPr>
          <w:sz w:val="20"/>
          <w:szCs w:val="20"/>
          <w:color w:val="auto"/>
        </w:rPr>
      </w:pPr>
    </w:p>
    <w:p>
      <w:pPr>
        <w:sectPr>
          <w:pgSz w:w="11900" w:h="16838" w:orient="portrait"/>
          <w:cols w:equalWidth="0" w:num="1">
            <w:col w:w="11300"/>
          </w:cols>
          <w:pgMar w:left="300" w:top="761" w:right="299" w:bottom="1440" w:gutter="0" w:footer="0" w:header="0"/>
        </w:sectPr>
      </w:pPr>
    </w:p>
    <w:p>
      <w:pPr>
        <w:ind w:left="20"/>
        <w:spacing w:after="0"/>
        <w:rPr>
          <w:sz w:val="20"/>
          <w:szCs w:val="20"/>
          <w:color w:val="auto"/>
        </w:rPr>
      </w:pPr>
      <w:r>
        <w:rPr>
          <w:rFonts w:ascii="Arial" w:cs="Arial" w:eastAsia="Arial" w:hAnsi="Arial"/>
          <w:sz w:val="10"/>
          <w:szCs w:val="10"/>
          <w:color w:val="auto"/>
        </w:rPr>
        <w:t>Net gains (losses) on consolidated sponsored investment portfolios</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1"/>
          <w:szCs w:val="11"/>
          <w:color w:val="auto"/>
        </w:rPr>
        <w:t>Other gains (losses), including foreign currency losses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Non-operating income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4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(24.4)</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(41.7)</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24.4</w:t>
            </w:r>
          </w:p>
        </w:tc>
      </w:tr>
      <w:tr>
        <w:trPr>
          <w:trHeight w:val="146"/>
        </w:trPr>
        <w:tc>
          <w:tcPr>
            <w:tcW w:w="4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w:t>
            </w:r>
          </w:p>
        </w:tc>
        <w:tc>
          <w:tcPr>
            <w:tcW w:w="1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0.4</w:t>
            </w:r>
          </w:p>
        </w:tc>
        <w:tc>
          <w:tcPr>
            <w:tcW w:w="6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(7.3)</w:t>
            </w:r>
          </w:p>
        </w:tc>
      </w:tr>
      <w:tr>
        <w:trPr>
          <w:trHeight w:val="135"/>
        </w:trPr>
        <w:tc>
          <w:tcPr>
            <w:tcW w:w="480" w:type="dxa"/>
            <w:vAlign w:val="bottom"/>
            <w:tcBorders>
              <w:bottom w:val="single" w:sz="8" w:color="auto"/>
            </w:tcBorders>
          </w:tcPr>
          <w:p>
            <w:pPr>
              <w:jc w:val="right"/>
              <w:ind w:right="371"/>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2.8</w:t>
            </w:r>
          </w:p>
        </w:tc>
        <w:tc>
          <w:tcPr>
            <w:tcW w:w="100" w:type="dxa"/>
            <w:vAlign w:val="bottom"/>
          </w:tcPr>
          <w:p>
            <w:pPr>
              <w:spacing w:after="0"/>
              <w:rPr>
                <w:sz w:val="11"/>
                <w:szCs w:val="11"/>
                <w:color w:val="auto"/>
              </w:rPr>
            </w:pPr>
          </w:p>
        </w:tc>
        <w:tc>
          <w:tcPr>
            <w:tcW w:w="480" w:type="dxa"/>
            <w:vAlign w:val="bottom"/>
            <w:tcBorders>
              <w:bottom w:val="single" w:sz="8" w:color="auto"/>
            </w:tcBorders>
          </w:tcPr>
          <w:p>
            <w:pPr>
              <w:jc w:val="right"/>
              <w:ind w:right="371"/>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(82.8)</w:t>
            </w:r>
          </w:p>
        </w:tc>
        <w:tc>
          <w:tcPr>
            <w:tcW w:w="60" w:type="dxa"/>
            <w:vAlign w:val="bottom"/>
          </w:tcPr>
          <w:p>
            <w:pPr>
              <w:spacing w:after="0"/>
              <w:rPr>
                <w:sz w:val="11"/>
                <w:szCs w:val="11"/>
                <w:color w:val="auto"/>
              </w:rPr>
            </w:pPr>
          </w:p>
        </w:tc>
        <w:tc>
          <w:tcPr>
            <w:tcW w:w="500" w:type="dxa"/>
            <w:vAlign w:val="bottom"/>
          </w:tcPr>
          <w:p>
            <w:pPr>
              <w:jc w:val="right"/>
              <w:ind w:right="36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Pr>
          <w:p>
            <w:pPr>
              <w:jc w:val="right"/>
              <w:ind w:right="6"/>
              <w:spacing w:after="0"/>
              <w:rPr>
                <w:sz w:val="20"/>
                <w:szCs w:val="20"/>
                <w:color w:val="auto"/>
              </w:rPr>
            </w:pPr>
            <w:r>
              <w:rPr>
                <w:rFonts w:ascii="Arial" w:cs="Arial" w:eastAsia="Arial" w:hAnsi="Arial"/>
                <w:sz w:val="11"/>
                <w:szCs w:val="11"/>
                <w:b w:val="1"/>
                <w:bCs w:val="1"/>
                <w:color w:val="auto"/>
              </w:rPr>
              <w:t>106.2</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00" w:space="720"/>
            <w:col w:w="3780"/>
          </w:cols>
          <w:pgMar w:left="300" w:top="761" w:right="299" w:bottom="144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1"/>
          <w:szCs w:val="11"/>
          <w:color w:val="auto"/>
        </w:rPr>
        <w:t>On a non-GAAP basis, non-operating income (loss) comprises the investment gains/losses generated from the firm's cash and discretionary investment portfolio.</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300"/>
          </w:cols>
          <w:pgMar w:left="300" w:top="761" w:right="299" w:bottom="1440" w:gutter="0" w:footer="0" w:header="0"/>
          <w:type w:val="continuous"/>
        </w:sectPr>
      </w:pPr>
    </w:p>
    <w:bookmarkStart w:id="7" w:name="page8"/>
    <w:bookmarkEnd w:id="7"/>
    <w:p>
      <w:pPr>
        <w:ind w:left="8"/>
        <w:spacing w:after="0"/>
        <w:rPr>
          <w:sz w:val="20"/>
          <w:szCs w:val="20"/>
          <w:color w:val="auto"/>
        </w:rPr>
      </w:pPr>
      <w:r>
        <w:rPr>
          <w:rFonts w:ascii="Arial" w:cs="Arial" w:eastAsia="Arial" w:hAnsi="Arial"/>
          <w:sz w:val="12"/>
          <w:szCs w:val="12"/>
          <w:b w:val="1"/>
          <w:bCs w:val="1"/>
          <w:u w:val="single" w:color="auto"/>
          <w:color w:val="auto"/>
        </w:rPr>
        <w:t>Income taxes</w:t>
      </w:r>
    </w:p>
    <w:p>
      <w:pPr>
        <w:spacing w:after="0" w:line="237"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reconciles the statutory federal income tax rate to the firm's effective tax rate for the third quarter and nine months ended 2023 and 2022:</w:t>
      </w:r>
    </w:p>
    <w:p>
      <w:pPr>
        <w:spacing w:after="0" w:line="103" w:lineRule="exact"/>
        <w:rPr>
          <w:sz w:val="20"/>
          <w:szCs w:val="20"/>
          <w:color w:val="auto"/>
        </w:rPr>
      </w:pPr>
    </w:p>
    <w:tbl>
      <w:tblPr>
        <w:tblLayout w:type="fixed"/>
        <w:tblInd w:w="18" w:type="dxa"/>
        <w:tblCellMar>
          <w:top w:w="0" w:type="dxa"/>
          <w:left w:w="0" w:type="dxa"/>
          <w:bottom w:w="0" w:type="dxa"/>
          <w:right w:w="0" w:type="dxa"/>
        </w:tblCellMar>
      </w:tblPr>
      <w:tr>
        <w:trPr>
          <w:trHeight w:val="143"/>
        </w:trPr>
        <w:tc>
          <w:tcPr>
            <w:tcW w:w="5440" w:type="dxa"/>
            <w:vAlign w:val="bottom"/>
            <w:tcBorders>
              <w:top w:val="single" w:sz="8" w:color="auto"/>
              <w:left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gridSpan w:val="3"/>
            <w:shd w:val="clear" w:color="auto" w:fill="CCEEFF"/>
          </w:tcPr>
          <w:p>
            <w:pPr>
              <w:ind w:left="20"/>
              <w:spacing w:after="0"/>
              <w:rPr>
                <w:sz w:val="20"/>
                <w:szCs w:val="20"/>
                <w:color w:val="auto"/>
              </w:rPr>
            </w:pPr>
            <w:r>
              <w:rPr>
                <w:rFonts w:ascii="Arial" w:cs="Arial" w:eastAsia="Arial" w:hAnsi="Arial"/>
                <w:sz w:val="10"/>
                <w:szCs w:val="10"/>
                <w:b w:val="1"/>
                <w:bCs w:val="1"/>
                <w:color w:val="auto"/>
                <w:w w:val="97"/>
              </w:rPr>
              <w:t>Three months ended</w:t>
            </w:r>
          </w:p>
        </w:tc>
        <w:tc>
          <w:tcPr>
            <w:tcW w:w="920" w:type="dxa"/>
            <w:vAlign w:val="bottom"/>
            <w:tcBorders>
              <w:top w:val="single" w:sz="8" w:color="auto"/>
              <w:bottom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right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900" w:type="dxa"/>
            <w:vAlign w:val="bottom"/>
            <w:tcBorders>
              <w:top w:val="single" w:sz="8" w:color="auto"/>
              <w:bottom w:val="single" w:sz="8" w:color="auto"/>
            </w:tcBorders>
            <w:gridSpan w:val="3"/>
            <w:shd w:val="clear" w:color="auto" w:fill="CCEEFF"/>
          </w:tcPr>
          <w:p>
            <w:pPr>
              <w:ind w:left="980"/>
              <w:spacing w:after="0"/>
              <w:rPr>
                <w:sz w:val="20"/>
                <w:szCs w:val="20"/>
                <w:color w:val="auto"/>
              </w:rPr>
            </w:pPr>
            <w:r>
              <w:rPr>
                <w:rFonts w:ascii="Arial" w:cs="Arial" w:eastAsia="Arial" w:hAnsi="Arial"/>
                <w:sz w:val="10"/>
                <w:szCs w:val="10"/>
                <w:b w:val="1"/>
                <w:bCs w:val="1"/>
                <w:color w:val="auto"/>
                <w:w w:val="96"/>
              </w:rPr>
              <w:t>Nine months ended</w:t>
            </w:r>
          </w:p>
        </w:tc>
        <w:tc>
          <w:tcPr>
            <w:tcW w:w="960" w:type="dxa"/>
            <w:vAlign w:val="bottom"/>
            <w:tcBorders>
              <w:top w:val="single" w:sz="8" w:color="auto"/>
              <w:bottom w:val="single" w:sz="8" w:color="auto"/>
              <w:right w:val="single" w:sz="8" w:color="auto"/>
            </w:tcBorders>
            <w:shd w:val="clear" w:color="auto" w:fill="CCEEFF"/>
          </w:tcPr>
          <w:p>
            <w:pPr>
              <w:spacing w:after="0"/>
              <w:rPr>
                <w:sz w:val="12"/>
                <w:szCs w:val="12"/>
                <w:color w:val="auto"/>
              </w:rPr>
            </w:pPr>
          </w:p>
        </w:tc>
      </w:tr>
      <w:tr>
        <w:trPr>
          <w:trHeight w:val="144"/>
        </w:trPr>
        <w:tc>
          <w:tcPr>
            <w:tcW w:w="5440" w:type="dxa"/>
            <w:vAlign w:val="bottom"/>
            <w:tcBorders>
              <w:left w:val="single" w:sz="8" w:color="auto"/>
              <w:bottom w:val="single" w:sz="8" w:color="CCEEFF"/>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9/30/2023</w:t>
            </w: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27"/>
              <w:spacing w:after="0"/>
              <w:rPr>
                <w:sz w:val="20"/>
                <w:szCs w:val="20"/>
                <w:color w:val="auto"/>
              </w:rPr>
            </w:pPr>
            <w:r>
              <w:rPr>
                <w:rFonts w:ascii="Arial" w:cs="Arial" w:eastAsia="Arial" w:hAnsi="Arial"/>
                <w:sz w:val="10"/>
                <w:szCs w:val="10"/>
                <w:b w:val="1"/>
                <w:bCs w:val="1"/>
                <w:color w:val="auto"/>
                <w:w w:val="94"/>
              </w:rPr>
              <w:t>9/30/2022</w:t>
            </w:r>
          </w:p>
        </w:tc>
        <w:tc>
          <w:tcPr>
            <w:tcW w:w="120" w:type="dxa"/>
            <w:vAlign w:val="bottom"/>
            <w:tcBorders>
              <w:bottom w:val="single" w:sz="8" w:color="CCEEFF"/>
              <w:right w:val="single" w:sz="8" w:color="auto"/>
            </w:tcBorders>
            <w:gridSpan w:val="2"/>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0"/>
                <w:szCs w:val="10"/>
                <w:b w:val="1"/>
                <w:bCs w:val="1"/>
                <w:color w:val="auto"/>
              </w:rPr>
              <w:t>9/30/2023</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jc w:val="right"/>
              <w:ind w:right="447"/>
              <w:spacing w:after="0"/>
              <w:rPr>
                <w:sz w:val="20"/>
                <w:szCs w:val="20"/>
                <w:color w:val="auto"/>
              </w:rPr>
            </w:pPr>
            <w:r>
              <w:rPr>
                <w:rFonts w:ascii="Arial" w:cs="Arial" w:eastAsia="Arial" w:hAnsi="Arial"/>
                <w:sz w:val="10"/>
                <w:szCs w:val="10"/>
                <w:b w:val="1"/>
                <w:bCs w:val="1"/>
                <w:color w:val="auto"/>
                <w:w w:val="98"/>
              </w:rPr>
              <w:t>9/30/2022</w:t>
            </w:r>
          </w:p>
        </w:tc>
      </w:tr>
      <w:tr>
        <w:trPr>
          <w:trHeight w:val="114"/>
        </w:trPr>
        <w:tc>
          <w:tcPr>
            <w:tcW w:w="6360" w:type="dxa"/>
            <w:vAlign w:val="bottom"/>
            <w:tcBorders>
              <w:left w:val="single" w:sz="8" w:color="auto"/>
            </w:tcBorders>
            <w:gridSpan w:val="2"/>
            <w:shd w:val="clear" w:color="auto" w:fill="CCEEFF"/>
          </w:tcPr>
          <w:p>
            <w:pPr>
              <w:ind w:left="20"/>
              <w:spacing w:after="0" w:line="114" w:lineRule="exact"/>
              <w:rPr>
                <w:sz w:val="20"/>
                <w:szCs w:val="20"/>
                <w:color w:val="auto"/>
              </w:rPr>
            </w:pPr>
            <w:r>
              <w:rPr>
                <w:rFonts w:ascii="Arial" w:cs="Arial" w:eastAsia="Arial" w:hAnsi="Arial"/>
                <w:sz w:val="11"/>
                <w:szCs w:val="11"/>
                <w:color w:val="auto"/>
              </w:rPr>
              <w:t>Statutory U.S. federal income tax rate</w:t>
            </w:r>
          </w:p>
        </w:tc>
        <w:tc>
          <w:tcPr>
            <w:tcW w:w="46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rPr>
              <w:t>21.0 %</w:t>
            </w: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rPr>
              <w:t>21.0 %</w:t>
            </w:r>
          </w:p>
        </w:tc>
        <w:tc>
          <w:tcPr>
            <w:tcW w:w="120" w:type="dxa"/>
            <w:vAlign w:val="bottom"/>
            <w:tcBorders>
              <w:right w:val="single" w:sz="8" w:color="auto"/>
            </w:tcBorders>
            <w:gridSpan w:val="2"/>
            <w:shd w:val="clear" w:color="auto" w:fill="CCEEFF"/>
          </w:tcPr>
          <w:p>
            <w:pPr>
              <w:spacing w:after="0"/>
              <w:rPr>
                <w:sz w:val="9"/>
                <w:szCs w:val="9"/>
                <w:color w:val="auto"/>
              </w:rPr>
            </w:pPr>
          </w:p>
        </w:tc>
        <w:tc>
          <w:tcPr>
            <w:tcW w:w="1420" w:type="dxa"/>
            <w:vAlign w:val="bottom"/>
            <w:gridSpan w:val="2"/>
            <w:shd w:val="clear" w:color="auto" w:fill="CCEEFF"/>
          </w:tcPr>
          <w:p>
            <w:pPr>
              <w:jc w:val="right"/>
              <w:spacing w:after="0" w:line="114" w:lineRule="exact"/>
              <w:rPr>
                <w:sz w:val="20"/>
                <w:szCs w:val="20"/>
                <w:color w:val="auto"/>
              </w:rPr>
            </w:pPr>
            <w:r>
              <w:rPr>
                <w:rFonts w:ascii="Arial" w:cs="Arial" w:eastAsia="Arial" w:hAnsi="Arial"/>
                <w:sz w:val="11"/>
                <w:szCs w:val="11"/>
                <w:color w:val="auto"/>
              </w:rPr>
              <w:t>21.0 %</w:t>
            </w: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960" w:type="dxa"/>
            <w:vAlign w:val="bottom"/>
            <w:tcBorders>
              <w:right w:val="single" w:sz="8" w:color="auto"/>
            </w:tcBorders>
            <w:shd w:val="clear" w:color="auto" w:fill="CCEEFF"/>
          </w:tcPr>
          <w:p>
            <w:pPr>
              <w:jc w:val="right"/>
              <w:spacing w:after="0" w:line="114" w:lineRule="exact"/>
              <w:rPr>
                <w:sz w:val="20"/>
                <w:szCs w:val="20"/>
                <w:color w:val="auto"/>
              </w:rPr>
            </w:pPr>
            <w:r>
              <w:rPr>
                <w:rFonts w:ascii="Arial" w:cs="Arial" w:eastAsia="Arial" w:hAnsi="Arial"/>
                <w:sz w:val="11"/>
                <w:szCs w:val="11"/>
                <w:color w:val="auto"/>
              </w:rPr>
              <w:t>21.0 %</w:t>
            </w:r>
          </w:p>
        </w:tc>
      </w:tr>
      <w:tr>
        <w:trPr>
          <w:trHeight w:val="144"/>
        </w:trPr>
        <w:tc>
          <w:tcPr>
            <w:tcW w:w="6360" w:type="dxa"/>
            <w:vAlign w:val="bottom"/>
            <w:tcBorders>
              <w:left w:val="single" w:sz="8" w:color="auto"/>
            </w:tcBorders>
            <w:gridSpan w:val="2"/>
          </w:tcPr>
          <w:p>
            <w:pPr>
              <w:ind w:left="20"/>
              <w:spacing w:after="0" w:line="144" w:lineRule="exact"/>
              <w:rPr>
                <w:sz w:val="20"/>
                <w:szCs w:val="20"/>
                <w:color w:val="auto"/>
              </w:rPr>
            </w:pPr>
            <w:r>
              <w:rPr>
                <w:rFonts w:ascii="Arial" w:cs="Arial" w:eastAsia="Arial" w:hAnsi="Arial"/>
                <w:sz w:val="11"/>
                <w:szCs w:val="11"/>
                <w:color w:val="auto"/>
              </w:rPr>
              <w:t>State income taxes for current year, net of federal income tax benefits</w:t>
            </w:r>
            <w:r>
              <w:rPr>
                <w:rFonts w:ascii="Arial" w:cs="Arial" w:eastAsia="Arial" w:hAnsi="Arial"/>
                <w:sz w:val="14"/>
                <w:szCs w:val="14"/>
                <w:color w:val="auto"/>
                <w:vertAlign w:val="superscript"/>
              </w:rPr>
              <w:t>(1)</w:t>
            </w:r>
          </w:p>
        </w:tc>
        <w:tc>
          <w:tcPr>
            <w:tcW w:w="460" w:type="dxa"/>
            <w:vAlign w:val="bottom"/>
          </w:tcPr>
          <w:p>
            <w:pPr>
              <w:jc w:val="right"/>
              <w:ind w:right="87"/>
              <w:spacing w:after="0"/>
              <w:rPr>
                <w:sz w:val="20"/>
                <w:szCs w:val="20"/>
                <w:color w:val="auto"/>
              </w:rPr>
            </w:pPr>
            <w:r>
              <w:rPr>
                <w:rFonts w:ascii="Arial" w:cs="Arial" w:eastAsia="Arial" w:hAnsi="Arial"/>
                <w:sz w:val="11"/>
                <w:szCs w:val="11"/>
                <w:color w:val="auto"/>
              </w:rPr>
              <w:t>3.3</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jc w:val="right"/>
              <w:ind w:right="87"/>
              <w:spacing w:after="0"/>
              <w:rPr>
                <w:sz w:val="20"/>
                <w:szCs w:val="20"/>
                <w:color w:val="auto"/>
              </w:rPr>
            </w:pPr>
            <w:r>
              <w:rPr>
                <w:rFonts w:ascii="Arial" w:cs="Arial" w:eastAsia="Arial" w:hAnsi="Arial"/>
                <w:sz w:val="11"/>
                <w:szCs w:val="11"/>
                <w:color w:val="auto"/>
              </w:rPr>
              <w:t>3.4</w:t>
            </w:r>
          </w:p>
        </w:tc>
        <w:tc>
          <w:tcPr>
            <w:tcW w:w="120" w:type="dxa"/>
            <w:vAlign w:val="bottom"/>
            <w:tcBorders>
              <w:right w:val="single" w:sz="8" w:color="auto"/>
            </w:tcBorders>
            <w:gridSpan w:val="2"/>
          </w:tcPr>
          <w:p>
            <w:pPr>
              <w:spacing w:after="0"/>
              <w:rPr>
                <w:sz w:val="12"/>
                <w:szCs w:val="12"/>
                <w:color w:val="auto"/>
              </w:rPr>
            </w:pPr>
          </w:p>
        </w:tc>
        <w:tc>
          <w:tcPr>
            <w:tcW w:w="1420" w:type="dxa"/>
            <w:vAlign w:val="bottom"/>
            <w:gridSpan w:val="2"/>
          </w:tcPr>
          <w:p>
            <w:pPr>
              <w:jc w:val="right"/>
              <w:ind w:right="90"/>
              <w:spacing w:after="0"/>
              <w:rPr>
                <w:sz w:val="20"/>
                <w:szCs w:val="20"/>
                <w:color w:val="auto"/>
              </w:rPr>
            </w:pPr>
            <w:r>
              <w:rPr>
                <w:rFonts w:ascii="Arial" w:cs="Arial" w:eastAsia="Arial" w:hAnsi="Arial"/>
                <w:sz w:val="11"/>
                <w:szCs w:val="11"/>
                <w:color w:val="auto"/>
              </w:rPr>
              <w:t>3.0</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tcBorders>
              <w:right w:val="single" w:sz="8" w:color="auto"/>
            </w:tcBorders>
          </w:tcPr>
          <w:p>
            <w:pPr>
              <w:jc w:val="right"/>
              <w:ind w:right="107"/>
              <w:spacing w:after="0"/>
              <w:rPr>
                <w:sz w:val="20"/>
                <w:szCs w:val="20"/>
                <w:color w:val="auto"/>
              </w:rPr>
            </w:pPr>
            <w:r>
              <w:rPr>
                <w:rFonts w:ascii="Arial" w:cs="Arial" w:eastAsia="Arial" w:hAnsi="Arial"/>
                <w:sz w:val="11"/>
                <w:szCs w:val="11"/>
                <w:color w:val="auto"/>
              </w:rPr>
              <w:t>3.5</w:t>
            </w:r>
          </w:p>
        </w:tc>
      </w:tr>
      <w:tr>
        <w:trPr>
          <w:trHeight w:val="144"/>
        </w:trPr>
        <w:tc>
          <w:tcPr>
            <w:tcW w:w="6360" w:type="dxa"/>
            <w:vAlign w:val="bottom"/>
            <w:tcBorders>
              <w:left w:val="single" w:sz="8" w:color="auto"/>
            </w:tcBorders>
            <w:gridSpan w:val="2"/>
            <w:shd w:val="clear" w:color="auto" w:fill="CCEEFF"/>
          </w:tcPr>
          <w:p>
            <w:pPr>
              <w:ind w:left="20"/>
              <w:spacing w:after="0" w:line="144" w:lineRule="exact"/>
              <w:rPr>
                <w:sz w:val="20"/>
                <w:szCs w:val="20"/>
                <w:color w:val="auto"/>
              </w:rPr>
            </w:pPr>
            <w:r>
              <w:rPr>
                <w:rFonts w:ascii="Arial" w:cs="Arial" w:eastAsia="Arial" w:hAnsi="Arial"/>
                <w:sz w:val="11"/>
                <w:szCs w:val="11"/>
                <w:color w:val="auto"/>
              </w:rPr>
              <w:t>Net (income) losses attributable to redeemable non-controlling interests</w:t>
            </w:r>
            <w:r>
              <w:rPr>
                <w:rFonts w:ascii="Arial" w:cs="Arial" w:eastAsia="Arial" w:hAnsi="Arial"/>
                <w:sz w:val="14"/>
                <w:szCs w:val="14"/>
                <w:color w:val="auto"/>
                <w:vertAlign w:val="superscript"/>
              </w:rPr>
              <w:t>(2)</w:t>
            </w:r>
          </w:p>
        </w:tc>
        <w:tc>
          <w:tcPr>
            <w:tcW w:w="460" w:type="dxa"/>
            <w:vAlign w:val="bottom"/>
            <w:shd w:val="clear" w:color="auto" w:fill="CCEEFF"/>
          </w:tcPr>
          <w:p>
            <w:pPr>
              <w:jc w:val="right"/>
              <w:ind w:right="87"/>
              <w:spacing w:after="0"/>
              <w:rPr>
                <w:sz w:val="20"/>
                <w:szCs w:val="20"/>
                <w:color w:val="auto"/>
              </w:rPr>
            </w:pPr>
            <w:r>
              <w:rPr>
                <w:rFonts w:ascii="Arial" w:cs="Arial" w:eastAsia="Arial" w:hAnsi="Arial"/>
                <w:sz w:val="11"/>
                <w:szCs w:val="11"/>
                <w:color w:val="auto"/>
              </w:rPr>
              <w:t>0.1</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87"/>
              <w:spacing w:after="0"/>
              <w:rPr>
                <w:sz w:val="20"/>
                <w:szCs w:val="20"/>
                <w:color w:val="auto"/>
              </w:rPr>
            </w:pPr>
            <w:r>
              <w:rPr>
                <w:rFonts w:ascii="Arial" w:cs="Arial" w:eastAsia="Arial" w:hAnsi="Arial"/>
                <w:sz w:val="11"/>
                <w:szCs w:val="11"/>
                <w:color w:val="auto"/>
              </w:rPr>
              <w:t>2.5</w:t>
            </w:r>
          </w:p>
        </w:tc>
        <w:tc>
          <w:tcPr>
            <w:tcW w:w="120" w:type="dxa"/>
            <w:vAlign w:val="bottom"/>
            <w:tcBorders>
              <w:right w:val="single" w:sz="8" w:color="auto"/>
            </w:tcBorders>
            <w:gridSpan w:val="2"/>
            <w:shd w:val="clear" w:color="auto" w:fill="CCEEFF"/>
          </w:tcPr>
          <w:p>
            <w:pPr>
              <w:spacing w:after="0"/>
              <w:rPr>
                <w:sz w:val="12"/>
                <w:szCs w:val="12"/>
                <w:color w:val="auto"/>
              </w:rPr>
            </w:pPr>
          </w:p>
        </w:tc>
        <w:tc>
          <w:tcPr>
            <w:tcW w:w="1420" w:type="dxa"/>
            <w:vAlign w:val="bottom"/>
            <w:gridSpan w:val="2"/>
            <w:shd w:val="clear" w:color="auto" w:fill="CCEEFF"/>
          </w:tcPr>
          <w:p>
            <w:pPr>
              <w:jc w:val="right"/>
              <w:ind w:right="50"/>
              <w:spacing w:after="0"/>
              <w:rPr>
                <w:sz w:val="20"/>
                <w:szCs w:val="20"/>
                <w:color w:val="auto"/>
              </w:rPr>
            </w:pPr>
            <w:r>
              <w:rPr>
                <w:rFonts w:ascii="Arial" w:cs="Arial" w:eastAsia="Arial" w:hAnsi="Arial"/>
                <w:sz w:val="11"/>
                <w:szCs w:val="11"/>
                <w:color w:val="auto"/>
              </w:rPr>
              <w:t>(0.2)</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60" w:type="dxa"/>
            <w:vAlign w:val="bottom"/>
            <w:tcBorders>
              <w:right w:val="single" w:sz="8" w:color="auto"/>
            </w:tcBorders>
            <w:shd w:val="clear" w:color="auto" w:fill="CCEEFF"/>
          </w:tcPr>
          <w:p>
            <w:pPr>
              <w:jc w:val="right"/>
              <w:ind w:right="107"/>
              <w:spacing w:after="0"/>
              <w:rPr>
                <w:sz w:val="20"/>
                <w:szCs w:val="20"/>
                <w:color w:val="auto"/>
              </w:rPr>
            </w:pPr>
            <w:r>
              <w:rPr>
                <w:rFonts w:ascii="Arial" w:cs="Arial" w:eastAsia="Arial" w:hAnsi="Arial"/>
                <w:sz w:val="11"/>
                <w:szCs w:val="11"/>
                <w:color w:val="auto"/>
              </w:rPr>
              <w:t>1.6</w:t>
            </w:r>
          </w:p>
        </w:tc>
      </w:tr>
      <w:tr>
        <w:trPr>
          <w:trHeight w:val="142"/>
        </w:trPr>
        <w:tc>
          <w:tcPr>
            <w:tcW w:w="6360" w:type="dxa"/>
            <w:vAlign w:val="bottom"/>
            <w:tcBorders>
              <w:left w:val="single" w:sz="8" w:color="auto"/>
            </w:tcBorders>
            <w:gridSpan w:val="2"/>
          </w:tcPr>
          <w:p>
            <w:pPr>
              <w:ind w:left="20"/>
              <w:spacing w:after="0"/>
              <w:rPr>
                <w:sz w:val="20"/>
                <w:szCs w:val="20"/>
                <w:color w:val="auto"/>
              </w:rPr>
            </w:pPr>
            <w:r>
              <w:rPr>
                <w:rFonts w:ascii="Arial" w:cs="Arial" w:eastAsia="Arial" w:hAnsi="Arial"/>
                <w:sz w:val="11"/>
                <w:szCs w:val="11"/>
                <w:color w:val="auto"/>
              </w:rPr>
              <w:t>Net excess tax benefits from stock-based compensation plans activity</w:t>
            </w:r>
          </w:p>
        </w:tc>
        <w:tc>
          <w:tcPr>
            <w:tcW w:w="460" w:type="dxa"/>
            <w:vAlign w:val="bottom"/>
          </w:tcPr>
          <w:p>
            <w:pPr>
              <w:jc w:val="right"/>
              <w:ind w:right="67"/>
              <w:spacing w:after="0"/>
              <w:rPr>
                <w:sz w:val="20"/>
                <w:szCs w:val="20"/>
                <w:color w:val="auto"/>
              </w:rPr>
            </w:pPr>
            <w:r>
              <w:rPr>
                <w:rFonts w:ascii="Arial" w:cs="Arial" w:eastAsia="Arial" w:hAnsi="Arial"/>
                <w:sz w:val="11"/>
                <w:szCs w:val="11"/>
                <w:color w:val="auto"/>
              </w:rPr>
              <w:t>(0.4)</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jc w:val="right"/>
              <w:ind w:right="47"/>
              <w:spacing w:after="0"/>
              <w:rPr>
                <w:sz w:val="20"/>
                <w:szCs w:val="20"/>
                <w:color w:val="auto"/>
              </w:rPr>
            </w:pPr>
            <w:r>
              <w:rPr>
                <w:rFonts w:ascii="Arial" w:cs="Arial" w:eastAsia="Arial" w:hAnsi="Arial"/>
                <w:sz w:val="11"/>
                <w:szCs w:val="11"/>
                <w:color w:val="auto"/>
              </w:rPr>
              <w:t>(0.5)</w:t>
            </w:r>
          </w:p>
        </w:tc>
        <w:tc>
          <w:tcPr>
            <w:tcW w:w="120" w:type="dxa"/>
            <w:vAlign w:val="bottom"/>
            <w:tcBorders>
              <w:right w:val="single" w:sz="8" w:color="auto"/>
            </w:tcBorders>
            <w:gridSpan w:val="2"/>
          </w:tcPr>
          <w:p>
            <w:pPr>
              <w:spacing w:after="0"/>
              <w:rPr>
                <w:sz w:val="12"/>
                <w:szCs w:val="12"/>
                <w:color w:val="auto"/>
              </w:rPr>
            </w:pPr>
          </w:p>
        </w:tc>
        <w:tc>
          <w:tcPr>
            <w:tcW w:w="1420" w:type="dxa"/>
            <w:vAlign w:val="bottom"/>
            <w:gridSpan w:val="2"/>
          </w:tcPr>
          <w:p>
            <w:pPr>
              <w:jc w:val="right"/>
              <w:ind w:right="50"/>
              <w:spacing w:after="0"/>
              <w:rPr>
                <w:sz w:val="20"/>
                <w:szCs w:val="20"/>
                <w:color w:val="auto"/>
              </w:rPr>
            </w:pPr>
            <w:r>
              <w:rPr>
                <w:rFonts w:ascii="Arial" w:cs="Arial" w:eastAsia="Arial" w:hAnsi="Arial"/>
                <w:sz w:val="11"/>
                <w:szCs w:val="11"/>
                <w:color w:val="auto"/>
              </w:rPr>
              <w:t>(0.3)</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tcBorders>
              <w:right w:val="single" w:sz="8" w:color="auto"/>
            </w:tcBorders>
          </w:tcPr>
          <w:p>
            <w:pPr>
              <w:jc w:val="right"/>
              <w:ind w:right="87"/>
              <w:spacing w:after="0"/>
              <w:rPr>
                <w:sz w:val="20"/>
                <w:szCs w:val="20"/>
                <w:color w:val="auto"/>
              </w:rPr>
            </w:pPr>
            <w:r>
              <w:rPr>
                <w:rFonts w:ascii="Arial" w:cs="Arial" w:eastAsia="Arial" w:hAnsi="Arial"/>
                <w:sz w:val="11"/>
                <w:szCs w:val="11"/>
                <w:color w:val="auto"/>
              </w:rPr>
              <w:t>(0.5)</w:t>
            </w:r>
          </w:p>
        </w:tc>
      </w:tr>
      <w:tr>
        <w:trPr>
          <w:trHeight w:val="144"/>
        </w:trPr>
        <w:tc>
          <w:tcPr>
            <w:tcW w:w="5440" w:type="dxa"/>
            <w:vAlign w:val="bottom"/>
            <w:tcBorders>
              <w:left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Other items, including valuation allowances</w:t>
            </w:r>
          </w:p>
        </w:tc>
        <w:tc>
          <w:tcPr>
            <w:tcW w:w="9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1"/>
                <w:szCs w:val="11"/>
                <w:color w:val="auto"/>
              </w:rPr>
              <w:t>0.8</w:t>
            </w:r>
          </w:p>
        </w:tc>
        <w:tc>
          <w:tcPr>
            <w:tcW w:w="8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1"/>
                <w:szCs w:val="11"/>
                <w:color w:val="auto"/>
              </w:rPr>
              <w:t>0.8</w:t>
            </w:r>
          </w:p>
        </w:tc>
        <w:tc>
          <w:tcPr>
            <w:tcW w:w="120" w:type="dxa"/>
            <w:vAlign w:val="bottom"/>
            <w:tcBorders>
              <w:right w:val="single" w:sz="8" w:color="auto"/>
            </w:tcBorders>
            <w:gridSpan w:val="2"/>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1"/>
                <w:szCs w:val="11"/>
                <w:color w:val="auto"/>
              </w:rPr>
              <w:t>2.6</w:t>
            </w:r>
          </w:p>
        </w:tc>
        <w:tc>
          <w:tcPr>
            <w:tcW w:w="8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right w:val="single" w:sz="8" w:color="auto"/>
            </w:tcBorders>
            <w:shd w:val="clear" w:color="auto" w:fill="CCEEFF"/>
          </w:tcPr>
          <w:p>
            <w:pPr>
              <w:jc w:val="right"/>
              <w:ind w:right="107"/>
              <w:spacing w:after="0"/>
              <w:rPr>
                <w:sz w:val="20"/>
                <w:szCs w:val="20"/>
                <w:color w:val="auto"/>
              </w:rPr>
            </w:pPr>
            <w:r>
              <w:rPr>
                <w:rFonts w:ascii="Arial" w:cs="Arial" w:eastAsia="Arial" w:hAnsi="Arial"/>
                <w:sz w:val="11"/>
                <w:szCs w:val="11"/>
                <w:color w:val="auto"/>
              </w:rPr>
              <w:t>—</w:t>
            </w:r>
          </w:p>
        </w:tc>
      </w:tr>
      <w:tr>
        <w:trPr>
          <w:trHeight w:val="202"/>
        </w:trPr>
        <w:tc>
          <w:tcPr>
            <w:tcW w:w="636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11"/>
                <w:szCs w:val="11"/>
                <w:color w:val="auto"/>
              </w:rPr>
              <w:t>Effective income tax rate</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24.8 %</w:t>
            </w:r>
          </w:p>
        </w:tc>
        <w:tc>
          <w:tcPr>
            <w:tcW w:w="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27.2 %</w:t>
            </w:r>
          </w:p>
        </w:tc>
        <w:tc>
          <w:tcPr>
            <w:tcW w:w="120" w:type="dxa"/>
            <w:vAlign w:val="bottom"/>
            <w:tcBorders>
              <w:bottom w:val="single" w:sz="8" w:color="auto"/>
              <w:right w:val="single" w:sz="8" w:color="auto"/>
            </w:tcBorders>
            <w:gridSpan w:val="2"/>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26.1 %</w:t>
            </w:r>
          </w:p>
        </w:tc>
        <w:tc>
          <w:tcPr>
            <w:tcW w:w="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25.6 %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7178040</wp:posOffset>
            </wp:positionH>
            <wp:positionV relativeFrom="paragraph">
              <wp:posOffset>-16510</wp:posOffset>
            </wp:positionV>
            <wp:extent cx="57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5" cy="17145"/>
                    </a:xfrm>
                    <a:prstGeom prst="rect">
                      <a:avLst/>
                    </a:prstGeom>
                    <a:noFill/>
                  </pic:spPr>
                </pic:pic>
              </a:graphicData>
            </a:graphic>
          </wp:anchor>
        </w:drawing>
        <w:drawing>
          <wp:anchor simplePos="0" relativeHeight="251657728" behindDoc="1" locked="0" layoutInCell="0" allowOverlap="1">
            <wp:simplePos x="0" y="0"/>
            <wp:positionH relativeFrom="column">
              <wp:posOffset>5263515</wp:posOffset>
            </wp:positionH>
            <wp:positionV relativeFrom="paragraph">
              <wp:posOffset>-16510</wp:posOffset>
            </wp:positionV>
            <wp:extent cx="57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15" cy="17145"/>
                    </a:xfrm>
                    <a:prstGeom prst="rect">
                      <a:avLst/>
                    </a:prstGeom>
                    <a:noFill/>
                  </pic:spPr>
                </pic:pic>
              </a:graphicData>
            </a:graphic>
          </wp:anchor>
        </w:drawing>
      </w:r>
    </w:p>
    <w:p>
      <w:pPr>
        <w:spacing w:after="0" w:line="36" w:lineRule="exact"/>
        <w:rPr>
          <w:sz w:val="20"/>
          <w:szCs w:val="20"/>
          <w:color w:val="auto"/>
        </w:rPr>
      </w:pPr>
    </w:p>
    <w:p>
      <w:pPr>
        <w:ind w:left="88" w:hanging="88"/>
        <w:spacing w:after="0"/>
        <w:tabs>
          <w:tab w:leader="none" w:pos="88" w:val="left"/>
        </w:tabs>
        <w:numPr>
          <w:ilvl w:val="0"/>
          <w:numId w:val="9"/>
        </w:numPr>
        <w:rPr>
          <w:rFonts w:ascii="Arial" w:cs="Arial" w:eastAsia="Arial" w:hAnsi="Arial"/>
          <w:sz w:val="10"/>
          <w:szCs w:val="10"/>
          <w:i w:val="1"/>
          <w:iCs w:val="1"/>
          <w:color w:val="auto"/>
          <w:vertAlign w:val="superscript"/>
        </w:rPr>
      </w:pPr>
      <w:r>
        <w:rPr>
          <w:rFonts w:ascii="Arial" w:cs="Arial" w:eastAsia="Arial" w:hAnsi="Arial"/>
          <w:sz w:val="8"/>
          <w:szCs w:val="8"/>
          <w:i w:val="1"/>
          <w:iCs w:val="1"/>
          <w:color w:val="auto"/>
        </w:rPr>
        <w:t>State income tax benefits are reflected in the total benefits for net income attributable to redeemable non-controlling interests and stock-based compensation plans activity.</w:t>
      </w:r>
    </w:p>
    <w:p>
      <w:pPr>
        <w:spacing w:after="0" w:line="3" w:lineRule="exact"/>
        <w:rPr>
          <w:rFonts w:ascii="Arial" w:cs="Arial" w:eastAsia="Arial" w:hAnsi="Arial"/>
          <w:sz w:val="10"/>
          <w:szCs w:val="10"/>
          <w:i w:val="1"/>
          <w:iCs w:val="1"/>
          <w:color w:val="auto"/>
          <w:vertAlign w:val="superscript"/>
        </w:rPr>
      </w:pPr>
    </w:p>
    <w:p>
      <w:pPr>
        <w:ind w:left="88" w:hanging="88"/>
        <w:spacing w:after="0"/>
        <w:tabs>
          <w:tab w:leader="none" w:pos="88" w:val="left"/>
        </w:tabs>
        <w:numPr>
          <w:ilvl w:val="0"/>
          <w:numId w:val="9"/>
        </w:numPr>
        <w:rPr>
          <w:rFonts w:ascii="Arial" w:cs="Arial" w:eastAsia="Arial" w:hAnsi="Arial"/>
          <w:sz w:val="6"/>
          <w:szCs w:val="6"/>
          <w:i w:val="1"/>
          <w:iCs w:val="1"/>
          <w:color w:val="auto"/>
        </w:rPr>
      </w:pPr>
      <w:r>
        <w:rPr>
          <w:rFonts w:ascii="Arial" w:cs="Arial" w:eastAsia="Arial" w:hAnsi="Arial"/>
          <w:sz w:val="10"/>
          <w:szCs w:val="10"/>
          <w:i w:val="1"/>
          <w:iCs w:val="1"/>
          <w:color w:val="auto"/>
        </w:rPr>
        <w:t>Net income attributable to redeemable non-controlling interest represents the portion of earnings held in the firm's consolidated investment products, which are not taxable to the firm despite being included in pre-tax income.</w:t>
      </w:r>
    </w:p>
    <w:p>
      <w:pPr>
        <w:spacing w:after="0" w:line="188" w:lineRule="exact"/>
        <w:rPr>
          <w:sz w:val="20"/>
          <w:szCs w:val="20"/>
          <w:color w:val="auto"/>
        </w:rPr>
      </w:pPr>
    </w:p>
    <w:p>
      <w:pPr>
        <w:ind w:left="8" w:right="240"/>
        <w:spacing w:after="0" w:line="385" w:lineRule="auto"/>
        <w:rPr>
          <w:sz w:val="20"/>
          <w:szCs w:val="20"/>
          <w:color w:val="auto"/>
        </w:rPr>
      </w:pPr>
      <w:r>
        <w:rPr>
          <w:rFonts w:ascii="Arial" w:cs="Arial" w:eastAsia="Arial" w:hAnsi="Arial"/>
          <w:sz w:val="12"/>
          <w:szCs w:val="12"/>
          <w:color w:val="auto"/>
        </w:rPr>
        <w:t>The firm's non-GAAP effective tax rate was 24.8% for Q3 2023, compared with 24.4% for Q3 2022. The Q3 2023 pre-tax income includes losses in certain foreign jurisdictions in which no associated tax benefit was recognized in the income tax provision.</w:t>
      </w:r>
    </w:p>
    <w:p>
      <w:pPr>
        <w:spacing w:after="0" w:line="142"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firm estimates that its effective tax rate for the full year 2023 will be in the range of 26% to 30%, on a U.S. GAAP basis, and 26.5% to 29.5%, on a non-GAAP basis.</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Other Matters</w:t>
      </w:r>
    </w:p>
    <w:p>
      <w:pPr>
        <w:spacing w:after="0" w:line="210" w:lineRule="exact"/>
        <w:rPr>
          <w:sz w:val="20"/>
          <w:szCs w:val="20"/>
          <w:color w:val="auto"/>
        </w:rPr>
      </w:pPr>
    </w:p>
    <w:p>
      <w:pPr>
        <w:ind w:left="8" w:right="60"/>
        <w:spacing w:after="0" w:line="385" w:lineRule="auto"/>
        <w:rPr>
          <w:sz w:val="20"/>
          <w:szCs w:val="20"/>
          <w:color w:val="auto"/>
        </w:rPr>
      </w:pPr>
      <w:r>
        <w:rPr>
          <w:rFonts w:ascii="Arial" w:cs="Arial" w:eastAsia="Arial" w:hAnsi="Arial"/>
          <w:sz w:val="12"/>
          <w:szCs w:val="12"/>
          <w:color w:val="auto"/>
        </w:rPr>
        <w:t>The financial results presented in this release are unaudited. The firm expects to file its Form 10-Q Quarterly Report for the third quarter of 2023 with the U.S. Securities and Exchange Commission later today. The Form 10-Q will include additional information on the firm's unaudited consolidated financial statements at September 30, 2023.</w:t>
      </w:r>
    </w:p>
    <w:p>
      <w:pPr>
        <w:spacing w:after="0" w:line="133" w:lineRule="exact"/>
        <w:rPr>
          <w:sz w:val="20"/>
          <w:szCs w:val="20"/>
          <w:color w:val="auto"/>
        </w:rPr>
      </w:pPr>
    </w:p>
    <w:p>
      <w:pPr>
        <w:ind w:left="8" w:right="160"/>
        <w:spacing w:after="0" w:line="373" w:lineRule="auto"/>
        <w:rPr>
          <w:sz w:val="20"/>
          <w:szCs w:val="20"/>
          <w:color w:val="auto"/>
        </w:rPr>
      </w:pPr>
      <w:r>
        <w:rPr>
          <w:rFonts w:ascii="Arial" w:cs="Arial" w:eastAsia="Arial" w:hAnsi="Arial"/>
          <w:sz w:val="12"/>
          <w:szCs w:val="12"/>
          <w:color w:val="auto"/>
        </w:rPr>
        <w:t>Certain statements in this earnings release may represent “forward-looking information,” including information relating to anticipated changes in revenues, our operations, expenses, earnings, liquidity, cash flows and capital expenditures, industry or market conditions, amount or composition of assets under management, regulatory developments, changes in our effective fee rate, demand for and pricing of our products, new products and services, net income and earnings per common share, tax rates, general economic conditions, future transactions, our strategic initiatives, general economic conditions, dividends, stock repurchases, and other market conditions. For a discussion concerning risks and other factors that could affect future results, see the firm's 2022 Annual Report on Form 10-K.</w:t>
      </w:r>
    </w:p>
    <w:p>
      <w:pPr>
        <w:spacing w:after="0" w:line="135" w:lineRule="exact"/>
        <w:rPr>
          <w:sz w:val="20"/>
          <w:szCs w:val="20"/>
          <w:color w:val="auto"/>
        </w:rPr>
      </w:pPr>
    </w:p>
    <w:p>
      <w:pPr>
        <w:ind w:left="8" w:right="140"/>
        <w:spacing w:after="0" w:line="377" w:lineRule="auto"/>
        <w:rPr>
          <w:sz w:val="20"/>
          <w:szCs w:val="20"/>
          <w:color w:val="auto"/>
        </w:rPr>
      </w:pPr>
      <w:r>
        <w:rPr>
          <w:rFonts w:ascii="Arial" w:cs="Arial" w:eastAsia="Arial" w:hAnsi="Arial"/>
          <w:sz w:val="12"/>
          <w:szCs w:val="12"/>
          <w:color w:val="auto"/>
        </w:rPr>
        <w:t>Founded in 1937, Baltimore-based T. Rowe Price (</w:t>
      </w:r>
      <w:r>
        <w:rPr>
          <w:rFonts w:ascii="Arial" w:cs="Arial" w:eastAsia="Arial" w:hAnsi="Arial"/>
          <w:sz w:val="12"/>
          <w:szCs w:val="12"/>
          <w:b w:val="1"/>
          <w:bCs w:val="1"/>
          <w:color w:val="054C70"/>
        </w:rPr>
        <w:t>troweprice.com</w:t>
      </w:r>
      <w:r>
        <w:rPr>
          <w:rFonts w:ascii="Arial" w:cs="Arial" w:eastAsia="Arial" w:hAnsi="Arial"/>
          <w:sz w:val="12"/>
          <w:szCs w:val="12"/>
          <w:color w:val="auto"/>
        </w:rPr>
        <w:t>) is a global investment management organization that provides a broad array of mutual funds, subadvisory services, and separate account management for individual and institutional investors, retirement plans, and financial intermediaries. The organization also offers a variety of sophisticated investment planning and guidance tools. T. Rowe Price's disciplined, risk-aware investment approach focuses on diversification, style consistency, and fundamental research.</w:t>
      </w:r>
    </w:p>
    <w:p>
      <w:pPr>
        <w:spacing w:after="0" w:line="13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308"/>
          </w:cols>
          <w:pgMar w:left="292" w:top="827" w:right="299" w:bottom="1440" w:gutter="0" w:footer="0" w:header="0"/>
        </w:sectPr>
      </w:pPr>
    </w:p>
    <w:bookmarkStart w:id="8" w:name="page9"/>
    <w:bookmarkEnd w:id="8"/>
    <w:p>
      <w:pPr>
        <w:spacing w:after="0"/>
        <w:rPr>
          <w:sz w:val="20"/>
          <w:szCs w:val="20"/>
          <w:color w:val="auto"/>
        </w:rPr>
      </w:pPr>
      <w:r>
        <w:rPr>
          <w:rFonts w:ascii="Arial" w:cs="Arial" w:eastAsia="Arial" w:hAnsi="Arial"/>
          <w:sz w:val="12"/>
          <w:szCs w:val="12"/>
          <w:b w:val="1"/>
          <w:bCs w:val="1"/>
          <w:color w:val="auto"/>
        </w:rPr>
        <w:t>Webcast Information</w:t>
      </w:r>
    </w:p>
    <w:p>
      <w:pPr>
        <w:spacing w:after="0" w:line="75" w:lineRule="exact"/>
        <w:rPr>
          <w:sz w:val="20"/>
          <w:szCs w:val="20"/>
          <w:color w:val="auto"/>
        </w:rPr>
      </w:pPr>
    </w:p>
    <w:p>
      <w:pPr>
        <w:spacing w:after="0" w:line="385" w:lineRule="auto"/>
        <w:rPr>
          <w:sz w:val="20"/>
          <w:szCs w:val="20"/>
          <w:color w:val="auto"/>
        </w:rPr>
      </w:pPr>
      <w:r>
        <w:rPr>
          <w:rFonts w:ascii="Arial" w:cs="Arial" w:eastAsia="Arial" w:hAnsi="Arial"/>
          <w:sz w:val="12"/>
          <w:szCs w:val="12"/>
          <w:color w:val="auto"/>
        </w:rPr>
        <w:t>Chief Executive Officer and President, Rob Sharps, and Chief Financial Officer, Jen Dardis, will provide an update on business performance, review financial results, and answer questions on a webcast to be held on Friday, October 27, 2023 from 8:00 - 8:45 AM (Eastern Time). To access the webcast or to obtain dial in instructions to ask a question, please visit investors.troweprice.com.</w:t>
      </w:r>
    </w:p>
    <w:p>
      <w:pPr>
        <w:spacing w:after="0" w:line="142" w:lineRule="exact"/>
        <w:rPr>
          <w:sz w:val="20"/>
          <w:szCs w:val="20"/>
          <w:color w:val="auto"/>
        </w:rPr>
      </w:pPr>
    </w:p>
    <w:p>
      <w:pPr>
        <w:ind w:right="40"/>
        <w:spacing w:after="0" w:line="385" w:lineRule="auto"/>
        <w:rPr>
          <w:sz w:val="20"/>
          <w:szCs w:val="20"/>
          <w:color w:val="auto"/>
        </w:rPr>
      </w:pPr>
      <w:r>
        <w:rPr>
          <w:rFonts w:ascii="Arial" w:cs="Arial" w:eastAsia="Arial" w:hAnsi="Arial"/>
          <w:sz w:val="12"/>
          <w:szCs w:val="12"/>
          <w:color w:val="auto"/>
        </w:rPr>
        <w:t>Supplemental materials will be available on the company's investor relations website shortly before the start of the call. A replay of the webcast will be available on the company's investor relations website shortly after the event.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720" w:type="dxa"/>
            <w:vAlign w:val="bottom"/>
            <w:gridSpan w:val="2"/>
          </w:tcPr>
          <w:p>
            <w:pPr>
              <w:spacing w:after="0"/>
              <w:rPr>
                <w:sz w:val="20"/>
                <w:szCs w:val="20"/>
                <w:color w:val="auto"/>
              </w:rPr>
            </w:pPr>
            <w:r>
              <w:rPr>
                <w:rFonts w:ascii="Arial" w:cs="Arial" w:eastAsia="Arial" w:hAnsi="Arial"/>
                <w:sz w:val="12"/>
                <w:szCs w:val="12"/>
                <w:b w:val="1"/>
                <w:bCs w:val="1"/>
                <w:color w:val="05C3DE"/>
              </w:rPr>
              <w:t>CONTACTS:</w:t>
            </w:r>
          </w:p>
        </w:tc>
        <w:tc>
          <w:tcPr>
            <w:tcW w:w="2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3"/>
        </w:trPr>
        <w:tc>
          <w:tcPr>
            <w:tcW w:w="940" w:type="dxa"/>
            <w:vAlign w:val="bottom"/>
          </w:tcPr>
          <w:p>
            <w:pPr>
              <w:spacing w:after="0"/>
              <w:rPr>
                <w:sz w:val="20"/>
                <w:szCs w:val="20"/>
                <w:color w:val="auto"/>
              </w:rPr>
            </w:pPr>
            <w:r>
              <w:rPr>
                <w:rFonts w:ascii="Arial" w:cs="Arial" w:eastAsia="Arial" w:hAnsi="Arial"/>
                <w:sz w:val="12"/>
                <w:szCs w:val="12"/>
                <w:b w:val="1"/>
                <w:bCs w:val="1"/>
                <w:color w:val="054C70"/>
                <w:w w:val="98"/>
              </w:rPr>
              <w:t>Public Relations</w:t>
            </w:r>
          </w:p>
        </w:tc>
        <w:tc>
          <w:tcPr>
            <w:tcW w:w="27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820" w:type="dxa"/>
            <w:vAlign w:val="bottom"/>
            <w:gridSpan w:val="2"/>
          </w:tcPr>
          <w:p>
            <w:pPr>
              <w:spacing w:after="0"/>
              <w:rPr>
                <w:sz w:val="20"/>
                <w:szCs w:val="20"/>
                <w:color w:val="auto"/>
              </w:rPr>
            </w:pPr>
            <w:r>
              <w:rPr>
                <w:rFonts w:ascii="Arial" w:cs="Arial" w:eastAsia="Arial" w:hAnsi="Arial"/>
                <w:sz w:val="12"/>
                <w:szCs w:val="12"/>
                <w:b w:val="1"/>
                <w:bCs w:val="1"/>
                <w:color w:val="054C70"/>
              </w:rPr>
              <w:t>Investor Relations</w:t>
            </w:r>
          </w:p>
        </w:tc>
      </w:tr>
      <w:tr>
        <w:trPr>
          <w:trHeight w:val="160"/>
        </w:trPr>
        <w:tc>
          <w:tcPr>
            <w:tcW w:w="940" w:type="dxa"/>
            <w:vAlign w:val="bottom"/>
            <w:tcBorders>
              <w:top w:val="single" w:sz="8" w:color="054C70"/>
            </w:tcBorders>
          </w:tcPr>
          <w:p>
            <w:pPr>
              <w:spacing w:after="0"/>
              <w:rPr>
                <w:sz w:val="20"/>
                <w:szCs w:val="20"/>
                <w:color w:val="auto"/>
              </w:rPr>
            </w:pPr>
            <w:r>
              <w:rPr>
                <w:rFonts w:ascii="Arial" w:cs="Arial" w:eastAsia="Arial" w:hAnsi="Arial"/>
                <w:sz w:val="12"/>
                <w:szCs w:val="12"/>
                <w:color w:val="auto"/>
              </w:rPr>
              <w:t>Jeanne Moore</w:t>
            </w:r>
          </w:p>
        </w:tc>
        <w:tc>
          <w:tcPr>
            <w:tcW w:w="278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040" w:type="dxa"/>
            <w:vAlign w:val="bottom"/>
            <w:tcBorders>
              <w:top w:val="single" w:sz="8" w:color="054C70"/>
            </w:tcBorders>
          </w:tcPr>
          <w:p>
            <w:pPr>
              <w:spacing w:after="0"/>
              <w:rPr>
                <w:sz w:val="20"/>
                <w:szCs w:val="20"/>
                <w:color w:val="auto"/>
              </w:rPr>
            </w:pPr>
            <w:r>
              <w:rPr>
                <w:rFonts w:ascii="Arial" w:cs="Arial" w:eastAsia="Arial" w:hAnsi="Arial"/>
                <w:sz w:val="12"/>
                <w:szCs w:val="12"/>
                <w:color w:val="3B3B3B"/>
              </w:rPr>
              <w:t>Linsley Carruth</w:t>
            </w:r>
          </w:p>
        </w:tc>
        <w:tc>
          <w:tcPr>
            <w:tcW w:w="780" w:type="dxa"/>
            <w:vAlign w:val="bottom"/>
          </w:tcPr>
          <w:p>
            <w:pPr>
              <w:spacing w:after="0"/>
              <w:rPr>
                <w:sz w:val="13"/>
                <w:szCs w:val="13"/>
                <w:color w:val="auto"/>
              </w:rPr>
            </w:pPr>
          </w:p>
        </w:tc>
      </w:tr>
      <w:tr>
        <w:trPr>
          <w:trHeight w:val="147"/>
        </w:trPr>
        <w:tc>
          <w:tcPr>
            <w:tcW w:w="940" w:type="dxa"/>
            <w:vAlign w:val="bottom"/>
          </w:tcPr>
          <w:p>
            <w:pPr>
              <w:spacing w:after="0"/>
              <w:rPr>
                <w:sz w:val="20"/>
                <w:szCs w:val="20"/>
                <w:color w:val="auto"/>
              </w:rPr>
            </w:pPr>
            <w:r>
              <w:rPr>
                <w:rFonts w:ascii="Arial" w:cs="Arial" w:eastAsia="Arial" w:hAnsi="Arial"/>
                <w:sz w:val="12"/>
                <w:szCs w:val="12"/>
                <w:color w:val="auto"/>
              </w:rPr>
              <w:t>443-938-0463</w:t>
            </w:r>
          </w:p>
        </w:tc>
        <w:tc>
          <w:tcPr>
            <w:tcW w:w="2780" w:type="dxa"/>
            <w:vAlign w:val="bottom"/>
          </w:tcPr>
          <w:p>
            <w:pPr>
              <w:spacing w:after="0"/>
              <w:rPr>
                <w:sz w:val="12"/>
                <w:szCs w:val="12"/>
                <w:color w:val="auto"/>
              </w:rPr>
            </w:pPr>
          </w:p>
        </w:tc>
        <w:tc>
          <w:tcPr>
            <w:tcW w:w="3740" w:type="dxa"/>
            <w:vAlign w:val="bottom"/>
            <w:gridSpan w:val="2"/>
          </w:tcPr>
          <w:p>
            <w:pPr>
              <w:ind w:left="2700"/>
              <w:spacing w:after="0"/>
              <w:rPr>
                <w:sz w:val="20"/>
                <w:szCs w:val="20"/>
                <w:color w:val="auto"/>
              </w:rPr>
            </w:pPr>
            <w:r>
              <w:rPr>
                <w:rFonts w:ascii="Arial" w:cs="Arial" w:eastAsia="Arial" w:hAnsi="Arial"/>
                <w:sz w:val="12"/>
                <w:szCs w:val="12"/>
                <w:color w:val="3B3B3B"/>
              </w:rPr>
              <w:t>410-345-3717</w:t>
            </w:r>
          </w:p>
        </w:tc>
        <w:tc>
          <w:tcPr>
            <w:tcW w:w="780" w:type="dxa"/>
            <w:vAlign w:val="bottom"/>
          </w:tcPr>
          <w:p>
            <w:pPr>
              <w:spacing w:after="0"/>
              <w:rPr>
                <w:sz w:val="12"/>
                <w:szCs w:val="12"/>
                <w:color w:val="auto"/>
              </w:rPr>
            </w:pPr>
          </w:p>
        </w:tc>
      </w:tr>
      <w:tr>
        <w:trPr>
          <w:trHeight w:val="167"/>
        </w:trPr>
        <w:tc>
          <w:tcPr>
            <w:tcW w:w="3720" w:type="dxa"/>
            <w:vAlign w:val="bottom"/>
            <w:gridSpan w:val="2"/>
          </w:tcPr>
          <w:p>
            <w:pPr>
              <w:spacing w:after="0"/>
              <w:rPr>
                <w:sz w:val="20"/>
                <w:szCs w:val="20"/>
                <w:color w:val="auto"/>
              </w:rPr>
            </w:pPr>
            <w:r>
              <w:rPr>
                <w:rFonts w:ascii="Arial" w:cs="Arial" w:eastAsia="Arial" w:hAnsi="Arial"/>
                <w:sz w:val="12"/>
                <w:szCs w:val="12"/>
                <w:b w:val="1"/>
                <w:bCs w:val="1"/>
                <w:color w:val="054C70"/>
              </w:rPr>
              <w:t>jeanne.moore@troweprice.com</w:t>
            </w:r>
          </w:p>
        </w:tc>
        <w:tc>
          <w:tcPr>
            <w:tcW w:w="2700" w:type="dxa"/>
            <w:vAlign w:val="bottom"/>
          </w:tcPr>
          <w:p>
            <w:pPr>
              <w:spacing w:after="0"/>
              <w:rPr>
                <w:sz w:val="14"/>
                <w:szCs w:val="14"/>
                <w:color w:val="auto"/>
              </w:rPr>
            </w:pPr>
          </w:p>
        </w:tc>
        <w:tc>
          <w:tcPr>
            <w:tcW w:w="1820" w:type="dxa"/>
            <w:vAlign w:val="bottom"/>
            <w:gridSpan w:val="2"/>
          </w:tcPr>
          <w:p>
            <w:pPr>
              <w:spacing w:after="0"/>
              <w:rPr>
                <w:sz w:val="20"/>
                <w:szCs w:val="20"/>
                <w:color w:val="auto"/>
              </w:rPr>
            </w:pPr>
            <w:r>
              <w:rPr>
                <w:rFonts w:ascii="Arial" w:cs="Arial" w:eastAsia="Arial" w:hAnsi="Arial"/>
                <w:sz w:val="12"/>
                <w:szCs w:val="12"/>
                <w:b w:val="1"/>
                <w:bCs w:val="1"/>
                <w:color w:val="054C70"/>
                <w:w w:val="98"/>
              </w:rPr>
              <w:t>linsley.carruth@troweprice.com</w:t>
            </w:r>
          </w:p>
        </w:tc>
      </w:tr>
      <w:tr>
        <w:trPr>
          <w:trHeight w:val="325"/>
        </w:trPr>
        <w:tc>
          <w:tcPr>
            <w:tcW w:w="3720" w:type="dxa"/>
            <w:vAlign w:val="bottom"/>
            <w:gridSpan w:val="2"/>
          </w:tcPr>
          <w:p>
            <w:pPr>
              <w:spacing w:after="0"/>
              <w:rPr>
                <w:sz w:val="20"/>
                <w:szCs w:val="20"/>
                <w:color w:val="auto"/>
              </w:rPr>
            </w:pPr>
            <w:r>
              <w:rPr>
                <w:rFonts w:ascii="Arial" w:cs="Arial" w:eastAsia="Arial" w:hAnsi="Arial"/>
                <w:sz w:val="12"/>
                <w:szCs w:val="12"/>
                <w:color w:val="auto"/>
              </w:rPr>
              <w:t>Jamaal Mobley</w:t>
            </w:r>
          </w:p>
        </w:tc>
        <w:tc>
          <w:tcPr>
            <w:tcW w:w="2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47"/>
        </w:trPr>
        <w:tc>
          <w:tcPr>
            <w:tcW w:w="940" w:type="dxa"/>
            <w:vAlign w:val="bottom"/>
          </w:tcPr>
          <w:p>
            <w:pPr>
              <w:spacing w:after="0"/>
              <w:rPr>
                <w:sz w:val="20"/>
                <w:szCs w:val="20"/>
                <w:color w:val="auto"/>
              </w:rPr>
            </w:pPr>
            <w:r>
              <w:rPr>
                <w:rFonts w:ascii="Arial" w:cs="Arial" w:eastAsia="Arial" w:hAnsi="Arial"/>
                <w:sz w:val="12"/>
                <w:szCs w:val="12"/>
                <w:color w:val="auto"/>
              </w:rPr>
              <w:t>410-345-3403</w:t>
            </w:r>
          </w:p>
        </w:tc>
        <w:tc>
          <w:tcPr>
            <w:tcW w:w="27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7"/>
        </w:trPr>
        <w:tc>
          <w:tcPr>
            <w:tcW w:w="3720" w:type="dxa"/>
            <w:vAlign w:val="bottom"/>
            <w:gridSpan w:val="2"/>
          </w:tcPr>
          <w:p>
            <w:pPr>
              <w:spacing w:after="0"/>
              <w:rPr>
                <w:sz w:val="20"/>
                <w:szCs w:val="20"/>
                <w:color w:val="auto"/>
              </w:rPr>
            </w:pPr>
            <w:r>
              <w:rPr>
                <w:rFonts w:ascii="Arial" w:cs="Arial" w:eastAsia="Arial" w:hAnsi="Arial"/>
                <w:sz w:val="12"/>
                <w:szCs w:val="12"/>
                <w:b w:val="1"/>
                <w:bCs w:val="1"/>
                <w:color w:val="054C70"/>
              </w:rPr>
              <w:t>jamaal.mobley@troweprice.com</w:t>
            </w:r>
          </w:p>
        </w:tc>
        <w:tc>
          <w:tcPr>
            <w:tcW w:w="2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02"/>
        </w:trPr>
        <w:tc>
          <w:tcPr>
            <w:tcW w:w="9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700" w:type="dxa"/>
            <w:vAlign w:val="bottom"/>
          </w:tcPr>
          <w:p>
            <w:pPr>
              <w:jc w:val="right"/>
              <w:ind w:right="680"/>
              <w:spacing w:after="0"/>
              <w:rPr>
                <w:sz w:val="20"/>
                <w:szCs w:val="20"/>
                <w:color w:val="auto"/>
              </w:rPr>
            </w:pPr>
            <w:r>
              <w:rPr>
                <w:rFonts w:ascii="Arial" w:cs="Arial" w:eastAsia="Arial" w:hAnsi="Arial"/>
                <w:sz w:val="12"/>
                <w:szCs w:val="12"/>
                <w:color w:val="auto"/>
              </w:rPr>
              <w:t>7</w:t>
            </w: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200"/>
          </w:cols>
          <w:pgMar w:left="300" w:top="917" w:right="39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76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Unaudited Consolidated Statements of Income</w:t>
            </w: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34"/>
        </w:trPr>
        <w:tc>
          <w:tcPr>
            <w:tcW w:w="4760" w:type="dxa"/>
            <w:vAlign w:val="bottom"/>
            <w:gridSpan w:val="2"/>
          </w:tcPr>
          <w:p>
            <w:pPr>
              <w:spacing w:after="0"/>
              <w:rPr>
                <w:sz w:val="20"/>
                <w:szCs w:val="20"/>
                <w:color w:val="auto"/>
              </w:rPr>
            </w:pPr>
            <w:r>
              <w:rPr>
                <w:rFonts w:ascii="Arial" w:cs="Arial" w:eastAsia="Arial" w:hAnsi="Arial"/>
                <w:sz w:val="10"/>
                <w:szCs w:val="10"/>
                <w:b w:val="1"/>
                <w:bCs w:val="1"/>
                <w:color w:val="auto"/>
              </w:rPr>
              <w:t>(in millions, except per-share amounts)</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6"/>
        </w:trPr>
        <w:tc>
          <w:tcPr>
            <w:tcW w:w="60" w:type="dxa"/>
            <w:vAlign w:val="bottom"/>
            <w:shd w:val="clear" w:color="auto" w:fill="CCEEFF"/>
          </w:tcPr>
          <w:p>
            <w:pPr>
              <w:spacing w:after="0"/>
              <w:rPr>
                <w:sz w:val="11"/>
                <w:szCs w:val="11"/>
                <w:color w:val="auto"/>
              </w:rPr>
            </w:pPr>
          </w:p>
        </w:tc>
        <w:tc>
          <w:tcPr>
            <w:tcW w:w="470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gridSpan w:val="2"/>
            <w:shd w:val="clear" w:color="auto" w:fill="CCEEFF"/>
          </w:tcPr>
          <w:p>
            <w:pPr>
              <w:jc w:val="center"/>
              <w:ind w:right="160"/>
              <w:spacing w:after="0"/>
              <w:rPr>
                <w:sz w:val="20"/>
                <w:szCs w:val="20"/>
                <w:color w:val="auto"/>
              </w:rPr>
            </w:pPr>
            <w:r>
              <w:rPr>
                <w:rFonts w:ascii="Arial" w:cs="Arial" w:eastAsia="Arial" w:hAnsi="Arial"/>
                <w:sz w:val="10"/>
                <w:szCs w:val="10"/>
                <w:color w:val="auto"/>
                <w:w w:val="95"/>
              </w:rPr>
              <w:t>Three months ended</w:t>
            </w:r>
          </w:p>
        </w:tc>
        <w:tc>
          <w:tcPr>
            <w:tcW w:w="20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right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2060" w:type="dxa"/>
            <w:vAlign w:val="bottom"/>
            <w:tcBorders>
              <w:bottom w:val="single" w:sz="8" w:color="auto"/>
            </w:tcBorders>
            <w:gridSpan w:val="4"/>
            <w:shd w:val="clear" w:color="auto" w:fill="CCEEFF"/>
          </w:tcPr>
          <w:p>
            <w:pPr>
              <w:jc w:val="right"/>
              <w:ind w:right="672"/>
              <w:spacing w:after="0"/>
              <w:rPr>
                <w:sz w:val="20"/>
                <w:szCs w:val="20"/>
                <w:color w:val="auto"/>
              </w:rPr>
            </w:pPr>
            <w:r>
              <w:rPr>
                <w:rFonts w:ascii="Arial" w:cs="Arial" w:eastAsia="Arial" w:hAnsi="Arial"/>
                <w:sz w:val="10"/>
                <w:szCs w:val="10"/>
                <w:color w:val="auto"/>
              </w:rPr>
              <w:t>Nine months ended</w:t>
            </w:r>
          </w:p>
        </w:tc>
      </w:tr>
      <w:tr>
        <w:trPr>
          <w:trHeight w:val="123"/>
        </w:trPr>
        <w:tc>
          <w:tcPr>
            <w:tcW w:w="476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b w:val="1"/>
                <w:bCs w:val="1"/>
                <w:color w:val="auto"/>
              </w:rPr>
              <w:t>Revenues</w:t>
            </w: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9/30/2023</w:t>
            </w: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center"/>
              <w:ind w:right="52"/>
              <w:spacing w:after="0"/>
              <w:rPr>
                <w:sz w:val="20"/>
                <w:szCs w:val="20"/>
                <w:color w:val="auto"/>
              </w:rPr>
            </w:pPr>
            <w:r>
              <w:rPr>
                <w:rFonts w:ascii="Arial" w:cs="Arial" w:eastAsia="Arial" w:hAnsi="Arial"/>
                <w:sz w:val="10"/>
                <w:szCs w:val="10"/>
                <w:color w:val="auto"/>
                <w:w w:val="98"/>
              </w:rPr>
              <w:t>9/30/2022</w:t>
            </w:r>
          </w:p>
        </w:tc>
        <w:tc>
          <w:tcPr>
            <w:tcW w:w="6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jc w:val="right"/>
              <w:ind w:right="372"/>
              <w:spacing w:after="0"/>
              <w:rPr>
                <w:sz w:val="20"/>
                <w:szCs w:val="20"/>
                <w:color w:val="auto"/>
              </w:rPr>
            </w:pPr>
            <w:r>
              <w:rPr>
                <w:rFonts w:ascii="Arial" w:cs="Arial" w:eastAsia="Arial" w:hAnsi="Arial"/>
                <w:sz w:val="10"/>
                <w:szCs w:val="10"/>
                <w:color w:val="auto"/>
              </w:rPr>
              <w:t>6/30/2023</w:t>
            </w:r>
          </w:p>
        </w:tc>
        <w:tc>
          <w:tcPr>
            <w:tcW w:w="6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9/30/2023</w:t>
            </w:r>
          </w:p>
        </w:tc>
        <w:tc>
          <w:tcPr>
            <w:tcW w:w="10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9/30/2022</w:t>
            </w:r>
          </w:p>
        </w:tc>
      </w:tr>
      <w:tr>
        <w:trPr>
          <w:trHeight w:val="125"/>
        </w:trPr>
        <w:tc>
          <w:tcPr>
            <w:tcW w:w="60" w:type="dxa"/>
            <w:vAlign w:val="bottom"/>
            <w:shd w:val="clear" w:color="auto" w:fill="CCEEFF"/>
          </w:tcPr>
          <w:p>
            <w:pPr>
              <w:spacing w:after="0"/>
              <w:rPr>
                <w:sz w:val="10"/>
                <w:szCs w:val="10"/>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0"/>
                <w:szCs w:val="10"/>
                <w:color w:val="auto"/>
              </w:rPr>
              <w:t>Investment advisory fees</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1,463.9</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1,442.0</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1,430.8</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4,286.5</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4,600.8</w:t>
            </w:r>
          </w:p>
        </w:tc>
      </w:tr>
      <w:tr>
        <w:trPr>
          <w:trHeight w:val="131"/>
        </w:trPr>
        <w:tc>
          <w:tcPr>
            <w:tcW w:w="60" w:type="dxa"/>
            <w:vAlign w:val="bottom"/>
          </w:tcPr>
          <w:p>
            <w:pPr>
              <w:spacing w:after="0"/>
              <w:rPr>
                <w:sz w:val="11"/>
                <w:szCs w:val="11"/>
                <w:color w:val="auto"/>
              </w:rPr>
            </w:pPr>
          </w:p>
        </w:tc>
        <w:tc>
          <w:tcPr>
            <w:tcW w:w="4700" w:type="dxa"/>
            <w:vAlign w:val="bottom"/>
          </w:tcPr>
          <w:p>
            <w:pPr>
              <w:spacing w:after="0"/>
              <w:rPr>
                <w:sz w:val="20"/>
                <w:szCs w:val="20"/>
                <w:color w:val="auto"/>
              </w:rPr>
            </w:pPr>
            <w:r>
              <w:rPr>
                <w:rFonts w:ascii="Arial" w:cs="Arial" w:eastAsia="Arial" w:hAnsi="Arial"/>
                <w:sz w:val="10"/>
                <w:szCs w:val="10"/>
                <w:color w:val="auto"/>
              </w:rPr>
              <w:t>Capital allocation-based income</w:t>
            </w:r>
          </w:p>
        </w:tc>
        <w:tc>
          <w:tcPr>
            <w:tcW w:w="200" w:type="dxa"/>
            <w:vAlign w:val="bottom"/>
          </w:tcPr>
          <w:p>
            <w:pPr>
              <w:spacing w:after="0"/>
              <w:rPr>
                <w:sz w:val="11"/>
                <w:szCs w:val="11"/>
                <w:color w:val="auto"/>
              </w:rPr>
            </w:pPr>
          </w:p>
        </w:tc>
        <w:tc>
          <w:tcPr>
            <w:tcW w:w="900" w:type="dxa"/>
            <w:vAlign w:val="bottom"/>
          </w:tcPr>
          <w:p>
            <w:pPr>
              <w:jc w:val="right"/>
              <w:ind w:right="12"/>
              <w:spacing w:after="0"/>
              <w:rPr>
                <w:sz w:val="20"/>
                <w:szCs w:val="20"/>
                <w:color w:val="auto"/>
              </w:rPr>
            </w:pPr>
            <w:r>
              <w:rPr>
                <w:rFonts w:ascii="Arial" w:cs="Arial" w:eastAsia="Arial" w:hAnsi="Arial"/>
                <w:sz w:val="10"/>
                <w:szCs w:val="10"/>
                <w:color w:val="auto"/>
              </w:rPr>
              <w:t>66.1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color w:val="auto"/>
              </w:rPr>
              <w:t>1.1</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Borders>
              <w:right w:val="single" w:sz="8" w:color="auto"/>
            </w:tcBorders>
          </w:tcPr>
          <w:p>
            <w:pPr>
              <w:jc w:val="right"/>
              <w:ind w:right="92"/>
              <w:spacing w:after="0"/>
              <w:rPr>
                <w:sz w:val="20"/>
                <w:szCs w:val="20"/>
                <w:color w:val="auto"/>
              </w:rPr>
            </w:pPr>
            <w:r>
              <w:rPr>
                <w:rFonts w:ascii="Arial" w:cs="Arial" w:eastAsia="Arial" w:hAnsi="Arial"/>
                <w:sz w:val="10"/>
                <w:szCs w:val="10"/>
                <w:color w:val="auto"/>
              </w:rPr>
              <w:t>38.7</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121.7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(80.8)</w:t>
            </w:r>
          </w:p>
        </w:tc>
      </w:tr>
      <w:tr>
        <w:trPr>
          <w:trHeight w:val="139"/>
        </w:trPr>
        <w:tc>
          <w:tcPr>
            <w:tcW w:w="60" w:type="dxa"/>
            <w:vAlign w:val="bottom"/>
            <w:shd w:val="clear" w:color="auto" w:fill="CCEEFF"/>
          </w:tcPr>
          <w:p>
            <w:pPr>
              <w:spacing w:after="0"/>
              <w:rPr>
                <w:sz w:val="12"/>
                <w:szCs w:val="12"/>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0"/>
                <w:szCs w:val="10"/>
                <w:color w:val="auto"/>
              </w:rPr>
              <w:t>Administrative, distribution, and servicing fees</w:t>
            </w:r>
          </w:p>
        </w:tc>
        <w:tc>
          <w:tcPr>
            <w:tcW w:w="2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140.7</w:t>
            </w: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145.1</w:t>
            </w:r>
          </w:p>
        </w:tc>
        <w:tc>
          <w:tcPr>
            <w:tcW w:w="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right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140.7</w:t>
            </w:r>
          </w:p>
        </w:tc>
        <w:tc>
          <w:tcPr>
            <w:tcW w:w="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410.3</w:t>
            </w: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444.2</w:t>
            </w:r>
          </w:p>
        </w:tc>
      </w:tr>
      <w:tr>
        <w:trPr>
          <w:trHeight w:val="123"/>
        </w:trPr>
        <w:tc>
          <w:tcPr>
            <w:tcW w:w="60" w:type="dxa"/>
            <w:vAlign w:val="bottom"/>
          </w:tcPr>
          <w:p>
            <w:pPr>
              <w:spacing w:after="0"/>
              <w:rPr>
                <w:sz w:val="10"/>
                <w:szCs w:val="10"/>
                <w:color w:val="auto"/>
              </w:rPr>
            </w:pPr>
          </w:p>
        </w:tc>
        <w:tc>
          <w:tcPr>
            <w:tcW w:w="4700" w:type="dxa"/>
            <w:vAlign w:val="bottom"/>
          </w:tcPr>
          <w:p>
            <w:pPr>
              <w:spacing w:after="0"/>
              <w:rPr>
                <w:sz w:val="20"/>
                <w:szCs w:val="20"/>
                <w:color w:val="auto"/>
              </w:rPr>
            </w:pPr>
            <w:r>
              <w:rPr>
                <w:rFonts w:ascii="Arial" w:cs="Arial" w:eastAsia="Arial" w:hAnsi="Arial"/>
                <w:sz w:val="10"/>
                <w:szCs w:val="10"/>
                <w:b w:val="1"/>
                <w:bCs w:val="1"/>
                <w:color w:val="auto"/>
              </w:rPr>
              <w:t>Net revenues</w:t>
            </w:r>
          </w:p>
        </w:tc>
        <w:tc>
          <w:tcPr>
            <w:tcW w:w="200" w:type="dxa"/>
            <w:vAlign w:val="bottom"/>
          </w:tcPr>
          <w:p>
            <w:pPr>
              <w:spacing w:after="0"/>
              <w:rPr>
                <w:sz w:val="10"/>
                <w:szCs w:val="10"/>
                <w:color w:val="auto"/>
              </w:rPr>
            </w:pPr>
          </w:p>
        </w:tc>
        <w:tc>
          <w:tcPr>
            <w:tcW w:w="900" w:type="dxa"/>
            <w:vAlign w:val="bottom"/>
          </w:tcPr>
          <w:p>
            <w:pPr>
              <w:jc w:val="right"/>
              <w:ind w:right="12"/>
              <w:spacing w:after="0"/>
              <w:rPr>
                <w:sz w:val="20"/>
                <w:szCs w:val="20"/>
                <w:color w:val="auto"/>
              </w:rPr>
            </w:pPr>
            <w:r>
              <w:rPr>
                <w:rFonts w:ascii="Arial" w:cs="Arial" w:eastAsia="Arial" w:hAnsi="Arial"/>
                <w:sz w:val="10"/>
                <w:szCs w:val="10"/>
                <w:b w:val="1"/>
                <w:bCs w:val="1"/>
                <w:color w:val="auto"/>
              </w:rPr>
              <w:t>1,670.7</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b w:val="1"/>
                <w:bCs w:val="1"/>
                <w:color w:val="auto"/>
              </w:rPr>
              <w:t>1,588.2</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Borders>
              <w:right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1,610.2</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b w:val="1"/>
                <w:bCs w:val="1"/>
                <w:color w:val="auto"/>
              </w:rPr>
              <w:t>4,818.5</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b w:val="1"/>
                <w:bCs w:val="1"/>
                <w:color w:val="auto"/>
              </w:rPr>
              <w:t>4,964.2</w:t>
            </w:r>
          </w:p>
        </w:tc>
      </w:tr>
      <w:tr>
        <w:trPr>
          <w:trHeight w:val="64"/>
        </w:trPr>
        <w:tc>
          <w:tcPr>
            <w:tcW w:w="60" w:type="dxa"/>
            <w:vAlign w:val="bottom"/>
            <w:shd w:val="clear" w:color="auto" w:fill="CCEEFF"/>
          </w:tcPr>
          <w:p>
            <w:pPr>
              <w:spacing w:after="0"/>
              <w:rPr>
                <w:sz w:val="5"/>
                <w:szCs w:val="5"/>
                <w:color w:val="auto"/>
              </w:rPr>
            </w:pPr>
          </w:p>
        </w:tc>
        <w:tc>
          <w:tcPr>
            <w:tcW w:w="47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80" w:type="dxa"/>
            <w:vAlign w:val="bottom"/>
            <w:tcBorders>
              <w:right w:val="single" w:sz="8" w:color="auto"/>
            </w:tcBorders>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r>
      <w:tr>
        <w:trPr>
          <w:trHeight w:val="134"/>
        </w:trPr>
        <w:tc>
          <w:tcPr>
            <w:tcW w:w="4760" w:type="dxa"/>
            <w:vAlign w:val="bottom"/>
            <w:gridSpan w:val="2"/>
          </w:tcPr>
          <w:p>
            <w:pPr>
              <w:spacing w:after="0"/>
              <w:rPr>
                <w:sz w:val="20"/>
                <w:szCs w:val="20"/>
                <w:color w:val="auto"/>
              </w:rPr>
            </w:pPr>
            <w:r>
              <w:rPr>
                <w:rFonts w:ascii="Arial" w:cs="Arial" w:eastAsia="Arial" w:hAnsi="Arial"/>
                <w:sz w:val="10"/>
                <w:szCs w:val="10"/>
                <w:b w:val="1"/>
                <w:bCs w:val="1"/>
                <w:color w:val="auto"/>
              </w:rPr>
              <w:t>Operating expenses</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6"/>
        </w:trPr>
        <w:tc>
          <w:tcPr>
            <w:tcW w:w="60" w:type="dxa"/>
            <w:vAlign w:val="bottom"/>
            <w:shd w:val="clear" w:color="auto" w:fill="CCEEFF"/>
          </w:tcPr>
          <w:p>
            <w:pPr>
              <w:spacing w:after="0"/>
              <w:rPr>
                <w:sz w:val="11"/>
                <w:szCs w:val="11"/>
                <w:color w:val="auto"/>
              </w:rPr>
            </w:pPr>
          </w:p>
        </w:tc>
        <w:tc>
          <w:tcPr>
            <w:tcW w:w="4700" w:type="dxa"/>
            <w:vAlign w:val="bottom"/>
            <w:shd w:val="clear" w:color="auto" w:fill="CCEEFF"/>
          </w:tcPr>
          <w:p>
            <w:pPr>
              <w:ind w:left="80"/>
              <w:spacing w:after="0"/>
              <w:rPr>
                <w:sz w:val="20"/>
                <w:szCs w:val="20"/>
                <w:color w:val="auto"/>
              </w:rPr>
            </w:pPr>
            <w:r>
              <w:rPr>
                <w:rFonts w:ascii="Arial" w:cs="Arial" w:eastAsia="Arial" w:hAnsi="Arial"/>
                <w:sz w:val="10"/>
                <w:szCs w:val="10"/>
                <w:color w:val="auto"/>
              </w:rPr>
              <w:t>Compensation, benefits, and related costs</w:t>
            </w: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617.0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595.6</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tcBorders>
              <w:right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591.0</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1,801.3</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1,781.3</w:t>
            </w:r>
          </w:p>
        </w:tc>
      </w:tr>
      <w:tr>
        <w:trPr>
          <w:trHeight w:val="131"/>
        </w:trPr>
        <w:tc>
          <w:tcPr>
            <w:tcW w:w="60" w:type="dxa"/>
            <w:vAlign w:val="bottom"/>
          </w:tcPr>
          <w:p>
            <w:pPr>
              <w:spacing w:after="0"/>
              <w:rPr>
                <w:sz w:val="11"/>
                <w:szCs w:val="11"/>
                <w:color w:val="auto"/>
              </w:rPr>
            </w:pPr>
          </w:p>
        </w:tc>
        <w:tc>
          <w:tcPr>
            <w:tcW w:w="4700" w:type="dxa"/>
            <w:vAlign w:val="bottom"/>
          </w:tcPr>
          <w:p>
            <w:pPr>
              <w:ind w:left="80"/>
              <w:spacing w:after="0"/>
              <w:rPr>
                <w:sz w:val="20"/>
                <w:szCs w:val="20"/>
                <w:color w:val="auto"/>
              </w:rPr>
            </w:pPr>
            <w:r>
              <w:rPr>
                <w:rFonts w:ascii="Arial" w:cs="Arial" w:eastAsia="Arial" w:hAnsi="Arial"/>
                <w:sz w:val="10"/>
                <w:szCs w:val="10"/>
                <w:color w:val="auto"/>
              </w:rPr>
              <w:t>Acquisition-related retention agreements</w:t>
            </w:r>
          </w:p>
        </w:tc>
        <w:tc>
          <w:tcPr>
            <w:tcW w:w="200" w:type="dxa"/>
            <w:vAlign w:val="bottom"/>
          </w:tcPr>
          <w:p>
            <w:pPr>
              <w:spacing w:after="0"/>
              <w:rPr>
                <w:sz w:val="11"/>
                <w:szCs w:val="11"/>
                <w:color w:val="auto"/>
              </w:rPr>
            </w:pPr>
          </w:p>
        </w:tc>
        <w:tc>
          <w:tcPr>
            <w:tcW w:w="900" w:type="dxa"/>
            <w:vAlign w:val="bottom"/>
          </w:tcPr>
          <w:p>
            <w:pPr>
              <w:jc w:val="right"/>
              <w:ind w:right="12"/>
              <w:spacing w:after="0"/>
              <w:rPr>
                <w:sz w:val="20"/>
                <w:szCs w:val="20"/>
                <w:color w:val="auto"/>
              </w:rPr>
            </w:pPr>
            <w:r>
              <w:rPr>
                <w:rFonts w:ascii="Arial" w:cs="Arial" w:eastAsia="Arial" w:hAnsi="Arial"/>
                <w:sz w:val="10"/>
                <w:szCs w:val="10"/>
                <w:color w:val="auto"/>
              </w:rPr>
              <w:t>13.7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color w:val="auto"/>
              </w:rPr>
              <w:t>17.1</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Borders>
              <w:right w:val="single" w:sz="8" w:color="auto"/>
            </w:tcBorders>
          </w:tcPr>
          <w:p>
            <w:pPr>
              <w:jc w:val="right"/>
              <w:ind w:right="92"/>
              <w:spacing w:after="0"/>
              <w:rPr>
                <w:sz w:val="20"/>
                <w:szCs w:val="20"/>
                <w:color w:val="auto"/>
              </w:rPr>
            </w:pPr>
            <w:r>
              <w:rPr>
                <w:rFonts w:ascii="Arial" w:cs="Arial" w:eastAsia="Arial" w:hAnsi="Arial"/>
                <w:sz w:val="10"/>
                <w:szCs w:val="10"/>
                <w:color w:val="auto"/>
              </w:rPr>
              <w:t>13.6</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41.5</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54.3</w:t>
            </w:r>
          </w:p>
        </w:tc>
      </w:tr>
      <w:tr>
        <w:trPr>
          <w:trHeight w:val="139"/>
        </w:trPr>
        <w:tc>
          <w:tcPr>
            <w:tcW w:w="60" w:type="dxa"/>
            <w:vAlign w:val="bottom"/>
            <w:shd w:val="clear" w:color="auto" w:fill="CCEEFF"/>
          </w:tcPr>
          <w:p>
            <w:pPr>
              <w:spacing w:after="0"/>
              <w:rPr>
                <w:sz w:val="12"/>
                <w:szCs w:val="12"/>
                <w:color w:val="auto"/>
              </w:rPr>
            </w:pPr>
          </w:p>
        </w:tc>
        <w:tc>
          <w:tcPr>
            <w:tcW w:w="4700" w:type="dxa"/>
            <w:vAlign w:val="bottom"/>
            <w:shd w:val="clear" w:color="auto" w:fill="CCEEFF"/>
          </w:tcPr>
          <w:p>
            <w:pPr>
              <w:ind w:left="80"/>
              <w:spacing w:after="0"/>
              <w:rPr>
                <w:sz w:val="20"/>
                <w:szCs w:val="20"/>
                <w:color w:val="auto"/>
              </w:rPr>
            </w:pPr>
            <w:r>
              <w:rPr>
                <w:rFonts w:ascii="Arial" w:cs="Arial" w:eastAsia="Arial" w:hAnsi="Arial"/>
                <w:sz w:val="10"/>
                <w:szCs w:val="10"/>
                <w:color w:val="auto"/>
              </w:rPr>
              <w:t>Capital allocation-based income compensation</w:t>
            </w: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19.9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0.1</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tcBorders>
              <w:right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10.6</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(33.3)</w:t>
            </w:r>
          </w:p>
        </w:tc>
      </w:tr>
      <w:tr>
        <w:trPr>
          <w:trHeight w:val="131"/>
        </w:trPr>
        <w:tc>
          <w:tcPr>
            <w:tcW w:w="60" w:type="dxa"/>
            <w:vAlign w:val="bottom"/>
            <w:tcBorders>
              <w:bottom w:val="single" w:sz="8" w:color="CCEEFF"/>
            </w:tcBorders>
          </w:tcPr>
          <w:p>
            <w:pPr>
              <w:spacing w:after="0"/>
              <w:rPr>
                <w:sz w:val="11"/>
                <w:szCs w:val="11"/>
                <w:color w:val="auto"/>
              </w:rPr>
            </w:pPr>
          </w:p>
        </w:tc>
        <w:tc>
          <w:tcPr>
            <w:tcW w:w="4700" w:type="dxa"/>
            <w:vAlign w:val="bottom"/>
            <w:tcBorders>
              <w:bottom w:val="single" w:sz="8" w:color="CCEEFF"/>
            </w:tcBorders>
          </w:tcPr>
          <w:p>
            <w:pPr>
              <w:ind w:left="80"/>
              <w:spacing w:after="0"/>
              <w:rPr>
                <w:sz w:val="20"/>
                <w:szCs w:val="20"/>
                <w:color w:val="auto"/>
              </w:rPr>
            </w:pPr>
            <w:r>
              <w:rPr>
                <w:rFonts w:ascii="Arial" w:cs="Arial" w:eastAsia="Arial" w:hAnsi="Arial"/>
                <w:sz w:val="10"/>
                <w:szCs w:val="10"/>
                <w:color w:val="auto"/>
              </w:rPr>
              <w:t>Supplemental savings plan</w:t>
            </w:r>
          </w:p>
        </w:tc>
        <w:tc>
          <w:tcPr>
            <w:tcW w:w="2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(14.2)</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(24.7)</w:t>
            </w:r>
          </w:p>
        </w:tc>
        <w:tc>
          <w:tcPr>
            <w:tcW w:w="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33.0</w:t>
            </w:r>
          </w:p>
        </w:tc>
        <w:tc>
          <w:tcPr>
            <w:tcW w:w="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61.3</w:t>
            </w: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(169.2)</w:t>
            </w:r>
          </w:p>
        </w:tc>
      </w:tr>
      <w:tr>
        <w:trPr>
          <w:trHeight w:val="128"/>
        </w:trPr>
        <w:tc>
          <w:tcPr>
            <w:tcW w:w="60" w:type="dxa"/>
            <w:vAlign w:val="bottom"/>
            <w:shd w:val="clear" w:color="auto" w:fill="CCEEFF"/>
          </w:tcPr>
          <w:p>
            <w:pPr>
              <w:spacing w:after="0"/>
              <w:rPr>
                <w:sz w:val="11"/>
                <w:szCs w:val="11"/>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0"/>
                <w:szCs w:val="10"/>
                <w:color w:val="auto"/>
              </w:rPr>
              <w:t>Total compensation and related costs</w:t>
            </w: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636.4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588.1</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tcBorders>
              <w:right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648.2</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1,938.1</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1,633.1</w:t>
            </w:r>
          </w:p>
        </w:tc>
      </w:tr>
      <w:tr>
        <w:trPr>
          <w:trHeight w:val="131"/>
        </w:trPr>
        <w:tc>
          <w:tcPr>
            <w:tcW w:w="60" w:type="dxa"/>
            <w:vAlign w:val="bottom"/>
          </w:tcPr>
          <w:p>
            <w:pPr>
              <w:spacing w:after="0"/>
              <w:rPr>
                <w:sz w:val="11"/>
                <w:szCs w:val="11"/>
                <w:color w:val="auto"/>
              </w:rPr>
            </w:pPr>
          </w:p>
        </w:tc>
        <w:tc>
          <w:tcPr>
            <w:tcW w:w="4700" w:type="dxa"/>
            <w:vAlign w:val="bottom"/>
          </w:tcPr>
          <w:p>
            <w:pPr>
              <w:spacing w:after="0"/>
              <w:rPr>
                <w:sz w:val="20"/>
                <w:szCs w:val="20"/>
                <w:color w:val="auto"/>
              </w:rPr>
            </w:pPr>
            <w:r>
              <w:rPr>
                <w:rFonts w:ascii="Arial" w:cs="Arial" w:eastAsia="Arial" w:hAnsi="Arial"/>
                <w:sz w:val="10"/>
                <w:szCs w:val="10"/>
                <w:color w:val="auto"/>
              </w:rPr>
              <w:t>Distribution and servicing</w:t>
            </w:r>
          </w:p>
        </w:tc>
        <w:tc>
          <w:tcPr>
            <w:tcW w:w="200" w:type="dxa"/>
            <w:vAlign w:val="bottom"/>
          </w:tcPr>
          <w:p>
            <w:pPr>
              <w:spacing w:after="0"/>
              <w:rPr>
                <w:sz w:val="11"/>
                <w:szCs w:val="11"/>
                <w:color w:val="auto"/>
              </w:rPr>
            </w:pPr>
          </w:p>
        </w:tc>
        <w:tc>
          <w:tcPr>
            <w:tcW w:w="900" w:type="dxa"/>
            <w:vAlign w:val="bottom"/>
          </w:tcPr>
          <w:p>
            <w:pPr>
              <w:jc w:val="right"/>
              <w:ind w:right="12"/>
              <w:spacing w:after="0"/>
              <w:rPr>
                <w:sz w:val="20"/>
                <w:szCs w:val="20"/>
                <w:color w:val="auto"/>
              </w:rPr>
            </w:pPr>
            <w:r>
              <w:rPr>
                <w:rFonts w:ascii="Arial" w:cs="Arial" w:eastAsia="Arial" w:hAnsi="Arial"/>
                <w:sz w:val="10"/>
                <w:szCs w:val="10"/>
                <w:color w:val="auto"/>
              </w:rPr>
              <w:t>74.9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color w:val="auto"/>
              </w:rPr>
              <w:t>69.9</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Borders>
              <w:right w:val="single" w:sz="8" w:color="auto"/>
            </w:tcBorders>
          </w:tcPr>
          <w:p>
            <w:pPr>
              <w:jc w:val="right"/>
              <w:ind w:right="92"/>
              <w:spacing w:after="0"/>
              <w:rPr>
                <w:sz w:val="20"/>
                <w:szCs w:val="20"/>
                <w:color w:val="auto"/>
              </w:rPr>
            </w:pPr>
            <w:r>
              <w:rPr>
                <w:rFonts w:ascii="Arial" w:cs="Arial" w:eastAsia="Arial" w:hAnsi="Arial"/>
                <w:sz w:val="10"/>
                <w:szCs w:val="10"/>
                <w:color w:val="auto"/>
              </w:rPr>
              <w:t>67.8</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214.2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231.5</w:t>
            </w:r>
          </w:p>
        </w:tc>
      </w:tr>
      <w:tr>
        <w:trPr>
          <w:trHeight w:val="139"/>
        </w:trPr>
        <w:tc>
          <w:tcPr>
            <w:tcW w:w="60" w:type="dxa"/>
            <w:vAlign w:val="bottom"/>
            <w:shd w:val="clear" w:color="auto" w:fill="CCEEFF"/>
          </w:tcPr>
          <w:p>
            <w:pPr>
              <w:spacing w:after="0"/>
              <w:rPr>
                <w:sz w:val="12"/>
                <w:szCs w:val="12"/>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0"/>
                <w:szCs w:val="10"/>
                <w:color w:val="auto"/>
              </w:rPr>
              <w:t>Advertising and promotion</w:t>
            </w: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21.1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24.3</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tcBorders>
              <w:right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22.9</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69.8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69.1</w:t>
            </w:r>
          </w:p>
        </w:tc>
      </w:tr>
      <w:tr>
        <w:trPr>
          <w:trHeight w:val="131"/>
        </w:trPr>
        <w:tc>
          <w:tcPr>
            <w:tcW w:w="60" w:type="dxa"/>
            <w:vAlign w:val="bottom"/>
          </w:tcPr>
          <w:p>
            <w:pPr>
              <w:spacing w:after="0"/>
              <w:rPr>
                <w:sz w:val="11"/>
                <w:szCs w:val="11"/>
                <w:color w:val="auto"/>
              </w:rPr>
            </w:pPr>
          </w:p>
        </w:tc>
        <w:tc>
          <w:tcPr>
            <w:tcW w:w="4700" w:type="dxa"/>
            <w:vAlign w:val="bottom"/>
          </w:tcPr>
          <w:p>
            <w:pPr>
              <w:spacing w:after="0"/>
              <w:rPr>
                <w:sz w:val="20"/>
                <w:szCs w:val="20"/>
                <w:color w:val="auto"/>
              </w:rPr>
            </w:pPr>
            <w:r>
              <w:rPr>
                <w:rFonts w:ascii="Arial" w:cs="Arial" w:eastAsia="Arial" w:hAnsi="Arial"/>
                <w:sz w:val="10"/>
                <w:szCs w:val="10"/>
                <w:color w:val="auto"/>
              </w:rPr>
              <w:t>Product and recordkeeping related costs</w:t>
            </w:r>
          </w:p>
        </w:tc>
        <w:tc>
          <w:tcPr>
            <w:tcW w:w="200" w:type="dxa"/>
            <w:vAlign w:val="bottom"/>
          </w:tcPr>
          <w:p>
            <w:pPr>
              <w:spacing w:after="0"/>
              <w:rPr>
                <w:sz w:val="11"/>
                <w:szCs w:val="11"/>
                <w:color w:val="auto"/>
              </w:rPr>
            </w:pPr>
          </w:p>
        </w:tc>
        <w:tc>
          <w:tcPr>
            <w:tcW w:w="900" w:type="dxa"/>
            <w:vAlign w:val="bottom"/>
          </w:tcPr>
          <w:p>
            <w:pPr>
              <w:jc w:val="right"/>
              <w:ind w:right="12"/>
              <w:spacing w:after="0"/>
              <w:rPr>
                <w:sz w:val="20"/>
                <w:szCs w:val="20"/>
                <w:color w:val="auto"/>
              </w:rPr>
            </w:pPr>
            <w:r>
              <w:rPr>
                <w:rFonts w:ascii="Arial" w:cs="Arial" w:eastAsia="Arial" w:hAnsi="Arial"/>
                <w:sz w:val="10"/>
                <w:szCs w:val="10"/>
                <w:color w:val="auto"/>
              </w:rPr>
              <w:t>73.1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color w:val="auto"/>
              </w:rPr>
              <w:t>75.6</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Borders>
              <w:right w:val="single" w:sz="8" w:color="auto"/>
            </w:tcBorders>
          </w:tcPr>
          <w:p>
            <w:pPr>
              <w:jc w:val="right"/>
              <w:ind w:right="92"/>
              <w:spacing w:after="0"/>
              <w:rPr>
                <w:sz w:val="20"/>
                <w:szCs w:val="20"/>
                <w:color w:val="auto"/>
              </w:rPr>
            </w:pPr>
            <w:r>
              <w:rPr>
                <w:rFonts w:ascii="Arial" w:cs="Arial" w:eastAsia="Arial" w:hAnsi="Arial"/>
                <w:sz w:val="10"/>
                <w:szCs w:val="10"/>
                <w:color w:val="auto"/>
              </w:rPr>
              <w:t>77.7</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222.9</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232.3</w:t>
            </w:r>
          </w:p>
        </w:tc>
      </w:tr>
      <w:tr>
        <w:trPr>
          <w:trHeight w:val="139"/>
        </w:trPr>
        <w:tc>
          <w:tcPr>
            <w:tcW w:w="60" w:type="dxa"/>
            <w:vAlign w:val="bottom"/>
            <w:shd w:val="clear" w:color="auto" w:fill="CCEEFF"/>
          </w:tcPr>
          <w:p>
            <w:pPr>
              <w:spacing w:after="0"/>
              <w:rPr>
                <w:sz w:val="12"/>
                <w:szCs w:val="12"/>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0"/>
                <w:szCs w:val="10"/>
                <w:color w:val="auto"/>
              </w:rPr>
              <w:t>Technology, occupancy, and facility costs</w:t>
            </w: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159.7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143.6</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tcBorders>
              <w:right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154.7</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461.0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411.8</w:t>
            </w:r>
          </w:p>
        </w:tc>
      </w:tr>
      <w:tr>
        <w:trPr>
          <w:trHeight w:val="131"/>
        </w:trPr>
        <w:tc>
          <w:tcPr>
            <w:tcW w:w="60" w:type="dxa"/>
            <w:vAlign w:val="bottom"/>
          </w:tcPr>
          <w:p>
            <w:pPr>
              <w:spacing w:after="0"/>
              <w:rPr>
                <w:sz w:val="11"/>
                <w:szCs w:val="11"/>
                <w:color w:val="auto"/>
              </w:rPr>
            </w:pPr>
          </w:p>
        </w:tc>
        <w:tc>
          <w:tcPr>
            <w:tcW w:w="4700" w:type="dxa"/>
            <w:vAlign w:val="bottom"/>
          </w:tcPr>
          <w:p>
            <w:pPr>
              <w:spacing w:after="0"/>
              <w:rPr>
                <w:sz w:val="20"/>
                <w:szCs w:val="20"/>
                <w:color w:val="auto"/>
              </w:rPr>
            </w:pPr>
            <w:r>
              <w:rPr>
                <w:rFonts w:ascii="Arial" w:cs="Arial" w:eastAsia="Arial" w:hAnsi="Arial"/>
                <w:sz w:val="10"/>
                <w:szCs w:val="10"/>
                <w:color w:val="auto"/>
              </w:rPr>
              <w:t>General, administrative, and other</w:t>
            </w:r>
          </w:p>
        </w:tc>
        <w:tc>
          <w:tcPr>
            <w:tcW w:w="200" w:type="dxa"/>
            <w:vAlign w:val="bottom"/>
          </w:tcPr>
          <w:p>
            <w:pPr>
              <w:spacing w:after="0"/>
              <w:rPr>
                <w:sz w:val="11"/>
                <w:szCs w:val="11"/>
                <w:color w:val="auto"/>
              </w:rPr>
            </w:pPr>
          </w:p>
        </w:tc>
        <w:tc>
          <w:tcPr>
            <w:tcW w:w="900" w:type="dxa"/>
            <w:vAlign w:val="bottom"/>
          </w:tcPr>
          <w:p>
            <w:pPr>
              <w:jc w:val="right"/>
              <w:ind w:right="12"/>
              <w:spacing w:after="0"/>
              <w:rPr>
                <w:sz w:val="20"/>
                <w:szCs w:val="20"/>
                <w:color w:val="auto"/>
              </w:rPr>
            </w:pPr>
            <w:r>
              <w:rPr>
                <w:rFonts w:ascii="Arial" w:cs="Arial" w:eastAsia="Arial" w:hAnsi="Arial"/>
                <w:sz w:val="10"/>
                <w:szCs w:val="10"/>
                <w:color w:val="auto"/>
              </w:rPr>
              <w:t>85.7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color w:val="auto"/>
              </w:rPr>
              <w:t>114.9</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Borders>
              <w:right w:val="single" w:sz="8" w:color="auto"/>
            </w:tcBorders>
          </w:tcPr>
          <w:p>
            <w:pPr>
              <w:jc w:val="right"/>
              <w:ind w:right="92"/>
              <w:spacing w:after="0"/>
              <w:rPr>
                <w:sz w:val="20"/>
                <w:szCs w:val="20"/>
                <w:color w:val="auto"/>
              </w:rPr>
            </w:pPr>
            <w:r>
              <w:rPr>
                <w:rFonts w:ascii="Arial" w:cs="Arial" w:eastAsia="Arial" w:hAnsi="Arial"/>
                <w:sz w:val="10"/>
                <w:szCs w:val="10"/>
                <w:color w:val="auto"/>
              </w:rPr>
              <w:t>100.0</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293.2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310.1</w:t>
            </w:r>
          </w:p>
        </w:tc>
      </w:tr>
      <w:tr>
        <w:trPr>
          <w:trHeight w:val="139"/>
        </w:trPr>
        <w:tc>
          <w:tcPr>
            <w:tcW w:w="60" w:type="dxa"/>
            <w:vAlign w:val="bottom"/>
            <w:shd w:val="clear" w:color="auto" w:fill="CCEEFF"/>
          </w:tcPr>
          <w:p>
            <w:pPr>
              <w:spacing w:after="0"/>
              <w:rPr>
                <w:sz w:val="12"/>
                <w:szCs w:val="12"/>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0"/>
                <w:szCs w:val="10"/>
                <w:color w:val="auto"/>
              </w:rPr>
              <w:t>Contingent consideration fair value adjustments</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(29.9)</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tcBorders>
              <w:right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(23.2)</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(72.8)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(125.7)</w:t>
            </w:r>
          </w:p>
        </w:tc>
      </w:tr>
      <w:tr>
        <w:trPr>
          <w:trHeight w:val="131"/>
        </w:trPr>
        <w:tc>
          <w:tcPr>
            <w:tcW w:w="60" w:type="dxa"/>
            <w:vAlign w:val="bottom"/>
            <w:tcBorders>
              <w:bottom w:val="single" w:sz="8" w:color="CCEEFF"/>
            </w:tcBorders>
          </w:tcPr>
          <w:p>
            <w:pPr>
              <w:spacing w:after="0"/>
              <w:rPr>
                <w:sz w:val="11"/>
                <w:szCs w:val="11"/>
                <w:color w:val="auto"/>
              </w:rPr>
            </w:pPr>
          </w:p>
        </w:tc>
        <w:tc>
          <w:tcPr>
            <w:tcW w:w="470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Acquisition-related amortization and impairment costs</w:t>
            </w:r>
          </w:p>
        </w:tc>
        <w:tc>
          <w:tcPr>
            <w:tcW w:w="2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38.5</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27.1</w:t>
            </w:r>
          </w:p>
        </w:tc>
        <w:tc>
          <w:tcPr>
            <w:tcW w:w="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28.6</w:t>
            </w:r>
          </w:p>
        </w:tc>
        <w:tc>
          <w:tcPr>
            <w:tcW w:w="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93.1</w:t>
            </w: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81.4</w:t>
            </w:r>
          </w:p>
        </w:tc>
      </w:tr>
      <w:tr>
        <w:trPr>
          <w:trHeight w:val="127"/>
        </w:trPr>
        <w:tc>
          <w:tcPr>
            <w:tcW w:w="60" w:type="dxa"/>
            <w:vAlign w:val="bottom"/>
            <w:shd w:val="clear" w:color="auto" w:fill="CCEEFF"/>
          </w:tcPr>
          <w:p>
            <w:pPr>
              <w:spacing w:after="0"/>
              <w:rPr>
                <w:sz w:val="11"/>
                <w:szCs w:val="11"/>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Total operating expenses</w:t>
            </w:r>
          </w:p>
        </w:tc>
        <w:tc>
          <w:tcPr>
            <w:tcW w:w="20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1,089.4</w:t>
            </w: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1,013.6</w:t>
            </w:r>
          </w:p>
        </w:tc>
        <w:tc>
          <w:tcPr>
            <w:tcW w:w="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right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b w:val="1"/>
                <w:bCs w:val="1"/>
                <w:color w:val="auto"/>
              </w:rPr>
              <w:t>1,076.7</w:t>
            </w:r>
          </w:p>
        </w:tc>
        <w:tc>
          <w:tcPr>
            <w:tcW w:w="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3,219.5</w:t>
            </w: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2,843.6</w:t>
            </w:r>
          </w:p>
        </w:tc>
      </w:tr>
      <w:tr>
        <w:trPr>
          <w:trHeight w:val="44"/>
        </w:trPr>
        <w:tc>
          <w:tcPr>
            <w:tcW w:w="60" w:type="dxa"/>
            <w:vAlign w:val="bottom"/>
          </w:tcPr>
          <w:p>
            <w:pPr>
              <w:spacing w:after="0"/>
              <w:rPr>
                <w:sz w:val="3"/>
                <w:szCs w:val="3"/>
                <w:color w:val="auto"/>
              </w:rPr>
            </w:pPr>
          </w:p>
        </w:tc>
        <w:tc>
          <w:tcPr>
            <w:tcW w:w="4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135"/>
        </w:trPr>
        <w:tc>
          <w:tcPr>
            <w:tcW w:w="476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Net operating income</w:t>
            </w: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581.3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574.6</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tcBorders>
              <w:right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b w:val="1"/>
                <w:bCs w:val="1"/>
                <w:color w:val="auto"/>
              </w:rPr>
              <w:t>533.5</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1,599.0</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2,120.6</w:t>
            </w:r>
          </w:p>
        </w:tc>
      </w:tr>
      <w:tr>
        <w:trPr>
          <w:trHeight w:val="63"/>
        </w:trPr>
        <w:tc>
          <w:tcPr>
            <w:tcW w:w="60" w:type="dxa"/>
            <w:vAlign w:val="bottom"/>
          </w:tcPr>
          <w:p>
            <w:pPr>
              <w:spacing w:after="0"/>
              <w:rPr>
                <w:sz w:val="5"/>
                <w:szCs w:val="5"/>
                <w:color w:val="auto"/>
              </w:rPr>
            </w:pPr>
          </w:p>
        </w:tc>
        <w:tc>
          <w:tcPr>
            <w:tcW w:w="4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tcPr>
          <w:p>
            <w:pPr>
              <w:spacing w:after="0"/>
              <w:rPr>
                <w:sz w:val="5"/>
                <w:szCs w:val="5"/>
                <w:color w:val="auto"/>
              </w:rPr>
            </w:pPr>
          </w:p>
        </w:tc>
      </w:tr>
      <w:tr>
        <w:trPr>
          <w:trHeight w:val="135"/>
        </w:trPr>
        <w:tc>
          <w:tcPr>
            <w:tcW w:w="476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Non-operating income (loss)</w:t>
            </w: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31"/>
        </w:trPr>
        <w:tc>
          <w:tcPr>
            <w:tcW w:w="60" w:type="dxa"/>
            <w:vAlign w:val="bottom"/>
          </w:tcPr>
          <w:p>
            <w:pPr>
              <w:spacing w:after="0"/>
              <w:rPr>
                <w:sz w:val="11"/>
                <w:szCs w:val="11"/>
                <w:color w:val="auto"/>
              </w:rPr>
            </w:pPr>
          </w:p>
        </w:tc>
        <w:tc>
          <w:tcPr>
            <w:tcW w:w="4700" w:type="dxa"/>
            <w:vAlign w:val="bottom"/>
          </w:tcPr>
          <w:p>
            <w:pPr>
              <w:ind w:left="20"/>
              <w:spacing w:after="0"/>
              <w:rPr>
                <w:sz w:val="20"/>
                <w:szCs w:val="20"/>
                <w:color w:val="auto"/>
              </w:rPr>
            </w:pPr>
            <w:r>
              <w:rPr>
                <w:rFonts w:ascii="Arial" w:cs="Arial" w:eastAsia="Arial" w:hAnsi="Arial"/>
                <w:sz w:val="10"/>
                <w:szCs w:val="10"/>
                <w:color w:val="auto"/>
              </w:rPr>
              <w:t>Net gains (losses) on investments</w:t>
            </w:r>
          </w:p>
        </w:tc>
        <w:tc>
          <w:tcPr>
            <w:tcW w:w="200" w:type="dxa"/>
            <w:vAlign w:val="bottom"/>
          </w:tcPr>
          <w:p>
            <w:pPr>
              <w:spacing w:after="0"/>
              <w:rPr>
                <w:sz w:val="11"/>
                <w:szCs w:val="11"/>
                <w:color w:val="auto"/>
              </w:rPr>
            </w:pPr>
          </w:p>
        </w:tc>
        <w:tc>
          <w:tcPr>
            <w:tcW w:w="900" w:type="dxa"/>
            <w:vAlign w:val="bottom"/>
          </w:tcPr>
          <w:p>
            <w:pPr>
              <w:jc w:val="right"/>
              <w:ind w:right="12"/>
              <w:spacing w:after="0"/>
              <w:rPr>
                <w:sz w:val="20"/>
                <w:szCs w:val="20"/>
                <w:color w:val="auto"/>
              </w:rPr>
            </w:pPr>
            <w:r>
              <w:rPr>
                <w:rFonts w:ascii="Arial" w:cs="Arial" w:eastAsia="Arial" w:hAnsi="Arial"/>
                <w:sz w:val="10"/>
                <w:szCs w:val="10"/>
                <w:color w:val="auto"/>
              </w:rPr>
              <w:t>30.7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(41.5)</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Borders>
              <w:right w:val="single" w:sz="8" w:color="auto"/>
            </w:tcBorders>
          </w:tcPr>
          <w:p>
            <w:pPr>
              <w:jc w:val="right"/>
              <w:ind w:right="92"/>
              <w:spacing w:after="0"/>
              <w:rPr>
                <w:sz w:val="20"/>
                <w:szCs w:val="20"/>
                <w:color w:val="auto"/>
              </w:rPr>
            </w:pPr>
            <w:r>
              <w:rPr>
                <w:rFonts w:ascii="Arial" w:cs="Arial" w:eastAsia="Arial" w:hAnsi="Arial"/>
                <w:sz w:val="10"/>
                <w:szCs w:val="10"/>
                <w:color w:val="auto"/>
              </w:rPr>
              <w:t>89.1</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213.7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(301.3)</w:t>
            </w:r>
          </w:p>
        </w:tc>
      </w:tr>
      <w:tr>
        <w:trPr>
          <w:trHeight w:val="139"/>
        </w:trPr>
        <w:tc>
          <w:tcPr>
            <w:tcW w:w="60" w:type="dxa"/>
            <w:vAlign w:val="bottom"/>
            <w:shd w:val="clear" w:color="auto" w:fill="CCEEFF"/>
          </w:tcPr>
          <w:p>
            <w:pPr>
              <w:spacing w:after="0"/>
              <w:rPr>
                <w:sz w:val="12"/>
                <w:szCs w:val="12"/>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0"/>
                <w:szCs w:val="10"/>
                <w:color w:val="auto"/>
              </w:rPr>
              <w:t>Net gains (losses) on consolidated investment products</w:t>
            </w: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(41.7)</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tcBorders>
              <w:right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24.4</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(247.7)</w:t>
            </w:r>
          </w:p>
        </w:tc>
      </w:tr>
      <w:tr>
        <w:trPr>
          <w:trHeight w:val="131"/>
        </w:trPr>
        <w:tc>
          <w:tcPr>
            <w:tcW w:w="60" w:type="dxa"/>
            <w:vAlign w:val="bottom"/>
            <w:tcBorders>
              <w:bottom w:val="single" w:sz="8" w:color="CCEEFF"/>
            </w:tcBorders>
          </w:tcPr>
          <w:p>
            <w:pPr>
              <w:spacing w:after="0"/>
              <w:rPr>
                <w:sz w:val="11"/>
                <w:szCs w:val="11"/>
                <w:color w:val="auto"/>
              </w:rPr>
            </w:pPr>
          </w:p>
        </w:tc>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Other gains (losses)</w:t>
            </w:r>
          </w:p>
        </w:tc>
        <w:tc>
          <w:tcPr>
            <w:tcW w:w="2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(3.5)</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0.4</w:t>
            </w:r>
          </w:p>
        </w:tc>
        <w:tc>
          <w:tcPr>
            <w:tcW w:w="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(7.3)</w:t>
            </w:r>
          </w:p>
        </w:tc>
        <w:tc>
          <w:tcPr>
            <w:tcW w:w="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(14.7)</w:t>
            </w: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(12.2)</w:t>
            </w:r>
          </w:p>
        </w:tc>
      </w:tr>
      <w:tr>
        <w:trPr>
          <w:trHeight w:val="127"/>
        </w:trPr>
        <w:tc>
          <w:tcPr>
            <w:tcW w:w="60" w:type="dxa"/>
            <w:vAlign w:val="bottom"/>
            <w:shd w:val="clear" w:color="auto" w:fill="CCEEFF"/>
          </w:tcPr>
          <w:p>
            <w:pPr>
              <w:spacing w:after="0"/>
              <w:rPr>
                <w:sz w:val="11"/>
                <w:szCs w:val="11"/>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Total non-operating income (loss)</w:t>
            </w:r>
          </w:p>
        </w:tc>
        <w:tc>
          <w:tcPr>
            <w:tcW w:w="20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2.8</w:t>
            </w: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(82.8)</w:t>
            </w:r>
          </w:p>
        </w:tc>
        <w:tc>
          <w:tcPr>
            <w:tcW w:w="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right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b w:val="1"/>
                <w:bCs w:val="1"/>
                <w:color w:val="auto"/>
              </w:rPr>
              <w:t>106.2</w:t>
            </w:r>
          </w:p>
        </w:tc>
        <w:tc>
          <w:tcPr>
            <w:tcW w:w="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244.4</w:t>
            </w: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(561.2)</w:t>
            </w:r>
          </w:p>
        </w:tc>
      </w:tr>
      <w:tr>
        <w:trPr>
          <w:trHeight w:val="44"/>
        </w:trPr>
        <w:tc>
          <w:tcPr>
            <w:tcW w:w="60" w:type="dxa"/>
            <w:vAlign w:val="bottom"/>
          </w:tcPr>
          <w:p>
            <w:pPr>
              <w:spacing w:after="0"/>
              <w:rPr>
                <w:sz w:val="3"/>
                <w:szCs w:val="3"/>
                <w:color w:val="auto"/>
              </w:rPr>
            </w:pPr>
          </w:p>
        </w:tc>
        <w:tc>
          <w:tcPr>
            <w:tcW w:w="4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135"/>
        </w:trPr>
        <w:tc>
          <w:tcPr>
            <w:tcW w:w="476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Income before income taxes</w:t>
            </w: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584.1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491.8</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tcBorders>
              <w:right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639.7</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1,843.4</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1,559.4</w:t>
            </w:r>
          </w:p>
        </w:tc>
      </w:tr>
      <w:tr>
        <w:trPr>
          <w:trHeight w:val="131"/>
        </w:trPr>
        <w:tc>
          <w:tcPr>
            <w:tcW w:w="476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Provision for income taxes</w:t>
            </w:r>
          </w:p>
        </w:tc>
        <w:tc>
          <w:tcPr>
            <w:tcW w:w="2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144.9</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134.0</w:t>
            </w:r>
          </w:p>
        </w:tc>
        <w:tc>
          <w:tcPr>
            <w:tcW w:w="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158.5</w:t>
            </w:r>
          </w:p>
        </w:tc>
        <w:tc>
          <w:tcPr>
            <w:tcW w:w="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481.3</w:t>
            </w: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399.4</w:t>
            </w:r>
          </w:p>
        </w:tc>
      </w:tr>
      <w:tr>
        <w:trPr>
          <w:trHeight w:val="128"/>
        </w:trPr>
        <w:tc>
          <w:tcPr>
            <w:tcW w:w="476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Net income</w:t>
            </w: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439.2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357.8</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tcBorders>
              <w:right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481.2</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1,362.1</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1,160.0</w:t>
            </w:r>
          </w:p>
        </w:tc>
      </w:tr>
      <w:tr>
        <w:trPr>
          <w:trHeight w:val="131"/>
        </w:trPr>
        <w:tc>
          <w:tcPr>
            <w:tcW w:w="60" w:type="dxa"/>
            <w:vAlign w:val="bottom"/>
            <w:tcBorders>
              <w:bottom w:val="single" w:sz="8" w:color="CCEEFF"/>
            </w:tcBorders>
          </w:tcPr>
          <w:p>
            <w:pPr>
              <w:spacing w:after="0"/>
              <w:rPr>
                <w:sz w:val="11"/>
                <w:szCs w:val="11"/>
                <w:color w:val="auto"/>
              </w:rPr>
            </w:pPr>
          </w:p>
        </w:tc>
        <w:tc>
          <w:tcPr>
            <w:tcW w:w="470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Less: net income (loss) attributable to redeemable non-controlling interests</w:t>
            </w:r>
          </w:p>
        </w:tc>
        <w:tc>
          <w:tcPr>
            <w:tcW w:w="2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(14.0)</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(26.6)</w:t>
            </w:r>
          </w:p>
        </w:tc>
        <w:tc>
          <w:tcPr>
            <w:tcW w:w="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4.8</w:t>
            </w:r>
          </w:p>
        </w:tc>
        <w:tc>
          <w:tcPr>
            <w:tcW w:w="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11.0</w:t>
            </w: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(131.9)</w:t>
            </w:r>
          </w:p>
        </w:tc>
      </w:tr>
      <w:tr>
        <w:trPr>
          <w:trHeight w:val="128"/>
        </w:trPr>
        <w:tc>
          <w:tcPr>
            <w:tcW w:w="476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Net income attributable to T. Rowe Price</w:t>
            </w: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453.2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384.4</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tcBorders>
              <w:right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b w:val="1"/>
                <w:bCs w:val="1"/>
                <w:color w:val="auto"/>
              </w:rPr>
              <w:t>476.4</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1,351.1</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1,291.9</w:t>
            </w:r>
          </w:p>
        </w:tc>
      </w:tr>
      <w:tr>
        <w:trPr>
          <w:trHeight w:val="131"/>
        </w:trPr>
        <w:tc>
          <w:tcPr>
            <w:tcW w:w="60" w:type="dxa"/>
            <w:vAlign w:val="bottom"/>
            <w:tcBorders>
              <w:bottom w:val="single" w:sz="8" w:color="CCEEFF"/>
            </w:tcBorders>
          </w:tcPr>
          <w:p>
            <w:pPr>
              <w:spacing w:after="0"/>
              <w:rPr>
                <w:sz w:val="11"/>
                <w:szCs w:val="11"/>
                <w:color w:val="auto"/>
              </w:rPr>
            </w:pPr>
          </w:p>
        </w:tc>
        <w:tc>
          <w:tcPr>
            <w:tcW w:w="470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Less: net income allocated to outstanding restricted stock and stock unit holders</w:t>
            </w:r>
          </w:p>
        </w:tc>
        <w:tc>
          <w:tcPr>
            <w:tcW w:w="2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10.6</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9.2</w:t>
            </w:r>
          </w:p>
        </w:tc>
        <w:tc>
          <w:tcPr>
            <w:tcW w:w="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11.6</w:t>
            </w:r>
          </w:p>
        </w:tc>
        <w:tc>
          <w:tcPr>
            <w:tcW w:w="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32.7</w:t>
            </w: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29.6</w:t>
            </w:r>
          </w:p>
        </w:tc>
      </w:tr>
      <w:tr>
        <w:trPr>
          <w:trHeight w:val="144"/>
        </w:trPr>
        <w:tc>
          <w:tcPr>
            <w:tcW w:w="4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0"/>
                <w:szCs w:val="10"/>
                <w:b w:val="1"/>
                <w:bCs w:val="1"/>
                <w:color w:val="auto"/>
              </w:rPr>
              <w:t>Net income allocated to T. Rowe Price common stockholders</w:t>
            </w: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442.6</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375.2</w:t>
            </w:r>
          </w:p>
        </w:tc>
        <w:tc>
          <w:tcPr>
            <w:tcW w:w="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auto"/>
              <w:right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b w:val="1"/>
                <w:bCs w:val="1"/>
                <w:color w:val="auto"/>
              </w:rPr>
              <w:t>464.8</w:t>
            </w:r>
          </w:p>
        </w:tc>
        <w:tc>
          <w:tcPr>
            <w:tcW w:w="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1,318.4</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1,262.3</w:t>
            </w:r>
          </w:p>
        </w:tc>
      </w:tr>
      <w:tr>
        <w:trPr>
          <w:trHeight w:val="45"/>
        </w:trPr>
        <w:tc>
          <w:tcPr>
            <w:tcW w:w="60" w:type="dxa"/>
            <w:vAlign w:val="bottom"/>
          </w:tcPr>
          <w:p>
            <w:pPr>
              <w:spacing w:after="0"/>
              <w:rPr>
                <w:sz w:val="3"/>
                <w:szCs w:val="3"/>
                <w:color w:val="auto"/>
              </w:rPr>
            </w:pPr>
          </w:p>
        </w:tc>
        <w:tc>
          <w:tcPr>
            <w:tcW w:w="4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135"/>
        </w:trPr>
        <w:tc>
          <w:tcPr>
            <w:tcW w:w="476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Earnings per share</w:t>
            </w: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51"/>
        </w:trPr>
        <w:tc>
          <w:tcPr>
            <w:tcW w:w="60" w:type="dxa"/>
            <w:vAlign w:val="bottom"/>
            <w:tcBorders>
              <w:bottom w:val="single" w:sz="8" w:color="CCEEFF"/>
            </w:tcBorders>
          </w:tcPr>
          <w:p>
            <w:pPr>
              <w:spacing w:after="0"/>
              <w:rPr>
                <w:sz w:val="13"/>
                <w:szCs w:val="13"/>
                <w:color w:val="auto"/>
              </w:rPr>
            </w:pPr>
          </w:p>
        </w:tc>
        <w:tc>
          <w:tcPr>
            <w:tcW w:w="470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Basic</w:t>
            </w: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1.98</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1.67</w:t>
            </w:r>
          </w:p>
        </w:tc>
        <w:tc>
          <w:tcPr>
            <w:tcW w:w="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2.07</w:t>
            </w:r>
          </w:p>
        </w:tc>
        <w:tc>
          <w:tcPr>
            <w:tcW w:w="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5.88</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5.57</w:t>
            </w:r>
          </w:p>
        </w:tc>
      </w:tr>
      <w:tr>
        <w:trPr>
          <w:trHeight w:val="151"/>
        </w:trPr>
        <w:tc>
          <w:tcPr>
            <w:tcW w:w="60" w:type="dxa"/>
            <w:vAlign w:val="bottom"/>
            <w:tcBorders>
              <w:bottom w:val="single" w:sz="8" w:color="CCEEFF"/>
            </w:tcBorders>
            <w:shd w:val="clear" w:color="auto" w:fill="CCEEFF"/>
          </w:tcPr>
          <w:p>
            <w:pPr>
              <w:spacing w:after="0"/>
              <w:rPr>
                <w:sz w:val="13"/>
                <w:szCs w:val="13"/>
                <w:color w:val="auto"/>
              </w:rPr>
            </w:pPr>
          </w:p>
        </w:tc>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b w:val="1"/>
                <w:bCs w:val="1"/>
                <w:color w:val="auto"/>
              </w:rPr>
              <w:t>Diluted</w:t>
            </w: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1.97</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1.66</w:t>
            </w:r>
          </w:p>
        </w:tc>
        <w:tc>
          <w:tcPr>
            <w:tcW w:w="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auto"/>
              <w:right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b w:val="1"/>
                <w:bCs w:val="1"/>
                <w:color w:val="auto"/>
              </w:rPr>
              <w:t>2.06</w:t>
            </w:r>
          </w:p>
        </w:tc>
        <w:tc>
          <w:tcPr>
            <w:tcW w:w="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5.86</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5.54</w:t>
            </w:r>
          </w:p>
        </w:tc>
      </w:tr>
      <w:tr>
        <w:trPr>
          <w:trHeight w:val="45"/>
        </w:trPr>
        <w:tc>
          <w:tcPr>
            <w:tcW w:w="60" w:type="dxa"/>
            <w:vAlign w:val="bottom"/>
          </w:tcPr>
          <w:p>
            <w:pPr>
              <w:spacing w:after="0"/>
              <w:rPr>
                <w:sz w:val="3"/>
                <w:szCs w:val="3"/>
                <w:color w:val="auto"/>
              </w:rPr>
            </w:pPr>
          </w:p>
        </w:tc>
        <w:tc>
          <w:tcPr>
            <w:tcW w:w="4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135"/>
        </w:trPr>
        <w:tc>
          <w:tcPr>
            <w:tcW w:w="476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Weighted-average common shares</w:t>
            </w: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51"/>
        </w:trPr>
        <w:tc>
          <w:tcPr>
            <w:tcW w:w="60" w:type="dxa"/>
            <w:vAlign w:val="bottom"/>
            <w:tcBorders>
              <w:bottom w:val="single" w:sz="8" w:color="CCEEFF"/>
            </w:tcBorders>
          </w:tcPr>
          <w:p>
            <w:pPr>
              <w:spacing w:after="0"/>
              <w:rPr>
                <w:sz w:val="13"/>
                <w:szCs w:val="13"/>
                <w:color w:val="auto"/>
              </w:rPr>
            </w:pPr>
          </w:p>
        </w:tc>
        <w:tc>
          <w:tcPr>
            <w:tcW w:w="470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Outstanding</w:t>
            </w: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224.1</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225.3</w:t>
            </w:r>
          </w:p>
        </w:tc>
        <w:tc>
          <w:tcPr>
            <w:tcW w:w="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224.4</w:t>
            </w:r>
          </w:p>
        </w:tc>
        <w:tc>
          <w:tcPr>
            <w:tcW w:w="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224.3</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226.7</w:t>
            </w:r>
          </w:p>
        </w:tc>
      </w:tr>
      <w:tr>
        <w:trPr>
          <w:trHeight w:val="162"/>
        </w:trPr>
        <w:tc>
          <w:tcPr>
            <w:tcW w:w="60" w:type="dxa"/>
            <w:vAlign w:val="bottom"/>
            <w:tcBorders>
              <w:bottom w:val="single" w:sz="8" w:color="CCEEFF"/>
            </w:tcBorders>
            <w:shd w:val="clear" w:color="auto" w:fill="CCEEFF"/>
          </w:tcPr>
          <w:p>
            <w:pPr>
              <w:spacing w:after="0"/>
              <w:rPr>
                <w:sz w:val="14"/>
                <w:szCs w:val="14"/>
                <w:color w:val="auto"/>
              </w:rPr>
            </w:pPr>
          </w:p>
        </w:tc>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Outstanding assuming dilution</w:t>
            </w:r>
          </w:p>
        </w:tc>
        <w:tc>
          <w:tcPr>
            <w:tcW w:w="2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224.8</w:t>
            </w: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226.3</w:t>
            </w:r>
          </w:p>
        </w:tc>
        <w:tc>
          <w:tcPr>
            <w:tcW w:w="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right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225.2</w:t>
            </w:r>
          </w:p>
        </w:tc>
        <w:tc>
          <w:tcPr>
            <w:tcW w:w="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225.1</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228.0</w:t>
            </w:r>
          </w:p>
        </w:tc>
      </w:tr>
      <w:tr>
        <w:trPr>
          <w:trHeight w:val="214"/>
        </w:trPr>
        <w:tc>
          <w:tcPr>
            <w:tcW w:w="60" w:type="dxa"/>
            <w:vAlign w:val="bottom"/>
            <w:tcBorders>
              <w:bottom w:val="single" w:sz="8" w:color="CCEEFF"/>
            </w:tcBorders>
          </w:tcPr>
          <w:p>
            <w:pPr>
              <w:spacing w:after="0"/>
              <w:rPr>
                <w:sz w:val="18"/>
                <w:szCs w:val="18"/>
                <w:color w:val="auto"/>
              </w:rPr>
            </w:pPr>
          </w:p>
        </w:tc>
        <w:tc>
          <w:tcPr>
            <w:tcW w:w="470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r>
      <w:tr>
        <w:trPr>
          <w:trHeight w:val="124"/>
        </w:trPr>
        <w:tc>
          <w:tcPr>
            <w:tcW w:w="60" w:type="dxa"/>
            <w:vAlign w:val="bottom"/>
            <w:shd w:val="clear" w:color="auto" w:fill="CCEEFF"/>
          </w:tcPr>
          <w:p>
            <w:pPr>
              <w:spacing w:after="0"/>
              <w:rPr>
                <w:sz w:val="10"/>
                <w:szCs w:val="10"/>
                <w:color w:val="auto"/>
              </w:rPr>
            </w:pPr>
          </w:p>
        </w:tc>
        <w:tc>
          <w:tcPr>
            <w:tcW w:w="4700" w:type="dxa"/>
            <w:vAlign w:val="bottom"/>
            <w:shd w:val="clear" w:color="auto" w:fill="CCEEFF"/>
          </w:tcPr>
          <w:p>
            <w:pPr>
              <w:spacing w:after="0" w:line="124" w:lineRule="exact"/>
              <w:rPr>
                <w:sz w:val="20"/>
                <w:szCs w:val="20"/>
                <w:color w:val="auto"/>
              </w:rPr>
            </w:pPr>
            <w:r>
              <w:rPr>
                <w:rFonts w:ascii="Arial" w:cs="Arial" w:eastAsia="Arial" w:hAnsi="Arial"/>
                <w:sz w:val="10"/>
                <w:szCs w:val="10"/>
                <w:b w:val="1"/>
                <w:bCs w:val="1"/>
                <w:color w:val="auto"/>
              </w:rPr>
              <w:t>Summary of Adjusted Basis</w:t>
            </w:r>
            <w:r>
              <w:rPr>
                <w:rFonts w:ascii="Arial" w:cs="Arial" w:eastAsia="Arial" w:hAnsi="Arial"/>
                <w:sz w:val="12"/>
                <w:szCs w:val="12"/>
                <w:b w:val="1"/>
                <w:bCs w:val="1"/>
                <w:color w:val="auto"/>
                <w:vertAlign w:val="superscript"/>
              </w:rPr>
              <w:t>(1)</w:t>
            </w:r>
          </w:p>
        </w:tc>
        <w:tc>
          <w:tcPr>
            <w:tcW w:w="20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gridSpan w:val="2"/>
            <w:shd w:val="clear" w:color="auto" w:fill="CCEEFF"/>
          </w:tcPr>
          <w:p>
            <w:pPr>
              <w:jc w:val="center"/>
              <w:ind w:right="160"/>
              <w:spacing w:after="0"/>
              <w:rPr>
                <w:sz w:val="20"/>
                <w:szCs w:val="20"/>
                <w:color w:val="auto"/>
              </w:rPr>
            </w:pPr>
            <w:r>
              <w:rPr>
                <w:rFonts w:ascii="Arial" w:cs="Arial" w:eastAsia="Arial" w:hAnsi="Arial"/>
                <w:sz w:val="10"/>
                <w:szCs w:val="10"/>
                <w:color w:val="auto"/>
                <w:w w:val="95"/>
              </w:rPr>
              <w:t>Three months ended</w:t>
            </w:r>
          </w:p>
        </w:tc>
        <w:tc>
          <w:tcPr>
            <w:tcW w:w="200" w:type="dxa"/>
            <w:vAlign w:val="bottom"/>
            <w:tcBorders>
              <w:bottom w:val="single" w:sz="8" w:color="auto"/>
            </w:tcBorders>
            <w:shd w:val="clear" w:color="auto" w:fill="CCEEFF"/>
          </w:tcPr>
          <w:p>
            <w:pPr>
              <w:spacing w:after="0"/>
              <w:rPr>
                <w:sz w:val="10"/>
                <w:szCs w:val="10"/>
                <w:color w:val="auto"/>
              </w:rPr>
            </w:pPr>
          </w:p>
        </w:tc>
        <w:tc>
          <w:tcPr>
            <w:tcW w:w="980" w:type="dxa"/>
            <w:vAlign w:val="bottom"/>
            <w:tcBorders>
              <w:bottom w:val="single" w:sz="8" w:color="auto"/>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2060" w:type="dxa"/>
            <w:vAlign w:val="bottom"/>
            <w:tcBorders>
              <w:bottom w:val="single" w:sz="8" w:color="auto"/>
            </w:tcBorders>
            <w:gridSpan w:val="4"/>
            <w:shd w:val="clear" w:color="auto" w:fill="CCEEFF"/>
          </w:tcPr>
          <w:p>
            <w:pPr>
              <w:jc w:val="right"/>
              <w:ind w:right="672"/>
              <w:spacing w:after="0"/>
              <w:rPr>
                <w:sz w:val="20"/>
                <w:szCs w:val="20"/>
                <w:color w:val="auto"/>
              </w:rPr>
            </w:pPr>
            <w:r>
              <w:rPr>
                <w:rFonts w:ascii="Arial" w:cs="Arial" w:eastAsia="Arial" w:hAnsi="Arial"/>
                <w:sz w:val="10"/>
                <w:szCs w:val="10"/>
                <w:color w:val="auto"/>
              </w:rPr>
              <w:t>Nine months ended</w:t>
            </w:r>
          </w:p>
        </w:tc>
      </w:tr>
      <w:tr>
        <w:trPr>
          <w:trHeight w:val="145"/>
        </w:trPr>
        <w:tc>
          <w:tcPr>
            <w:tcW w:w="60" w:type="dxa"/>
            <w:vAlign w:val="bottom"/>
            <w:tcBorders>
              <w:bottom w:val="single" w:sz="8" w:color="CCEEFF"/>
            </w:tcBorders>
          </w:tcPr>
          <w:p>
            <w:pPr>
              <w:spacing w:after="0"/>
              <w:rPr>
                <w:sz w:val="12"/>
                <w:szCs w:val="12"/>
                <w:color w:val="auto"/>
              </w:rPr>
            </w:pPr>
          </w:p>
        </w:tc>
        <w:tc>
          <w:tcPr>
            <w:tcW w:w="470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(in millions, except per-share data)</w:t>
            </w: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9/30/2023</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52"/>
              <w:spacing w:after="0"/>
              <w:rPr>
                <w:sz w:val="20"/>
                <w:szCs w:val="20"/>
                <w:color w:val="auto"/>
              </w:rPr>
            </w:pPr>
            <w:r>
              <w:rPr>
                <w:rFonts w:ascii="Arial" w:cs="Arial" w:eastAsia="Arial" w:hAnsi="Arial"/>
                <w:sz w:val="10"/>
                <w:szCs w:val="10"/>
                <w:color w:val="auto"/>
                <w:w w:val="98"/>
              </w:rPr>
              <w:t>9/30/2022</w:t>
            </w: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jc w:val="right"/>
              <w:ind w:right="372"/>
              <w:spacing w:after="0"/>
              <w:rPr>
                <w:sz w:val="20"/>
                <w:szCs w:val="20"/>
                <w:color w:val="auto"/>
              </w:rPr>
            </w:pPr>
            <w:r>
              <w:rPr>
                <w:rFonts w:ascii="Arial" w:cs="Arial" w:eastAsia="Arial" w:hAnsi="Arial"/>
                <w:sz w:val="10"/>
                <w:szCs w:val="10"/>
                <w:color w:val="auto"/>
              </w:rPr>
              <w:t>6/30/2023</w:t>
            </w: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9/30/2023</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9/30/2022</w:t>
            </w:r>
          </w:p>
        </w:tc>
      </w:tr>
      <w:tr>
        <w:trPr>
          <w:trHeight w:val="131"/>
        </w:trPr>
        <w:tc>
          <w:tcPr>
            <w:tcW w:w="60" w:type="dxa"/>
            <w:vAlign w:val="bottom"/>
            <w:tcBorders>
              <w:top w:val="single" w:sz="8" w:color="CCEEFF"/>
            </w:tcBorders>
          </w:tcPr>
          <w:p>
            <w:pPr>
              <w:spacing w:after="0"/>
              <w:rPr>
                <w:sz w:val="11"/>
                <w:szCs w:val="11"/>
                <w:color w:val="auto"/>
              </w:rPr>
            </w:pPr>
          </w:p>
        </w:tc>
        <w:tc>
          <w:tcPr>
            <w:tcW w:w="4700" w:type="dxa"/>
            <w:vAlign w:val="bottom"/>
            <w:tcBorders>
              <w:top w:val="single" w:sz="8" w:color="CCEEFF"/>
            </w:tcBorders>
          </w:tcPr>
          <w:p>
            <w:pPr>
              <w:spacing w:after="0"/>
              <w:rPr>
                <w:sz w:val="20"/>
                <w:szCs w:val="20"/>
                <w:color w:val="auto"/>
              </w:rPr>
            </w:pPr>
            <w:r>
              <w:rPr>
                <w:rFonts w:ascii="Arial" w:cs="Arial" w:eastAsia="Arial" w:hAnsi="Arial"/>
                <w:sz w:val="10"/>
                <w:szCs w:val="10"/>
                <w:color w:val="auto"/>
              </w:rPr>
              <w:t>Operating expenses</w:t>
            </w:r>
          </w:p>
        </w:tc>
        <w:tc>
          <w:tcPr>
            <w:tcW w:w="200" w:type="dxa"/>
            <w:vAlign w:val="bottom"/>
            <w:tcBorders>
              <w:top w:val="single" w:sz="8" w:color="CCEEFF"/>
            </w:tcBorders>
          </w:tcPr>
          <w:p>
            <w:pPr>
              <w:jc w:val="right"/>
              <w:ind w:right="92"/>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CCEEFF"/>
            </w:tcBorders>
          </w:tcPr>
          <w:p>
            <w:pPr>
              <w:jc w:val="right"/>
              <w:ind w:right="12"/>
              <w:spacing w:after="0"/>
              <w:rPr>
                <w:sz w:val="20"/>
                <w:szCs w:val="20"/>
                <w:color w:val="auto"/>
              </w:rPr>
            </w:pPr>
            <w:r>
              <w:rPr>
                <w:rFonts w:ascii="Arial" w:cs="Arial" w:eastAsia="Arial" w:hAnsi="Arial"/>
                <w:sz w:val="10"/>
                <w:szCs w:val="10"/>
                <w:color w:val="auto"/>
              </w:rPr>
              <w:t>1,061.3</w:t>
            </w:r>
          </w:p>
        </w:tc>
        <w:tc>
          <w:tcPr>
            <w:tcW w:w="6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CCEEFF"/>
            </w:tcBorders>
          </w:tcPr>
          <w:p>
            <w:pPr>
              <w:jc w:val="right"/>
              <w:ind w:right="12"/>
              <w:spacing w:after="0"/>
              <w:rPr>
                <w:sz w:val="20"/>
                <w:szCs w:val="20"/>
                <w:color w:val="auto"/>
              </w:rPr>
            </w:pPr>
            <w:r>
              <w:rPr>
                <w:rFonts w:ascii="Arial" w:cs="Arial" w:eastAsia="Arial" w:hAnsi="Arial"/>
                <w:sz w:val="10"/>
                <w:szCs w:val="10"/>
                <w:color w:val="auto"/>
              </w:rPr>
              <w:t>1,028.2</w:t>
            </w:r>
          </w:p>
        </w:tc>
        <w:tc>
          <w:tcPr>
            <w:tcW w:w="6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jc w:val="right"/>
              <w:ind w:right="92"/>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CCEEFF"/>
              <w:right w:val="single" w:sz="8" w:color="auto"/>
            </w:tcBorders>
          </w:tcPr>
          <w:p>
            <w:pPr>
              <w:jc w:val="right"/>
              <w:ind w:right="92"/>
              <w:spacing w:after="0"/>
              <w:rPr>
                <w:sz w:val="20"/>
                <w:szCs w:val="20"/>
                <w:color w:val="auto"/>
              </w:rPr>
            </w:pPr>
            <w:r>
              <w:rPr>
                <w:rFonts w:ascii="Arial" w:cs="Arial" w:eastAsia="Arial" w:hAnsi="Arial"/>
                <w:sz w:val="10"/>
                <w:szCs w:val="10"/>
                <w:color w:val="auto"/>
              </w:rPr>
              <w:t>1,026.2</w:t>
            </w:r>
          </w:p>
        </w:tc>
        <w:tc>
          <w:tcPr>
            <w:tcW w:w="6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jc w:val="right"/>
              <w:ind w:right="9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3,110.0</w:t>
            </w:r>
          </w:p>
        </w:tc>
        <w:tc>
          <w:tcPr>
            <w:tcW w:w="10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jc w:val="right"/>
              <w:ind w:right="72"/>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3,014.6</w:t>
            </w:r>
          </w:p>
        </w:tc>
      </w:tr>
      <w:tr>
        <w:trPr>
          <w:trHeight w:val="139"/>
        </w:trPr>
        <w:tc>
          <w:tcPr>
            <w:tcW w:w="60" w:type="dxa"/>
            <w:vAlign w:val="bottom"/>
            <w:shd w:val="clear" w:color="auto" w:fill="CCEEFF"/>
          </w:tcPr>
          <w:p>
            <w:pPr>
              <w:spacing w:after="0"/>
              <w:rPr>
                <w:sz w:val="12"/>
                <w:szCs w:val="12"/>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0"/>
                <w:szCs w:val="10"/>
                <w:color w:val="auto"/>
              </w:rPr>
              <w:t>Operating expenses, excluding accrued carried interest related compensation</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1,030.8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1,022.5</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1,010.5</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3,055.2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3,031.0</w:t>
            </w:r>
          </w:p>
        </w:tc>
      </w:tr>
      <w:tr>
        <w:trPr>
          <w:trHeight w:val="131"/>
        </w:trPr>
        <w:tc>
          <w:tcPr>
            <w:tcW w:w="60" w:type="dxa"/>
            <w:vAlign w:val="bottom"/>
          </w:tcPr>
          <w:p>
            <w:pPr>
              <w:spacing w:after="0"/>
              <w:rPr>
                <w:sz w:val="11"/>
                <w:szCs w:val="11"/>
                <w:color w:val="auto"/>
              </w:rPr>
            </w:pPr>
          </w:p>
        </w:tc>
        <w:tc>
          <w:tcPr>
            <w:tcW w:w="4700" w:type="dxa"/>
            <w:vAlign w:val="bottom"/>
          </w:tcPr>
          <w:p>
            <w:pPr>
              <w:spacing w:after="0"/>
              <w:rPr>
                <w:sz w:val="20"/>
                <w:szCs w:val="20"/>
                <w:color w:val="auto"/>
              </w:rPr>
            </w:pPr>
            <w:r>
              <w:rPr>
                <w:rFonts w:ascii="Arial" w:cs="Arial" w:eastAsia="Arial" w:hAnsi="Arial"/>
                <w:sz w:val="10"/>
                <w:szCs w:val="10"/>
                <w:color w:val="auto"/>
              </w:rPr>
              <w:t>Net operating income</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12"/>
              <w:spacing w:after="0"/>
              <w:rPr>
                <w:sz w:val="20"/>
                <w:szCs w:val="20"/>
                <w:color w:val="auto"/>
              </w:rPr>
            </w:pPr>
            <w:r>
              <w:rPr>
                <w:rFonts w:ascii="Arial" w:cs="Arial" w:eastAsia="Arial" w:hAnsi="Arial"/>
                <w:sz w:val="10"/>
                <w:szCs w:val="10"/>
                <w:color w:val="auto"/>
              </w:rPr>
              <w:t>635.9</w:t>
            </w:r>
          </w:p>
        </w:tc>
        <w:tc>
          <w:tcPr>
            <w:tcW w:w="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12"/>
              <w:spacing w:after="0"/>
              <w:rPr>
                <w:sz w:val="20"/>
                <w:szCs w:val="20"/>
                <w:color w:val="auto"/>
              </w:rPr>
            </w:pPr>
            <w:r>
              <w:rPr>
                <w:rFonts w:ascii="Arial" w:cs="Arial" w:eastAsia="Arial" w:hAnsi="Arial"/>
                <w:sz w:val="10"/>
                <w:szCs w:val="10"/>
                <w:color w:val="auto"/>
              </w:rPr>
              <w:t>573.7</w:t>
            </w:r>
          </w:p>
        </w:tc>
        <w:tc>
          <w:tcPr>
            <w:tcW w:w="60" w:type="dxa"/>
            <w:vAlign w:val="bottom"/>
          </w:tcPr>
          <w:p>
            <w:pPr>
              <w:spacing w:after="0"/>
              <w:rPr>
                <w:sz w:val="11"/>
                <w:szCs w:val="11"/>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auto"/>
            </w:tcBorders>
          </w:tcPr>
          <w:p>
            <w:pPr>
              <w:jc w:val="right"/>
              <w:ind w:right="92"/>
              <w:spacing w:after="0"/>
              <w:rPr>
                <w:sz w:val="20"/>
                <w:szCs w:val="20"/>
                <w:color w:val="auto"/>
              </w:rPr>
            </w:pPr>
            <w:r>
              <w:rPr>
                <w:rFonts w:ascii="Arial" w:cs="Arial" w:eastAsia="Arial" w:hAnsi="Arial"/>
                <w:sz w:val="10"/>
                <w:szCs w:val="10"/>
                <w:color w:val="auto"/>
              </w:rPr>
              <w:t>596.6</w:t>
            </w:r>
          </w:p>
        </w:tc>
        <w:tc>
          <w:tcPr>
            <w:tcW w:w="60" w:type="dxa"/>
            <w:vAlign w:val="bottom"/>
          </w:tcPr>
          <w:p>
            <w:pPr>
              <w:spacing w:after="0"/>
              <w:rPr>
                <w:sz w:val="11"/>
                <w:szCs w:val="11"/>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0"/>
                <w:szCs w:val="10"/>
                <w:color w:val="auto"/>
              </w:rPr>
              <w:t>1,760.5</w:t>
            </w:r>
          </w:p>
        </w:tc>
        <w:tc>
          <w:tcPr>
            <w:tcW w:w="100" w:type="dxa"/>
            <w:vAlign w:val="bottom"/>
          </w:tcPr>
          <w:p>
            <w:pPr>
              <w:spacing w:after="0"/>
              <w:rPr>
                <w:sz w:val="11"/>
                <w:szCs w:val="11"/>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1,991.4</w:t>
            </w:r>
          </w:p>
        </w:tc>
      </w:tr>
      <w:tr>
        <w:trPr>
          <w:trHeight w:val="139"/>
        </w:trPr>
        <w:tc>
          <w:tcPr>
            <w:tcW w:w="60" w:type="dxa"/>
            <w:vAlign w:val="bottom"/>
            <w:shd w:val="clear" w:color="auto" w:fill="CCEEFF"/>
          </w:tcPr>
          <w:p>
            <w:pPr>
              <w:spacing w:after="0"/>
              <w:rPr>
                <w:sz w:val="12"/>
                <w:szCs w:val="12"/>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0"/>
                <w:szCs w:val="10"/>
                <w:color w:val="auto"/>
              </w:rPr>
              <w:t>Non-operating income (loss)</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28.7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31.8</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91.3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(58.1)</w:t>
            </w:r>
          </w:p>
        </w:tc>
      </w:tr>
      <w:tr>
        <w:trPr>
          <w:trHeight w:val="131"/>
        </w:trPr>
        <w:tc>
          <w:tcPr>
            <w:tcW w:w="60" w:type="dxa"/>
            <w:vAlign w:val="bottom"/>
          </w:tcPr>
          <w:p>
            <w:pPr>
              <w:spacing w:after="0"/>
              <w:rPr>
                <w:sz w:val="11"/>
                <w:szCs w:val="11"/>
                <w:color w:val="auto"/>
              </w:rPr>
            </w:pPr>
          </w:p>
        </w:tc>
        <w:tc>
          <w:tcPr>
            <w:tcW w:w="4700" w:type="dxa"/>
            <w:vAlign w:val="bottom"/>
          </w:tcPr>
          <w:p>
            <w:pPr>
              <w:spacing w:after="0"/>
              <w:rPr>
                <w:sz w:val="20"/>
                <w:szCs w:val="20"/>
                <w:color w:val="auto"/>
              </w:rPr>
            </w:pPr>
            <w:r>
              <w:rPr>
                <w:rFonts w:ascii="Arial" w:cs="Arial" w:eastAsia="Arial" w:hAnsi="Arial"/>
                <w:sz w:val="10"/>
                <w:szCs w:val="10"/>
                <w:color w:val="auto"/>
              </w:rPr>
              <w:t>Net income attributable to T. Rowe Price</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12"/>
              <w:spacing w:after="0"/>
              <w:rPr>
                <w:sz w:val="20"/>
                <w:szCs w:val="20"/>
                <w:color w:val="auto"/>
              </w:rPr>
            </w:pPr>
            <w:r>
              <w:rPr>
                <w:rFonts w:ascii="Arial" w:cs="Arial" w:eastAsia="Arial" w:hAnsi="Arial"/>
                <w:sz w:val="10"/>
                <w:szCs w:val="10"/>
                <w:color w:val="auto"/>
              </w:rPr>
              <w:t>499.5</w:t>
            </w:r>
          </w:p>
        </w:tc>
        <w:tc>
          <w:tcPr>
            <w:tcW w:w="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12"/>
              <w:spacing w:after="0"/>
              <w:rPr>
                <w:sz w:val="20"/>
                <w:szCs w:val="20"/>
                <w:color w:val="auto"/>
              </w:rPr>
            </w:pPr>
            <w:r>
              <w:rPr>
                <w:rFonts w:ascii="Arial" w:cs="Arial" w:eastAsia="Arial" w:hAnsi="Arial"/>
                <w:sz w:val="10"/>
                <w:szCs w:val="10"/>
                <w:color w:val="auto"/>
              </w:rPr>
              <w:t>430.6</w:t>
            </w:r>
          </w:p>
        </w:tc>
        <w:tc>
          <w:tcPr>
            <w:tcW w:w="60" w:type="dxa"/>
            <w:vAlign w:val="bottom"/>
          </w:tcPr>
          <w:p>
            <w:pPr>
              <w:spacing w:after="0"/>
              <w:rPr>
                <w:sz w:val="11"/>
                <w:szCs w:val="11"/>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auto"/>
            </w:tcBorders>
          </w:tcPr>
          <w:p>
            <w:pPr>
              <w:jc w:val="right"/>
              <w:ind w:right="92"/>
              <w:spacing w:after="0"/>
              <w:rPr>
                <w:sz w:val="20"/>
                <w:szCs w:val="20"/>
                <w:color w:val="auto"/>
              </w:rPr>
            </w:pPr>
            <w:r>
              <w:rPr>
                <w:rFonts w:ascii="Arial" w:cs="Arial" w:eastAsia="Arial" w:hAnsi="Arial"/>
                <w:sz w:val="10"/>
                <w:szCs w:val="10"/>
                <w:color w:val="auto"/>
              </w:rPr>
              <w:t>466.5</w:t>
            </w:r>
          </w:p>
        </w:tc>
        <w:tc>
          <w:tcPr>
            <w:tcW w:w="60" w:type="dxa"/>
            <w:vAlign w:val="bottom"/>
          </w:tcPr>
          <w:p>
            <w:pPr>
              <w:spacing w:after="0"/>
              <w:rPr>
                <w:sz w:val="11"/>
                <w:szCs w:val="11"/>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0"/>
                <w:szCs w:val="10"/>
                <w:color w:val="auto"/>
              </w:rPr>
              <w:t>1,355.4</w:t>
            </w:r>
          </w:p>
        </w:tc>
        <w:tc>
          <w:tcPr>
            <w:tcW w:w="100" w:type="dxa"/>
            <w:vAlign w:val="bottom"/>
          </w:tcPr>
          <w:p>
            <w:pPr>
              <w:spacing w:after="0"/>
              <w:rPr>
                <w:sz w:val="11"/>
                <w:szCs w:val="11"/>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1,465.2</w:t>
            </w:r>
          </w:p>
        </w:tc>
      </w:tr>
      <w:tr>
        <w:trPr>
          <w:trHeight w:val="139"/>
        </w:trPr>
        <w:tc>
          <w:tcPr>
            <w:tcW w:w="60" w:type="dxa"/>
            <w:vAlign w:val="bottom"/>
            <w:shd w:val="clear" w:color="auto" w:fill="CCEEFF"/>
          </w:tcPr>
          <w:p>
            <w:pPr>
              <w:spacing w:after="0"/>
              <w:rPr>
                <w:sz w:val="12"/>
                <w:szCs w:val="12"/>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0"/>
                <w:szCs w:val="10"/>
                <w:color w:val="auto"/>
              </w:rPr>
              <w:t>Diluted earnings per common share</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2.17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1.86</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2.02</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5.88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6.28</w:t>
            </w:r>
          </w:p>
        </w:tc>
      </w:tr>
    </w:tbl>
    <w:p>
      <w:pPr>
        <w:ind w:left="140" w:hanging="78"/>
        <w:spacing w:after="0" w:line="213" w:lineRule="auto"/>
        <w:tabs>
          <w:tab w:leader="none" w:pos="140" w:val="left"/>
        </w:tabs>
        <w:numPr>
          <w:ilvl w:val="0"/>
          <w:numId w:val="10"/>
        </w:numPr>
        <w:rPr>
          <w:rFonts w:ascii="Arial" w:cs="Arial" w:eastAsia="Arial" w:hAnsi="Arial"/>
          <w:sz w:val="9"/>
          <w:szCs w:val="9"/>
          <w:color w:val="auto"/>
          <w:vertAlign w:val="superscript"/>
        </w:rPr>
      </w:pPr>
      <w:r>
        <w:rPr>
          <w:rFonts w:ascii="Arial" w:cs="Arial" w:eastAsia="Arial" w:hAnsi="Arial"/>
          <w:sz w:val="7"/>
          <w:szCs w:val="7"/>
          <w:i w:val="1"/>
          <w:iCs w:val="1"/>
          <w:color w:val="auto"/>
        </w:rPr>
        <w:t>See the reconciliation to the comparable U.S. GAAP measures at the end of this earnings release.</w:t>
      </w: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0580"/>
          </w:cols>
          <w:pgMar w:left="660" w:top="670" w:right="659" w:bottom="1440" w:gutter="0" w:footer="0" w:header="0"/>
        </w:sectPr>
      </w:pPr>
    </w:p>
    <w:bookmarkStart w:id="10" w:name="page11"/>
    <w:bookmarkEnd w:id="10"/>
    <w:tbl>
      <w:tblPr>
        <w:tblLayout w:type="fixed"/>
        <w:tblInd w:w="8" w:type="dxa"/>
        <w:tblCellMar>
          <w:top w:w="0" w:type="dxa"/>
          <w:left w:w="0" w:type="dxa"/>
          <w:bottom w:w="0" w:type="dxa"/>
          <w:right w:w="0" w:type="dxa"/>
        </w:tblCellMar>
      </w:tblPr>
      <w:tr>
        <w:trPr>
          <w:trHeight w:val="144"/>
        </w:trPr>
        <w:tc>
          <w:tcPr>
            <w:tcW w:w="49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Assets Under Management</w:t>
            </w: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2440" w:type="dxa"/>
            <w:vAlign w:val="bottom"/>
            <w:tcBorders>
              <w:bottom w:val="single" w:sz="8" w:color="auto"/>
            </w:tcBorders>
            <w:gridSpan w:val="5"/>
            <w:shd w:val="clear" w:color="auto" w:fill="CCEEFF"/>
          </w:tcPr>
          <w:p>
            <w:pPr>
              <w:ind w:left="1060"/>
              <w:spacing w:after="0"/>
              <w:rPr>
                <w:sz w:val="20"/>
                <w:szCs w:val="20"/>
                <w:color w:val="auto"/>
              </w:rPr>
            </w:pPr>
            <w:r>
              <w:rPr>
                <w:rFonts w:ascii="Arial" w:cs="Arial" w:eastAsia="Arial" w:hAnsi="Arial"/>
                <w:sz w:val="10"/>
                <w:szCs w:val="10"/>
                <w:color w:val="auto"/>
              </w:rPr>
              <w:t>Nine months ended 9/30/2023</w:t>
            </w:r>
          </w:p>
        </w:tc>
        <w:tc>
          <w:tcPr>
            <w:tcW w:w="2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4900" w:type="dxa"/>
            <w:vAlign w:val="bottom"/>
            <w:vMerge w:val="restart"/>
          </w:tcPr>
          <w:p>
            <w:pPr>
              <w:spacing w:after="0"/>
              <w:rPr>
                <w:sz w:val="20"/>
                <w:szCs w:val="20"/>
                <w:color w:val="auto"/>
              </w:rPr>
            </w:pPr>
            <w:r>
              <w:rPr>
                <w:rFonts w:ascii="Arial" w:cs="Arial" w:eastAsia="Arial" w:hAnsi="Arial"/>
                <w:sz w:val="10"/>
                <w:szCs w:val="10"/>
                <w:color w:val="auto"/>
              </w:rPr>
              <w:t>(in billions)</w:t>
            </w:r>
          </w:p>
        </w:tc>
        <w:tc>
          <w:tcPr>
            <w:tcW w:w="260" w:type="dxa"/>
            <w:vAlign w:val="bottom"/>
          </w:tcPr>
          <w:p>
            <w:pPr>
              <w:spacing w:after="0"/>
              <w:rPr>
                <w:sz w:val="8"/>
                <w:szCs w:val="8"/>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0"/>
                <w:szCs w:val="10"/>
                <w:color w:val="auto"/>
              </w:rPr>
              <w:t>Equity</w:t>
            </w:r>
          </w:p>
        </w:tc>
        <w:tc>
          <w:tcPr>
            <w:tcW w:w="1500" w:type="dxa"/>
            <w:vAlign w:val="bottom"/>
            <w:gridSpan w:val="3"/>
          </w:tcPr>
          <w:p>
            <w:pPr>
              <w:jc w:val="center"/>
              <w:ind w:right="60"/>
              <w:spacing w:after="0" w:line="94" w:lineRule="exact"/>
              <w:rPr>
                <w:sz w:val="20"/>
                <w:szCs w:val="20"/>
                <w:color w:val="auto"/>
              </w:rPr>
            </w:pPr>
            <w:r>
              <w:rPr>
                <w:rFonts w:ascii="Arial" w:cs="Arial" w:eastAsia="Arial" w:hAnsi="Arial"/>
                <w:sz w:val="10"/>
                <w:szCs w:val="10"/>
                <w:color w:val="auto"/>
                <w:w w:val="96"/>
              </w:rPr>
              <w:t>Fixed income, including money</w:t>
            </w:r>
          </w:p>
        </w:tc>
        <w:tc>
          <w:tcPr>
            <w:tcW w:w="200" w:type="dxa"/>
            <w:vAlign w:val="bottom"/>
          </w:tcPr>
          <w:p>
            <w:pPr>
              <w:spacing w:after="0"/>
              <w:rPr>
                <w:sz w:val="8"/>
                <w:szCs w:val="8"/>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0"/>
                <w:szCs w:val="10"/>
                <w:color w:val="auto"/>
              </w:rPr>
              <w:t>Multi-asset</w:t>
            </w:r>
            <w:r>
              <w:rPr>
                <w:rFonts w:ascii="Arial" w:cs="Arial" w:eastAsia="Arial" w:hAnsi="Arial"/>
                <w:sz w:val="12"/>
                <w:szCs w:val="12"/>
                <w:color w:val="auto"/>
                <w:vertAlign w:val="superscript"/>
              </w:rPr>
              <w:t>(1)</w:t>
            </w:r>
          </w:p>
        </w:tc>
        <w:tc>
          <w:tcPr>
            <w:tcW w:w="200" w:type="dxa"/>
            <w:vAlign w:val="bottom"/>
          </w:tcPr>
          <w:p>
            <w:pPr>
              <w:spacing w:after="0"/>
              <w:rPr>
                <w:sz w:val="8"/>
                <w:szCs w:val="8"/>
                <w:color w:val="auto"/>
              </w:rPr>
            </w:pPr>
          </w:p>
        </w:tc>
        <w:tc>
          <w:tcPr>
            <w:tcW w:w="1060" w:type="dxa"/>
            <w:vAlign w:val="bottom"/>
            <w:gridSpan w:val="2"/>
            <w:vMerge w:val="restart"/>
          </w:tcPr>
          <w:p>
            <w:pPr>
              <w:ind w:left="120"/>
              <w:spacing w:after="0"/>
              <w:rPr>
                <w:sz w:val="20"/>
                <w:szCs w:val="20"/>
                <w:color w:val="auto"/>
              </w:rPr>
            </w:pPr>
            <w:r>
              <w:rPr>
                <w:rFonts w:ascii="Arial" w:cs="Arial" w:eastAsia="Arial" w:hAnsi="Arial"/>
                <w:sz w:val="10"/>
                <w:szCs w:val="10"/>
                <w:color w:val="auto"/>
              </w:rPr>
              <w:t>Alternatives</w:t>
            </w:r>
            <w:r>
              <w:rPr>
                <w:rFonts w:ascii="Arial" w:cs="Arial" w:eastAsia="Arial" w:hAnsi="Arial"/>
                <w:sz w:val="12"/>
                <w:szCs w:val="12"/>
                <w:color w:val="auto"/>
                <w:vertAlign w:val="superscript"/>
              </w:rPr>
              <w:t>(2)</w:t>
            </w:r>
          </w:p>
        </w:tc>
        <w:tc>
          <w:tcPr>
            <w:tcW w:w="300" w:type="dxa"/>
            <w:vAlign w:val="bottom"/>
          </w:tcPr>
          <w:p>
            <w:pPr>
              <w:spacing w:after="0"/>
              <w:rPr>
                <w:sz w:val="8"/>
                <w:szCs w:val="8"/>
                <w:color w:val="auto"/>
              </w:rPr>
            </w:pPr>
          </w:p>
        </w:tc>
        <w:tc>
          <w:tcPr>
            <w:tcW w:w="900" w:type="dxa"/>
            <w:vAlign w:val="bottom"/>
            <w:vMerge w:val="restart"/>
          </w:tcPr>
          <w:p>
            <w:pPr>
              <w:jc w:val="right"/>
              <w:ind w:right="447"/>
              <w:spacing w:after="0"/>
              <w:rPr>
                <w:sz w:val="20"/>
                <w:szCs w:val="20"/>
                <w:color w:val="auto"/>
              </w:rPr>
            </w:pPr>
            <w:r>
              <w:rPr>
                <w:rFonts w:ascii="Arial" w:cs="Arial" w:eastAsia="Arial" w:hAnsi="Arial"/>
                <w:sz w:val="10"/>
                <w:szCs w:val="10"/>
                <w:color w:val="auto"/>
              </w:rPr>
              <w:t>Total</w:t>
            </w:r>
          </w:p>
        </w:tc>
        <w:tc>
          <w:tcPr>
            <w:tcW w:w="0" w:type="dxa"/>
            <w:vAlign w:val="bottom"/>
          </w:tcPr>
          <w:p>
            <w:pPr>
              <w:spacing w:after="0"/>
              <w:rPr>
                <w:sz w:val="1"/>
                <w:szCs w:val="1"/>
                <w:color w:val="auto"/>
              </w:rPr>
            </w:pPr>
          </w:p>
        </w:tc>
      </w:tr>
      <w:tr>
        <w:trPr>
          <w:trHeight w:val="120"/>
        </w:trPr>
        <w:tc>
          <w:tcPr>
            <w:tcW w:w="49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0"/>
                <w:szCs w:val="10"/>
                <w:color w:val="auto"/>
                <w:w w:val="91"/>
              </w:rPr>
              <w:t>market</w:t>
            </w:r>
          </w:p>
        </w:tc>
        <w:tc>
          <w:tcPr>
            <w:tcW w:w="2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color w:val="auto"/>
              </w:rPr>
              <w:t>Assets under management at beginning of period</w:t>
            </w:r>
          </w:p>
        </w:tc>
        <w:tc>
          <w:tcPr>
            <w:tcW w:w="26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664.2</w:t>
            </w:r>
          </w:p>
        </w:tc>
        <w:tc>
          <w:tcPr>
            <w:tcW w:w="6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1"/>
                <w:szCs w:val="11"/>
                <w:color w:val="auto"/>
                <w:w w:val="97"/>
              </w:rPr>
              <w:t>$</w:t>
            </w:r>
          </w:p>
        </w:tc>
        <w:tc>
          <w:tcPr>
            <w:tcW w:w="1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color w:val="auto"/>
              </w:rPr>
              <w:t>167.0</w:t>
            </w:r>
          </w:p>
        </w:tc>
        <w:tc>
          <w:tcPr>
            <w:tcW w:w="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400.1</w:t>
            </w:r>
          </w:p>
        </w:tc>
        <w:tc>
          <w:tcPr>
            <w:tcW w:w="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43.4</w:t>
            </w:r>
          </w:p>
        </w:tc>
        <w:tc>
          <w:tcPr>
            <w:tcW w:w="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90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1,274.7</w:t>
            </w:r>
          </w:p>
        </w:tc>
        <w:tc>
          <w:tcPr>
            <w:tcW w:w="0" w:type="dxa"/>
            <w:vAlign w:val="bottom"/>
          </w:tcPr>
          <w:p>
            <w:pPr>
              <w:spacing w:after="0"/>
              <w:rPr>
                <w:sz w:val="1"/>
                <w:szCs w:val="1"/>
                <w:color w:val="auto"/>
              </w:rPr>
            </w:pPr>
          </w:p>
        </w:tc>
      </w:tr>
      <w:tr>
        <w:trPr>
          <w:trHeight w:val="45"/>
        </w:trPr>
        <w:tc>
          <w:tcPr>
            <w:tcW w:w="4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4900" w:type="dxa"/>
            <w:vAlign w:val="bottom"/>
            <w:shd w:val="clear" w:color="auto" w:fill="CCEEFF"/>
          </w:tcPr>
          <w:p>
            <w:pPr>
              <w:spacing w:after="0" w:line="144" w:lineRule="exact"/>
              <w:rPr>
                <w:sz w:val="20"/>
                <w:szCs w:val="20"/>
                <w:color w:val="auto"/>
              </w:rPr>
            </w:pPr>
            <w:r>
              <w:rPr>
                <w:rFonts w:ascii="Arial" w:cs="Arial" w:eastAsia="Arial" w:hAnsi="Arial"/>
                <w:sz w:val="11"/>
                <w:szCs w:val="11"/>
                <w:color w:val="auto"/>
              </w:rPr>
              <w:t>Net cash flows</w:t>
            </w:r>
            <w:r>
              <w:rPr>
                <w:rFonts w:ascii="Arial" w:cs="Arial" w:eastAsia="Arial" w:hAnsi="Arial"/>
                <w:sz w:val="14"/>
                <w:szCs w:val="14"/>
                <w:color w:val="auto"/>
                <w:vertAlign w:val="superscript"/>
              </w:rPr>
              <w:t>(3)</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(62.7)</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(0.8)</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9.1</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0.9</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(53.5)</w:t>
            </w:r>
          </w:p>
        </w:tc>
        <w:tc>
          <w:tcPr>
            <w:tcW w:w="0" w:type="dxa"/>
            <w:vAlign w:val="bottom"/>
          </w:tcPr>
          <w:p>
            <w:pPr>
              <w:spacing w:after="0"/>
              <w:rPr>
                <w:sz w:val="1"/>
                <w:szCs w:val="1"/>
                <w:color w:val="auto"/>
              </w:rPr>
            </w:pPr>
          </w:p>
        </w:tc>
      </w:tr>
      <w:tr>
        <w:trPr>
          <w:trHeight w:val="144"/>
        </w:trPr>
        <w:tc>
          <w:tcPr>
            <w:tcW w:w="4900" w:type="dxa"/>
            <w:vAlign w:val="bottom"/>
            <w:tcBorders>
              <w:bottom w:val="single" w:sz="8" w:color="CCEEFF"/>
            </w:tcBorders>
          </w:tcPr>
          <w:p>
            <w:pPr>
              <w:spacing w:after="0" w:line="144" w:lineRule="exact"/>
              <w:rPr>
                <w:sz w:val="20"/>
                <w:szCs w:val="20"/>
                <w:color w:val="auto"/>
              </w:rPr>
            </w:pPr>
            <w:r>
              <w:rPr>
                <w:rFonts w:ascii="Arial" w:cs="Arial" w:eastAsia="Arial" w:hAnsi="Arial"/>
                <w:sz w:val="11"/>
                <w:szCs w:val="11"/>
                <w:color w:val="auto"/>
              </w:rPr>
              <w:t>Net market appreciation and gains</w:t>
            </w:r>
            <w:r>
              <w:rPr>
                <w:rFonts w:ascii="Arial" w:cs="Arial" w:eastAsia="Arial" w:hAnsi="Arial"/>
                <w:sz w:val="14"/>
                <w:szCs w:val="14"/>
                <w:color w:val="auto"/>
                <w:vertAlign w:val="superscript"/>
              </w:rPr>
              <w:t>(4)</w:t>
            </w: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88.5</w:t>
            </w:r>
          </w:p>
        </w:tc>
        <w:tc>
          <w:tcPr>
            <w:tcW w:w="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1"/>
                <w:szCs w:val="11"/>
                <w:color w:val="auto"/>
              </w:rPr>
              <w:t>3.1</w:t>
            </w: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31.3</w:t>
            </w: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2.4</w:t>
            </w:r>
          </w:p>
        </w:tc>
        <w:tc>
          <w:tcPr>
            <w:tcW w:w="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125.3</w:t>
            </w:r>
          </w:p>
        </w:tc>
        <w:tc>
          <w:tcPr>
            <w:tcW w:w="0" w:type="dxa"/>
            <w:vAlign w:val="bottom"/>
          </w:tcPr>
          <w:p>
            <w:pPr>
              <w:spacing w:after="0"/>
              <w:rPr>
                <w:sz w:val="1"/>
                <w:szCs w:val="1"/>
                <w:color w:val="auto"/>
              </w:rPr>
            </w:pPr>
          </w:p>
        </w:tc>
      </w:tr>
      <w:tr>
        <w:trPr>
          <w:trHeight w:val="131"/>
        </w:trPr>
        <w:tc>
          <w:tcPr>
            <w:tcW w:w="4900" w:type="dxa"/>
            <w:vAlign w:val="bottom"/>
            <w:shd w:val="clear" w:color="auto" w:fill="CCEEFF"/>
          </w:tcPr>
          <w:p>
            <w:pPr>
              <w:spacing w:after="0"/>
              <w:rPr>
                <w:sz w:val="20"/>
                <w:szCs w:val="20"/>
                <w:color w:val="auto"/>
              </w:rPr>
            </w:pPr>
            <w:r>
              <w:rPr>
                <w:rFonts w:ascii="Arial" w:cs="Arial" w:eastAsia="Arial" w:hAnsi="Arial"/>
                <w:sz w:val="11"/>
                <w:szCs w:val="11"/>
                <w:color w:val="auto"/>
              </w:rPr>
              <w:t>Change during the period</w:t>
            </w:r>
          </w:p>
        </w:tc>
        <w:tc>
          <w:tcPr>
            <w:tcW w:w="2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25.8</w:t>
            </w:r>
          </w:p>
        </w:tc>
        <w:tc>
          <w:tcPr>
            <w:tcW w:w="6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color w:val="auto"/>
              </w:rPr>
              <w:t>2.3</w:t>
            </w:r>
          </w:p>
        </w:tc>
        <w:tc>
          <w:tcPr>
            <w:tcW w:w="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40.4</w:t>
            </w:r>
          </w:p>
        </w:tc>
        <w:tc>
          <w:tcPr>
            <w:tcW w:w="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3.3</w:t>
            </w:r>
          </w:p>
        </w:tc>
        <w:tc>
          <w:tcPr>
            <w:tcW w:w="6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71.8</w:t>
            </w:r>
          </w:p>
        </w:tc>
        <w:tc>
          <w:tcPr>
            <w:tcW w:w="0" w:type="dxa"/>
            <w:vAlign w:val="bottom"/>
          </w:tcPr>
          <w:p>
            <w:pPr>
              <w:spacing w:after="0"/>
              <w:rPr>
                <w:sz w:val="1"/>
                <w:szCs w:val="1"/>
                <w:color w:val="auto"/>
              </w:rPr>
            </w:pPr>
          </w:p>
        </w:tc>
      </w:tr>
      <w:tr>
        <w:trPr>
          <w:trHeight w:val="135"/>
        </w:trPr>
        <w:tc>
          <w:tcPr>
            <w:tcW w:w="4900" w:type="dxa"/>
            <w:vAlign w:val="bottom"/>
          </w:tcPr>
          <w:p>
            <w:pPr>
              <w:spacing w:after="0"/>
              <w:rPr>
                <w:sz w:val="20"/>
                <w:szCs w:val="20"/>
                <w:color w:val="auto"/>
              </w:rPr>
            </w:pPr>
            <w:r>
              <w:rPr>
                <w:rFonts w:ascii="Arial" w:cs="Arial" w:eastAsia="Arial" w:hAnsi="Arial"/>
                <w:sz w:val="11"/>
                <w:szCs w:val="11"/>
                <w:color w:val="auto"/>
              </w:rPr>
              <w:t>Assets under management at September 30, 2023</w:t>
            </w:r>
          </w:p>
        </w:tc>
        <w:tc>
          <w:tcPr>
            <w:tcW w:w="2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690.0</w:t>
            </w:r>
          </w:p>
        </w:tc>
        <w:tc>
          <w:tcPr>
            <w:tcW w:w="60" w:type="dxa"/>
            <w:vAlign w:val="bottom"/>
          </w:tcPr>
          <w:p>
            <w:pPr>
              <w:spacing w:after="0"/>
              <w:rPr>
                <w:sz w:val="11"/>
                <w:szCs w:val="11"/>
                <w:color w:val="auto"/>
              </w:rPr>
            </w:pPr>
          </w:p>
        </w:tc>
        <w:tc>
          <w:tcPr>
            <w:tcW w:w="320" w:type="dxa"/>
            <w:vAlign w:val="bottom"/>
            <w:tcBorders>
              <w:bottom w:val="single" w:sz="8" w:color="auto"/>
            </w:tcBorders>
          </w:tcPr>
          <w:p>
            <w:pPr>
              <w:jc w:val="right"/>
              <w:ind w:right="188"/>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1"/>
                <w:szCs w:val="11"/>
                <w:color w:val="auto"/>
              </w:rPr>
              <w:t>169.3</w:t>
            </w:r>
          </w:p>
        </w:tc>
        <w:tc>
          <w:tcPr>
            <w:tcW w:w="60" w:type="dxa"/>
            <w:vAlign w:val="bottom"/>
          </w:tcPr>
          <w:p>
            <w:pPr>
              <w:spacing w:after="0"/>
              <w:rPr>
                <w:sz w:val="11"/>
                <w:szCs w:val="11"/>
                <w:color w:val="auto"/>
              </w:rPr>
            </w:pPr>
          </w:p>
        </w:tc>
        <w:tc>
          <w:tcPr>
            <w:tcW w:w="2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440.5</w:t>
            </w:r>
          </w:p>
        </w:tc>
        <w:tc>
          <w:tcPr>
            <w:tcW w:w="60" w:type="dxa"/>
            <w:vAlign w:val="bottom"/>
          </w:tcPr>
          <w:p>
            <w:pPr>
              <w:spacing w:after="0"/>
              <w:rPr>
                <w:sz w:val="11"/>
                <w:szCs w:val="11"/>
                <w:color w:val="auto"/>
              </w:rPr>
            </w:pPr>
          </w:p>
        </w:tc>
        <w:tc>
          <w:tcPr>
            <w:tcW w:w="2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46.7</w:t>
            </w:r>
          </w:p>
        </w:tc>
        <w:tc>
          <w:tcPr>
            <w:tcW w:w="60" w:type="dxa"/>
            <w:vAlign w:val="bottom"/>
          </w:tcPr>
          <w:p>
            <w:pPr>
              <w:spacing w:after="0"/>
              <w:rPr>
                <w:sz w:val="11"/>
                <w:szCs w:val="11"/>
                <w:color w:val="auto"/>
              </w:rPr>
            </w:pPr>
          </w:p>
        </w:tc>
        <w:tc>
          <w:tcPr>
            <w:tcW w:w="30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1,346.5</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 w:lineRule="exact"/>
        <w:rPr>
          <w:sz w:val="20"/>
          <w:szCs w:val="20"/>
          <w:color w:val="auto"/>
        </w:rPr>
      </w:pPr>
    </w:p>
    <w:p>
      <w:pPr>
        <w:ind w:left="148" w:hanging="148"/>
        <w:spacing w:after="0"/>
        <w:tabs>
          <w:tab w:leader="none" w:pos="148" w:val="left"/>
        </w:tabs>
        <w:numPr>
          <w:ilvl w:val="0"/>
          <w:numId w:val="11"/>
        </w:numPr>
        <w:rPr>
          <w:rFonts w:ascii="Arial" w:cs="Arial" w:eastAsia="Arial" w:hAnsi="Arial"/>
          <w:sz w:val="11"/>
          <w:szCs w:val="11"/>
          <w:i w:val="1"/>
          <w:iCs w:val="1"/>
          <w:color w:val="auto"/>
          <w:vertAlign w:val="superscript"/>
        </w:rPr>
      </w:pPr>
      <w:r>
        <w:rPr>
          <w:rFonts w:ascii="Arial" w:cs="Arial" w:eastAsia="Arial" w:hAnsi="Arial"/>
          <w:sz w:val="8"/>
          <w:szCs w:val="8"/>
          <w:i w:val="1"/>
          <w:iCs w:val="1"/>
          <w:color w:val="auto"/>
        </w:rPr>
        <w:t>The underlying AUM of the multi-asset portfolios have been aggregated and presented in this category and not reported in the equity and fixed income columns.</w:t>
      </w:r>
    </w:p>
    <w:p>
      <w:pPr>
        <w:ind w:left="108" w:right="140" w:hanging="108"/>
        <w:spacing w:after="0" w:line="229" w:lineRule="auto"/>
        <w:tabs>
          <w:tab w:leader="none" w:pos="82" w:val="left"/>
        </w:tabs>
        <w:numPr>
          <w:ilvl w:val="0"/>
          <w:numId w:val="11"/>
        </w:numPr>
        <w:rPr>
          <w:rFonts w:ascii="Arial" w:cs="Arial" w:eastAsia="Arial" w:hAnsi="Arial"/>
          <w:sz w:val="10"/>
          <w:szCs w:val="10"/>
          <w:i w:val="1"/>
          <w:iCs w:val="1"/>
          <w:color w:val="auto"/>
          <w:vertAlign w:val="superscript"/>
        </w:rPr>
      </w:pPr>
      <w:r>
        <w:rPr>
          <w:rFonts w:ascii="Arial" w:cs="Arial" w:eastAsia="Arial" w:hAnsi="Arial"/>
          <w:sz w:val="8"/>
          <w:szCs w:val="8"/>
          <w:i w:val="1"/>
          <w:iCs w:val="1"/>
          <w:color w:val="auto"/>
        </w:rPr>
        <w:t>The alternatives asset class includes strategies authorized to invest more than 50% of its holdings in private credit, leveraged loans, mezzanine, real assets/CRE, structured products, stressed/distressed, non-investment grade CLOs, special situations, business development companies, or that have absolute return as its investment objective. Generally, only those strategies with longer than daily liquidity are included.</w:t>
      </w:r>
    </w:p>
    <w:p>
      <w:pPr>
        <w:ind w:left="128" w:hanging="128"/>
        <w:spacing w:after="0" w:line="187" w:lineRule="auto"/>
        <w:tabs>
          <w:tab w:leader="none" w:pos="128" w:val="left"/>
        </w:tabs>
        <w:numPr>
          <w:ilvl w:val="0"/>
          <w:numId w:val="11"/>
        </w:numPr>
        <w:rPr>
          <w:rFonts w:ascii="Arial" w:cs="Arial" w:eastAsia="Arial" w:hAnsi="Arial"/>
          <w:sz w:val="11"/>
          <w:szCs w:val="11"/>
          <w:color w:val="auto"/>
          <w:vertAlign w:val="superscript"/>
        </w:rPr>
      </w:pPr>
      <w:r>
        <w:rPr>
          <w:rFonts w:ascii="Arial" w:cs="Arial" w:eastAsia="Arial" w:hAnsi="Arial"/>
          <w:sz w:val="8"/>
          <w:szCs w:val="8"/>
          <w:i w:val="1"/>
          <w:iCs w:val="1"/>
          <w:color w:val="auto"/>
        </w:rPr>
        <w:t>Alternatives net cash flows include $1.6 billion in outflows that represent investment manager-driven distributions.</w:t>
      </w:r>
    </w:p>
    <w:p>
      <w:pPr>
        <w:ind w:left="88" w:hanging="88"/>
        <w:spacing w:after="0" w:line="208" w:lineRule="auto"/>
        <w:tabs>
          <w:tab w:leader="none" w:pos="88" w:val="left"/>
        </w:tabs>
        <w:numPr>
          <w:ilvl w:val="0"/>
          <w:numId w:val="11"/>
        </w:numPr>
        <w:rPr>
          <w:rFonts w:ascii="Arial" w:cs="Arial" w:eastAsia="Arial" w:hAnsi="Arial"/>
          <w:sz w:val="10"/>
          <w:szCs w:val="10"/>
          <w:i w:val="1"/>
          <w:iCs w:val="1"/>
          <w:color w:val="auto"/>
          <w:vertAlign w:val="superscript"/>
        </w:rPr>
      </w:pPr>
      <w:r>
        <w:rPr>
          <w:rFonts w:ascii="Arial" w:cs="Arial" w:eastAsia="Arial" w:hAnsi="Arial"/>
          <w:sz w:val="8"/>
          <w:szCs w:val="8"/>
          <w:i w:val="1"/>
          <w:iCs w:val="1"/>
          <w:color w:val="auto"/>
        </w:rPr>
        <w:t>Includes net distributions not reinvested of $0.6 billion.</w:t>
      </w:r>
    </w:p>
    <w:p>
      <w:pPr>
        <w:spacing w:after="0" w:line="192"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74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Net Revenues</w:t>
            </w:r>
          </w:p>
        </w:tc>
        <w:tc>
          <w:tcPr>
            <w:tcW w:w="22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1"/>
                <w:szCs w:val="11"/>
                <w:color w:val="auto"/>
              </w:rPr>
              <w:t>Nine months ended</w:t>
            </w:r>
          </w:p>
        </w:tc>
        <w:tc>
          <w:tcPr>
            <w:tcW w:w="1280" w:type="dxa"/>
            <w:vAlign w:val="bottom"/>
            <w:tcBorders>
              <w:bottom w:val="single" w:sz="8" w:color="auto"/>
            </w:tcBorders>
            <w:shd w:val="clear" w:color="auto" w:fill="CCEEFF"/>
          </w:tcPr>
          <w:p>
            <w:pPr>
              <w:spacing w:after="0"/>
              <w:rPr>
                <w:sz w:val="12"/>
                <w:szCs w:val="12"/>
                <w:color w:val="auto"/>
              </w:rPr>
            </w:pPr>
          </w:p>
        </w:tc>
      </w:tr>
      <w:tr>
        <w:trPr>
          <w:trHeight w:val="131"/>
        </w:trPr>
        <w:tc>
          <w:tcPr>
            <w:tcW w:w="748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(in millions)</w:t>
            </w:r>
          </w:p>
        </w:tc>
        <w:tc>
          <w:tcPr>
            <w:tcW w:w="2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306"/>
              <w:spacing w:after="0"/>
              <w:rPr>
                <w:sz w:val="20"/>
                <w:szCs w:val="20"/>
                <w:color w:val="auto"/>
              </w:rPr>
            </w:pPr>
            <w:r>
              <w:rPr>
                <w:rFonts w:ascii="Arial" w:cs="Arial" w:eastAsia="Arial" w:hAnsi="Arial"/>
                <w:sz w:val="11"/>
                <w:szCs w:val="11"/>
                <w:color w:val="auto"/>
              </w:rPr>
              <w:t>9/30/2023</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286"/>
              <w:spacing w:after="0"/>
              <w:rPr>
                <w:sz w:val="20"/>
                <w:szCs w:val="20"/>
                <w:color w:val="auto"/>
              </w:rPr>
            </w:pPr>
            <w:r>
              <w:rPr>
                <w:rFonts w:ascii="Arial" w:cs="Arial" w:eastAsia="Arial" w:hAnsi="Arial"/>
                <w:sz w:val="11"/>
                <w:szCs w:val="11"/>
                <w:color w:val="auto"/>
              </w:rPr>
              <w:t>9/30/2022</w:t>
            </w:r>
          </w:p>
        </w:tc>
        <w:tc>
          <w:tcPr>
            <w:tcW w:w="80" w:type="dxa"/>
            <w:vAlign w:val="bottom"/>
            <w:tcBorders>
              <w:bottom w:val="single" w:sz="8" w:color="CCEEFF"/>
            </w:tcBorders>
          </w:tcPr>
          <w:p>
            <w:pPr>
              <w:spacing w:after="0"/>
              <w:rPr>
                <w:sz w:val="11"/>
                <w:szCs w:val="11"/>
                <w:color w:val="auto"/>
              </w:rPr>
            </w:pPr>
          </w:p>
        </w:tc>
        <w:tc>
          <w:tcPr>
            <w:tcW w:w="128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color w:val="auto"/>
              </w:rPr>
              <w:t>% Change</w:t>
            </w:r>
          </w:p>
        </w:tc>
      </w:tr>
      <w:tr>
        <w:trPr>
          <w:trHeight w:val="126"/>
        </w:trPr>
        <w:tc>
          <w:tcPr>
            <w:tcW w:w="74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Investment advisory fees</w:t>
            </w: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r>
      <w:tr>
        <w:trPr>
          <w:trHeight w:val="142"/>
        </w:trPr>
        <w:tc>
          <w:tcPr>
            <w:tcW w:w="7480" w:type="dxa"/>
            <w:vAlign w:val="bottom"/>
          </w:tcPr>
          <w:p>
            <w:pPr>
              <w:ind w:left="60"/>
              <w:spacing w:after="0"/>
              <w:rPr>
                <w:sz w:val="20"/>
                <w:szCs w:val="20"/>
                <w:color w:val="auto"/>
              </w:rPr>
            </w:pPr>
            <w:r>
              <w:rPr>
                <w:rFonts w:ascii="Arial" w:cs="Arial" w:eastAsia="Arial" w:hAnsi="Arial"/>
                <w:sz w:val="11"/>
                <w:szCs w:val="11"/>
                <w:color w:val="auto"/>
              </w:rPr>
              <w:t>Equity</w:t>
            </w: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2,581.2</w:t>
            </w:r>
          </w:p>
        </w:tc>
        <w:tc>
          <w:tcPr>
            <w:tcW w:w="8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2,924.0</w:t>
            </w:r>
          </w:p>
        </w:tc>
        <w:tc>
          <w:tcPr>
            <w:tcW w:w="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(11.7)%</w:t>
            </w:r>
          </w:p>
        </w:tc>
      </w:tr>
      <w:tr>
        <w:trPr>
          <w:trHeight w:val="146"/>
        </w:trPr>
        <w:tc>
          <w:tcPr>
            <w:tcW w:w="7480" w:type="dxa"/>
            <w:vAlign w:val="bottom"/>
            <w:shd w:val="clear" w:color="auto" w:fill="CCEEFF"/>
          </w:tcPr>
          <w:p>
            <w:pPr>
              <w:ind w:left="60"/>
              <w:spacing w:after="0"/>
              <w:rPr>
                <w:sz w:val="20"/>
                <w:szCs w:val="20"/>
                <w:color w:val="auto"/>
              </w:rPr>
            </w:pPr>
            <w:r>
              <w:rPr>
                <w:rFonts w:ascii="Arial" w:cs="Arial" w:eastAsia="Arial" w:hAnsi="Arial"/>
                <w:sz w:val="11"/>
                <w:szCs w:val="11"/>
                <w:color w:val="auto"/>
              </w:rPr>
              <w:t>Fixed income, including money market</w:t>
            </w: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303.3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324.1</w:t>
            </w: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w:t>
            </w:r>
          </w:p>
        </w:tc>
      </w:tr>
      <w:tr>
        <w:trPr>
          <w:trHeight w:val="142"/>
        </w:trPr>
        <w:tc>
          <w:tcPr>
            <w:tcW w:w="7480" w:type="dxa"/>
            <w:vAlign w:val="bottom"/>
          </w:tcPr>
          <w:p>
            <w:pPr>
              <w:ind w:left="60"/>
              <w:spacing w:after="0"/>
              <w:rPr>
                <w:sz w:val="20"/>
                <w:szCs w:val="20"/>
                <w:color w:val="auto"/>
              </w:rPr>
            </w:pPr>
            <w:r>
              <w:rPr>
                <w:rFonts w:ascii="Arial" w:cs="Arial" w:eastAsia="Arial" w:hAnsi="Arial"/>
                <w:sz w:val="11"/>
                <w:szCs w:val="11"/>
                <w:color w:val="auto"/>
              </w:rPr>
              <w:t>Multi-asset</w:t>
            </w:r>
          </w:p>
        </w:tc>
        <w:tc>
          <w:tcPr>
            <w:tcW w:w="2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1,182.8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1,149.3</w:t>
            </w:r>
          </w:p>
        </w:tc>
        <w:tc>
          <w:tcPr>
            <w:tcW w:w="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2.9 %</w:t>
            </w:r>
          </w:p>
        </w:tc>
      </w:tr>
      <w:tr>
        <w:trPr>
          <w:trHeight w:val="146"/>
        </w:trPr>
        <w:tc>
          <w:tcPr>
            <w:tcW w:w="7480" w:type="dxa"/>
            <w:vAlign w:val="bottom"/>
            <w:shd w:val="clear" w:color="auto" w:fill="CCEEFF"/>
          </w:tcPr>
          <w:p>
            <w:pPr>
              <w:ind w:left="60"/>
              <w:spacing w:after="0"/>
              <w:rPr>
                <w:sz w:val="20"/>
                <w:szCs w:val="20"/>
                <w:color w:val="auto"/>
              </w:rPr>
            </w:pPr>
            <w:r>
              <w:rPr>
                <w:rFonts w:ascii="Arial" w:cs="Arial" w:eastAsia="Arial" w:hAnsi="Arial"/>
                <w:sz w:val="11"/>
                <w:szCs w:val="11"/>
                <w:color w:val="auto"/>
              </w:rPr>
              <w:t>Alternatives</w:t>
            </w:r>
          </w:p>
        </w:tc>
        <w:tc>
          <w:tcPr>
            <w:tcW w:w="22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219.2</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203.4</w:t>
            </w:r>
          </w:p>
        </w:tc>
        <w:tc>
          <w:tcPr>
            <w:tcW w:w="80" w:type="dxa"/>
            <w:vAlign w:val="bottom"/>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7.8 %</w:t>
            </w:r>
          </w:p>
        </w:tc>
      </w:tr>
      <w:tr>
        <w:trPr>
          <w:trHeight w:val="133"/>
        </w:trPr>
        <w:tc>
          <w:tcPr>
            <w:tcW w:w="7480" w:type="dxa"/>
            <w:vAlign w:val="bottom"/>
          </w:tcPr>
          <w:p>
            <w:pPr>
              <w:spacing w:after="0"/>
              <w:rPr>
                <w:sz w:val="20"/>
                <w:szCs w:val="20"/>
                <w:color w:val="auto"/>
              </w:rPr>
            </w:pPr>
            <w:r>
              <w:rPr>
                <w:rFonts w:ascii="Arial" w:cs="Arial" w:eastAsia="Arial" w:hAnsi="Arial"/>
                <w:sz w:val="11"/>
                <w:szCs w:val="11"/>
                <w:b w:val="1"/>
                <w:bCs w:val="1"/>
                <w:color w:val="auto"/>
              </w:rPr>
              <w:t>Total investment advisory fees</w:t>
            </w: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4,286.5</w:t>
            </w:r>
          </w:p>
        </w:tc>
        <w:tc>
          <w:tcPr>
            <w:tcW w:w="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4,600.8</w:t>
            </w:r>
          </w:p>
        </w:tc>
        <w:tc>
          <w:tcPr>
            <w:tcW w:w="8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Arial" w:cs="Arial" w:eastAsia="Arial" w:hAnsi="Arial"/>
                <w:sz w:val="11"/>
                <w:szCs w:val="11"/>
                <w:b w:val="1"/>
                <w:bCs w:val="1"/>
                <w:color w:val="auto"/>
              </w:rPr>
              <w:t>(6.8)%</w:t>
            </w:r>
          </w:p>
        </w:tc>
      </w:tr>
      <w:tr>
        <w:trPr>
          <w:trHeight w:val="144"/>
        </w:trPr>
        <w:tc>
          <w:tcPr>
            <w:tcW w:w="7480" w:type="dxa"/>
            <w:vAlign w:val="bottom"/>
            <w:shd w:val="clear" w:color="auto" w:fill="CCEEFF"/>
          </w:tcPr>
          <w:p>
            <w:pPr>
              <w:spacing w:after="0" w:line="144" w:lineRule="exact"/>
              <w:rPr>
                <w:sz w:val="20"/>
                <w:szCs w:val="20"/>
                <w:color w:val="auto"/>
              </w:rPr>
            </w:pPr>
            <w:r>
              <w:rPr>
                <w:rFonts w:ascii="Arial" w:cs="Arial" w:eastAsia="Arial" w:hAnsi="Arial"/>
                <w:sz w:val="11"/>
                <w:szCs w:val="11"/>
                <w:color w:val="auto"/>
              </w:rPr>
              <w:t>Capital allocation-based income</w:t>
            </w:r>
            <w:r>
              <w:rPr>
                <w:rFonts w:ascii="Arial" w:cs="Arial" w:eastAsia="Arial" w:hAnsi="Arial"/>
                <w:sz w:val="14"/>
                <w:szCs w:val="14"/>
                <w:color w:val="auto"/>
                <w:vertAlign w:val="superscript"/>
              </w:rPr>
              <w:t>(1)</w:t>
            </w: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121.7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(80.8)</w:t>
            </w: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n/m</w:t>
            </w:r>
          </w:p>
        </w:tc>
      </w:tr>
      <w:tr>
        <w:trPr>
          <w:trHeight w:val="142"/>
        </w:trPr>
        <w:tc>
          <w:tcPr>
            <w:tcW w:w="748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Administrative, distribution, and servicing fees</w:t>
            </w: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410.3</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444.2</w:t>
            </w:r>
          </w:p>
        </w:tc>
        <w:tc>
          <w:tcPr>
            <w:tcW w:w="80" w:type="dxa"/>
            <w:vAlign w:val="bottom"/>
            <w:tcBorders>
              <w:bottom w:val="single" w:sz="8" w:color="CCEEFF"/>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(7.6)%</w:t>
            </w:r>
          </w:p>
        </w:tc>
      </w:tr>
      <w:tr>
        <w:trPr>
          <w:trHeight w:val="147"/>
        </w:trPr>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Net revenues</w:t>
            </w: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4,818.5</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4,964.2</w:t>
            </w:r>
          </w:p>
        </w:tc>
        <w:tc>
          <w:tcPr>
            <w:tcW w:w="8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(2.9)%</w:t>
            </w:r>
          </w:p>
        </w:tc>
      </w:tr>
      <w:tr>
        <w:trPr>
          <w:trHeight w:val="23"/>
        </w:trPr>
        <w:tc>
          <w:tcPr>
            <w:tcW w:w="7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44"/>
        </w:trPr>
        <w:tc>
          <w:tcPr>
            <w:tcW w:w="74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Average AUM (in billions):</w:t>
            </w: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r>
      <w:tr>
        <w:trPr>
          <w:trHeight w:val="142"/>
        </w:trPr>
        <w:tc>
          <w:tcPr>
            <w:tcW w:w="7480" w:type="dxa"/>
            <w:vAlign w:val="bottom"/>
          </w:tcPr>
          <w:p>
            <w:pPr>
              <w:ind w:left="60"/>
              <w:spacing w:after="0"/>
              <w:rPr>
                <w:sz w:val="20"/>
                <w:szCs w:val="20"/>
                <w:color w:val="auto"/>
              </w:rPr>
            </w:pPr>
            <w:r>
              <w:rPr>
                <w:rFonts w:ascii="Arial" w:cs="Arial" w:eastAsia="Arial" w:hAnsi="Arial"/>
                <w:sz w:val="11"/>
                <w:szCs w:val="11"/>
                <w:color w:val="auto"/>
              </w:rPr>
              <w:t>Equity</w:t>
            </w: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705.3</w:t>
            </w:r>
          </w:p>
        </w:tc>
        <w:tc>
          <w:tcPr>
            <w:tcW w:w="8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793.0</w:t>
            </w:r>
          </w:p>
        </w:tc>
        <w:tc>
          <w:tcPr>
            <w:tcW w:w="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(11.1)%</w:t>
            </w:r>
          </w:p>
        </w:tc>
      </w:tr>
      <w:tr>
        <w:trPr>
          <w:trHeight w:val="146"/>
        </w:trPr>
        <w:tc>
          <w:tcPr>
            <w:tcW w:w="7480" w:type="dxa"/>
            <w:vAlign w:val="bottom"/>
            <w:shd w:val="clear" w:color="auto" w:fill="CCEEFF"/>
          </w:tcPr>
          <w:p>
            <w:pPr>
              <w:ind w:left="60"/>
              <w:spacing w:after="0"/>
              <w:rPr>
                <w:sz w:val="20"/>
                <w:szCs w:val="20"/>
                <w:color w:val="auto"/>
              </w:rPr>
            </w:pPr>
            <w:r>
              <w:rPr>
                <w:rFonts w:ascii="Arial" w:cs="Arial" w:eastAsia="Arial" w:hAnsi="Arial"/>
                <w:sz w:val="11"/>
                <w:szCs w:val="11"/>
                <w:color w:val="auto"/>
              </w:rPr>
              <w:t>Fixed income, including money market</w:t>
            </w: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169.6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175.1</w:t>
            </w: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w:t>
            </w:r>
          </w:p>
        </w:tc>
      </w:tr>
      <w:tr>
        <w:trPr>
          <w:trHeight w:val="142"/>
        </w:trPr>
        <w:tc>
          <w:tcPr>
            <w:tcW w:w="7480" w:type="dxa"/>
            <w:vAlign w:val="bottom"/>
          </w:tcPr>
          <w:p>
            <w:pPr>
              <w:ind w:left="60"/>
              <w:spacing w:after="0"/>
              <w:rPr>
                <w:sz w:val="20"/>
                <w:szCs w:val="20"/>
                <w:color w:val="auto"/>
              </w:rPr>
            </w:pPr>
            <w:r>
              <w:rPr>
                <w:rFonts w:ascii="Arial" w:cs="Arial" w:eastAsia="Arial" w:hAnsi="Arial"/>
                <w:sz w:val="11"/>
                <w:szCs w:val="11"/>
                <w:color w:val="auto"/>
              </w:rPr>
              <w:t>Multi-asset</w:t>
            </w:r>
          </w:p>
        </w:tc>
        <w:tc>
          <w:tcPr>
            <w:tcW w:w="2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438.5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426.6</w:t>
            </w:r>
          </w:p>
        </w:tc>
        <w:tc>
          <w:tcPr>
            <w:tcW w:w="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2.8 %</w:t>
            </w:r>
          </w:p>
        </w:tc>
      </w:tr>
      <w:tr>
        <w:trPr>
          <w:trHeight w:val="144"/>
        </w:trPr>
        <w:tc>
          <w:tcPr>
            <w:tcW w:w="7480" w:type="dxa"/>
            <w:vAlign w:val="bottom"/>
            <w:shd w:val="clear" w:color="auto" w:fill="CCEEFF"/>
          </w:tcPr>
          <w:p>
            <w:pPr>
              <w:ind w:left="60"/>
              <w:spacing w:after="0"/>
              <w:rPr>
                <w:sz w:val="20"/>
                <w:szCs w:val="20"/>
                <w:color w:val="auto"/>
              </w:rPr>
            </w:pPr>
            <w:r>
              <w:rPr>
                <w:rFonts w:ascii="Arial" w:cs="Arial" w:eastAsia="Arial" w:hAnsi="Arial"/>
                <w:sz w:val="11"/>
                <w:szCs w:val="11"/>
                <w:color w:val="auto"/>
              </w:rPr>
              <w:t>Alternatives</w:t>
            </w:r>
          </w:p>
        </w:tc>
        <w:tc>
          <w:tcPr>
            <w:tcW w:w="22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44.8</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42.4</w:t>
            </w:r>
          </w:p>
        </w:tc>
        <w:tc>
          <w:tcPr>
            <w:tcW w:w="80" w:type="dxa"/>
            <w:vAlign w:val="bottom"/>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5.7 %</w:t>
            </w:r>
          </w:p>
        </w:tc>
      </w:tr>
      <w:tr>
        <w:trPr>
          <w:trHeight w:val="146"/>
        </w:trPr>
        <w:tc>
          <w:tcPr>
            <w:tcW w:w="748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Average AUM</w:t>
            </w:r>
          </w:p>
        </w:tc>
        <w:tc>
          <w:tcPr>
            <w:tcW w:w="2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1,358.2</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1,437.1</w:t>
            </w:r>
          </w:p>
        </w:tc>
        <w:tc>
          <w:tcPr>
            <w:tcW w:w="80" w:type="dxa"/>
            <w:vAlign w:val="bottom"/>
            <w:tcBorders>
              <w:bottom w:val="single" w:sz="8" w:color="CCEEFF"/>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(5.5)%</w:t>
            </w:r>
          </w:p>
        </w:tc>
      </w:tr>
      <w:tr>
        <w:trPr>
          <w:trHeight w:val="23"/>
        </w:trPr>
        <w:tc>
          <w:tcPr>
            <w:tcW w:w="74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r>
    </w:tbl>
    <w:p>
      <w:pPr>
        <w:spacing w:after="0" w:line="35" w:lineRule="exact"/>
        <w:rPr>
          <w:sz w:val="20"/>
          <w:szCs w:val="20"/>
          <w:color w:val="auto"/>
        </w:rPr>
      </w:pPr>
    </w:p>
    <w:p>
      <w:pPr>
        <w:ind w:left="88" w:hanging="88"/>
        <w:spacing w:after="0"/>
        <w:tabs>
          <w:tab w:leader="none" w:pos="88" w:val="left"/>
        </w:tabs>
        <w:numPr>
          <w:ilvl w:val="0"/>
          <w:numId w:val="12"/>
        </w:numPr>
        <w:rPr>
          <w:rFonts w:ascii="Arial" w:cs="Arial" w:eastAsia="Arial" w:hAnsi="Arial"/>
          <w:sz w:val="10"/>
          <w:szCs w:val="10"/>
          <w:i w:val="1"/>
          <w:iCs w:val="1"/>
          <w:color w:val="auto"/>
          <w:vertAlign w:val="superscript"/>
        </w:rPr>
      </w:pPr>
      <w:r>
        <w:rPr>
          <w:rFonts w:ascii="Arial" w:cs="Arial" w:eastAsia="Arial" w:hAnsi="Arial"/>
          <w:sz w:val="7"/>
          <w:szCs w:val="7"/>
          <w:i w:val="1"/>
          <w:iCs w:val="1"/>
          <w:color w:val="auto"/>
        </w:rPr>
        <w:t>The percentage change is not meaningful (n/m).</w:t>
      </w:r>
    </w:p>
    <w:p>
      <w:pPr>
        <w:spacing w:after="0" w:line="183"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88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Non-Operating Income (Loss)</w:t>
            </w: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42"/>
        </w:trPr>
        <w:tc>
          <w:tcPr>
            <w:tcW w:w="880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(in millions)</w:t>
            </w:r>
          </w:p>
        </w:tc>
        <w:tc>
          <w:tcPr>
            <w:tcW w:w="22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gridSpan w:val="4"/>
          </w:tcPr>
          <w:p>
            <w:pPr>
              <w:jc w:val="right"/>
              <w:ind w:right="726"/>
              <w:spacing w:after="0"/>
              <w:rPr>
                <w:sz w:val="20"/>
                <w:szCs w:val="20"/>
                <w:color w:val="auto"/>
              </w:rPr>
            </w:pPr>
            <w:r>
              <w:rPr>
                <w:rFonts w:ascii="Arial" w:cs="Arial" w:eastAsia="Arial" w:hAnsi="Arial"/>
                <w:sz w:val="11"/>
                <w:szCs w:val="11"/>
                <w:color w:val="auto"/>
              </w:rPr>
              <w:t>Nine months ended</w:t>
            </w:r>
          </w:p>
        </w:tc>
      </w:tr>
      <w:tr>
        <w:trPr>
          <w:trHeight w:val="135"/>
        </w:trPr>
        <w:tc>
          <w:tcPr>
            <w:tcW w:w="880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ind w:right="306"/>
              <w:spacing w:after="0"/>
              <w:rPr>
                <w:sz w:val="20"/>
                <w:szCs w:val="20"/>
                <w:color w:val="auto"/>
              </w:rPr>
            </w:pPr>
            <w:r>
              <w:rPr>
                <w:rFonts w:ascii="Arial" w:cs="Arial" w:eastAsia="Arial" w:hAnsi="Arial"/>
                <w:sz w:val="11"/>
                <w:szCs w:val="11"/>
                <w:color w:val="auto"/>
              </w:rPr>
              <w:t>9/30/2023</w:t>
            </w:r>
          </w:p>
        </w:tc>
        <w:tc>
          <w:tcPr>
            <w:tcW w:w="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ind w:right="306"/>
              <w:spacing w:after="0"/>
              <w:rPr>
                <w:sz w:val="20"/>
                <w:szCs w:val="20"/>
                <w:color w:val="auto"/>
              </w:rPr>
            </w:pPr>
            <w:r>
              <w:rPr>
                <w:rFonts w:ascii="Arial" w:cs="Arial" w:eastAsia="Arial" w:hAnsi="Arial"/>
                <w:sz w:val="11"/>
                <w:szCs w:val="11"/>
                <w:color w:val="auto"/>
              </w:rPr>
              <w:t>9/30/2022</w:t>
            </w:r>
          </w:p>
        </w:tc>
      </w:tr>
      <w:tr>
        <w:trPr>
          <w:trHeight w:val="122"/>
        </w:trPr>
        <w:tc>
          <w:tcPr>
            <w:tcW w:w="8800" w:type="dxa"/>
            <w:vAlign w:val="bottom"/>
          </w:tcPr>
          <w:p>
            <w:pPr>
              <w:spacing w:after="0" w:line="120" w:lineRule="exact"/>
              <w:rPr>
                <w:sz w:val="20"/>
                <w:szCs w:val="20"/>
                <w:color w:val="auto"/>
              </w:rPr>
            </w:pPr>
            <w:r>
              <w:rPr>
                <w:rFonts w:ascii="Arial" w:cs="Arial" w:eastAsia="Arial" w:hAnsi="Arial"/>
                <w:sz w:val="11"/>
                <w:szCs w:val="11"/>
                <w:color w:val="auto"/>
              </w:rPr>
              <w:t>Net gains (losses) from non-consolidated T. Rowe Price investment products</w:t>
            </w: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146"/>
        </w:trPr>
        <w:tc>
          <w:tcPr>
            <w:tcW w:w="8800" w:type="dxa"/>
            <w:vAlign w:val="bottom"/>
            <w:shd w:val="clear" w:color="auto" w:fill="CCEEFF"/>
          </w:tcPr>
          <w:p>
            <w:pPr>
              <w:ind w:left="80"/>
              <w:spacing w:after="0"/>
              <w:rPr>
                <w:sz w:val="20"/>
                <w:szCs w:val="20"/>
                <w:color w:val="auto"/>
              </w:rPr>
            </w:pPr>
            <w:r>
              <w:rPr>
                <w:rFonts w:ascii="Arial" w:cs="Arial" w:eastAsia="Arial" w:hAnsi="Arial"/>
                <w:sz w:val="11"/>
                <w:szCs w:val="11"/>
                <w:color w:val="auto"/>
              </w:rPr>
              <w:t>Cash and discretionary investments</w:t>
            </w: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42"/>
        </w:trPr>
        <w:tc>
          <w:tcPr>
            <w:tcW w:w="8800" w:type="dxa"/>
            <w:vAlign w:val="bottom"/>
          </w:tcPr>
          <w:p>
            <w:pPr>
              <w:ind w:left="140"/>
              <w:spacing w:after="0"/>
              <w:rPr>
                <w:sz w:val="20"/>
                <w:szCs w:val="20"/>
                <w:color w:val="auto"/>
              </w:rPr>
            </w:pPr>
            <w:r>
              <w:rPr>
                <w:rFonts w:ascii="Arial" w:cs="Arial" w:eastAsia="Arial" w:hAnsi="Arial"/>
                <w:sz w:val="11"/>
                <w:szCs w:val="11"/>
                <w:color w:val="auto"/>
              </w:rPr>
              <w:t>Dividend income</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76.0</w:t>
            </w:r>
          </w:p>
        </w:tc>
        <w:tc>
          <w:tcPr>
            <w:tcW w:w="80" w:type="dxa"/>
            <w:vAlign w:val="bottom"/>
          </w:tcPr>
          <w:p>
            <w:pPr>
              <w:spacing w:after="0"/>
              <w:rPr>
                <w:sz w:val="12"/>
                <w:szCs w:val="12"/>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15.1</w:t>
            </w:r>
          </w:p>
        </w:tc>
      </w:tr>
      <w:tr>
        <w:trPr>
          <w:trHeight w:val="146"/>
        </w:trPr>
        <w:tc>
          <w:tcPr>
            <w:tcW w:w="88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Market-related gains (losses) and equity in earnings (losses)</w:t>
            </w:r>
          </w:p>
        </w:tc>
        <w:tc>
          <w:tcPr>
            <w:tcW w:w="22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19.1</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(73.2)</w:t>
            </w:r>
          </w:p>
        </w:tc>
      </w:tr>
      <w:tr>
        <w:trPr>
          <w:trHeight w:val="133"/>
        </w:trPr>
        <w:tc>
          <w:tcPr>
            <w:tcW w:w="8800" w:type="dxa"/>
            <w:vAlign w:val="bottom"/>
          </w:tcPr>
          <w:p>
            <w:pPr>
              <w:ind w:left="140"/>
              <w:spacing w:after="0"/>
              <w:rPr>
                <w:sz w:val="20"/>
                <w:szCs w:val="20"/>
                <w:color w:val="auto"/>
              </w:rPr>
            </w:pPr>
            <w:r>
              <w:rPr>
                <w:rFonts w:ascii="Arial" w:cs="Arial" w:eastAsia="Arial" w:hAnsi="Arial"/>
                <w:sz w:val="11"/>
                <w:szCs w:val="11"/>
                <w:color w:val="auto"/>
              </w:rPr>
              <w:t>Total net gains (losses) from cash and discretionary investments</w:t>
            </w:r>
          </w:p>
        </w:tc>
        <w:tc>
          <w:tcPr>
            <w:tcW w:w="22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b w:val="1"/>
                <w:bCs w:val="1"/>
                <w:color w:val="auto"/>
              </w:rPr>
              <w:t>95.1</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(58.1)</w:t>
            </w:r>
          </w:p>
        </w:tc>
      </w:tr>
      <w:tr>
        <w:trPr>
          <w:trHeight w:val="144"/>
        </w:trPr>
        <w:tc>
          <w:tcPr>
            <w:tcW w:w="8800" w:type="dxa"/>
            <w:vAlign w:val="bottom"/>
            <w:shd w:val="clear" w:color="auto" w:fill="CCEEFF"/>
          </w:tcPr>
          <w:p>
            <w:pPr>
              <w:ind w:left="80"/>
              <w:spacing w:after="0"/>
              <w:rPr>
                <w:sz w:val="20"/>
                <w:szCs w:val="20"/>
                <w:color w:val="auto"/>
              </w:rPr>
            </w:pPr>
            <w:r>
              <w:rPr>
                <w:rFonts w:ascii="Arial" w:cs="Arial" w:eastAsia="Arial" w:hAnsi="Arial"/>
                <w:sz w:val="11"/>
                <w:szCs w:val="11"/>
                <w:color w:val="auto"/>
              </w:rPr>
              <w:t>Seed capital investments</w:t>
            </w: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42"/>
        </w:trPr>
        <w:tc>
          <w:tcPr>
            <w:tcW w:w="8800" w:type="dxa"/>
            <w:vAlign w:val="bottom"/>
          </w:tcPr>
          <w:p>
            <w:pPr>
              <w:ind w:left="140"/>
              <w:spacing w:after="0"/>
              <w:rPr>
                <w:sz w:val="20"/>
                <w:szCs w:val="20"/>
                <w:color w:val="auto"/>
              </w:rPr>
            </w:pPr>
            <w:r>
              <w:rPr>
                <w:rFonts w:ascii="Arial" w:cs="Arial" w:eastAsia="Arial" w:hAnsi="Arial"/>
                <w:sz w:val="11"/>
                <w:szCs w:val="11"/>
                <w:color w:val="auto"/>
              </w:rPr>
              <w:t>Dividend income</w:t>
            </w:r>
          </w:p>
        </w:tc>
        <w:tc>
          <w:tcPr>
            <w:tcW w:w="2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0.6</w:t>
            </w:r>
          </w:p>
        </w:tc>
      </w:tr>
      <w:tr>
        <w:trPr>
          <w:trHeight w:val="146"/>
        </w:trPr>
        <w:tc>
          <w:tcPr>
            <w:tcW w:w="88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Market-related gains (losses) and equity in earnings (losses)</w:t>
            </w: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(77.5)</w:t>
            </w:r>
          </w:p>
        </w:tc>
      </w:tr>
      <w:tr>
        <w:trPr>
          <w:trHeight w:val="142"/>
        </w:trPr>
        <w:tc>
          <w:tcPr>
            <w:tcW w:w="8800" w:type="dxa"/>
            <w:vAlign w:val="bottom"/>
          </w:tcPr>
          <w:p>
            <w:pPr>
              <w:ind w:left="80"/>
              <w:spacing w:after="0"/>
              <w:rPr>
                <w:sz w:val="20"/>
                <w:szCs w:val="20"/>
                <w:color w:val="auto"/>
              </w:rPr>
            </w:pPr>
            <w:r>
              <w:rPr>
                <w:rFonts w:ascii="Arial" w:cs="Arial" w:eastAsia="Arial" w:hAnsi="Arial"/>
                <w:sz w:val="11"/>
                <w:szCs w:val="11"/>
                <w:color w:val="auto"/>
              </w:rPr>
              <w:t>Net gains recognized upon deconsolidation</w:t>
            </w:r>
          </w:p>
        </w:tc>
        <w:tc>
          <w:tcPr>
            <w:tcW w:w="2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0.7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6.8</w:t>
            </w:r>
          </w:p>
        </w:tc>
      </w:tr>
      <w:tr>
        <w:trPr>
          <w:trHeight w:val="146"/>
        </w:trPr>
        <w:tc>
          <w:tcPr>
            <w:tcW w:w="8800" w:type="dxa"/>
            <w:vAlign w:val="bottom"/>
            <w:shd w:val="clear" w:color="auto" w:fill="CCEEFF"/>
          </w:tcPr>
          <w:p>
            <w:pPr>
              <w:ind w:left="80"/>
              <w:spacing w:after="0"/>
              <w:rPr>
                <w:sz w:val="20"/>
                <w:szCs w:val="20"/>
                <w:color w:val="auto"/>
              </w:rPr>
            </w:pPr>
            <w:r>
              <w:rPr>
                <w:rFonts w:ascii="Arial" w:cs="Arial" w:eastAsia="Arial" w:hAnsi="Arial"/>
                <w:sz w:val="11"/>
                <w:szCs w:val="11"/>
                <w:color w:val="auto"/>
              </w:rPr>
              <w:t>Investments used to hedge the supplemental savings plan liability</w:t>
            </w:r>
          </w:p>
        </w:tc>
        <w:tc>
          <w:tcPr>
            <w:tcW w:w="22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58.6</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(178.0)</w:t>
            </w:r>
          </w:p>
        </w:tc>
      </w:tr>
      <w:tr>
        <w:trPr>
          <w:trHeight w:val="133"/>
        </w:trPr>
        <w:tc>
          <w:tcPr>
            <w:tcW w:w="8800" w:type="dxa"/>
            <w:vAlign w:val="bottom"/>
          </w:tcPr>
          <w:p>
            <w:pPr>
              <w:spacing w:after="0"/>
              <w:rPr>
                <w:sz w:val="20"/>
                <w:szCs w:val="20"/>
                <w:color w:val="auto"/>
              </w:rPr>
            </w:pPr>
            <w:r>
              <w:rPr>
                <w:rFonts w:ascii="Arial" w:cs="Arial" w:eastAsia="Arial" w:hAnsi="Arial"/>
                <w:sz w:val="11"/>
                <w:szCs w:val="11"/>
                <w:b w:val="1"/>
                <w:bCs w:val="1"/>
                <w:color w:val="auto"/>
              </w:rPr>
              <w:t>Total net gains (losses) from non-consolidated T. Rowe Price investment products</w:t>
            </w:r>
          </w:p>
        </w:tc>
        <w:tc>
          <w:tcPr>
            <w:tcW w:w="22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b w:val="1"/>
                <w:bCs w:val="1"/>
                <w:color w:val="auto"/>
              </w:rPr>
              <w:t>180.6</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(306.2)</w:t>
            </w:r>
          </w:p>
        </w:tc>
      </w:tr>
      <w:tr>
        <w:trPr>
          <w:trHeight w:val="144"/>
        </w:trPr>
        <w:tc>
          <w:tcPr>
            <w:tcW w:w="8800" w:type="dxa"/>
            <w:vAlign w:val="bottom"/>
            <w:shd w:val="clear" w:color="auto" w:fill="CCEEFF"/>
          </w:tcPr>
          <w:p>
            <w:pPr>
              <w:ind w:left="80"/>
              <w:spacing w:after="0"/>
              <w:rPr>
                <w:sz w:val="20"/>
                <w:szCs w:val="20"/>
                <w:color w:val="auto"/>
              </w:rPr>
            </w:pPr>
            <w:r>
              <w:rPr>
                <w:rFonts w:ascii="Arial" w:cs="Arial" w:eastAsia="Arial" w:hAnsi="Arial"/>
                <w:sz w:val="11"/>
                <w:szCs w:val="11"/>
                <w:color w:val="auto"/>
              </w:rPr>
              <w:t>Other investment income</w:t>
            </w:r>
          </w:p>
        </w:tc>
        <w:tc>
          <w:tcPr>
            <w:tcW w:w="22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33.1</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4.9</w:t>
            </w:r>
          </w:p>
        </w:tc>
      </w:tr>
      <w:tr>
        <w:trPr>
          <w:trHeight w:val="133"/>
        </w:trPr>
        <w:tc>
          <w:tcPr>
            <w:tcW w:w="8800" w:type="dxa"/>
            <w:vAlign w:val="bottom"/>
          </w:tcPr>
          <w:p>
            <w:pPr>
              <w:spacing w:after="0"/>
              <w:rPr>
                <w:sz w:val="20"/>
                <w:szCs w:val="20"/>
                <w:color w:val="auto"/>
              </w:rPr>
            </w:pPr>
            <w:r>
              <w:rPr>
                <w:rFonts w:ascii="Arial" w:cs="Arial" w:eastAsia="Arial" w:hAnsi="Arial"/>
                <w:sz w:val="11"/>
                <w:szCs w:val="11"/>
                <w:b w:val="1"/>
                <w:bCs w:val="1"/>
                <w:color w:val="auto"/>
              </w:rPr>
              <w:t>Net gains (losses) on investments</w:t>
            </w:r>
          </w:p>
        </w:tc>
        <w:tc>
          <w:tcPr>
            <w:tcW w:w="22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b w:val="1"/>
                <w:bCs w:val="1"/>
                <w:color w:val="auto"/>
              </w:rPr>
              <w:t>213.7</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(301.3)</w:t>
            </w:r>
          </w:p>
        </w:tc>
      </w:tr>
      <w:tr>
        <w:trPr>
          <w:trHeight w:val="144"/>
        </w:trPr>
        <w:tc>
          <w:tcPr>
            <w:tcW w:w="8800" w:type="dxa"/>
            <w:vAlign w:val="bottom"/>
            <w:shd w:val="clear" w:color="auto" w:fill="CCEEFF"/>
          </w:tcPr>
          <w:p>
            <w:pPr>
              <w:spacing w:after="0"/>
              <w:rPr>
                <w:sz w:val="20"/>
                <w:szCs w:val="20"/>
                <w:color w:val="auto"/>
              </w:rPr>
            </w:pPr>
            <w:r>
              <w:rPr>
                <w:rFonts w:ascii="Arial" w:cs="Arial" w:eastAsia="Arial" w:hAnsi="Arial"/>
                <w:sz w:val="11"/>
                <w:szCs w:val="11"/>
                <w:color w:val="auto"/>
              </w:rPr>
              <w:t>Net gains (losses) on consolidated sponsored investment portfolios</w:t>
            </w: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(247.7)</w:t>
            </w:r>
          </w:p>
        </w:tc>
      </w:tr>
      <w:tr>
        <w:trPr>
          <w:trHeight w:val="142"/>
        </w:trPr>
        <w:tc>
          <w:tcPr>
            <w:tcW w:w="880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Other losses, including foreign currency losses</w:t>
            </w: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(14.7)</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(12.2)</w:t>
            </w:r>
          </w:p>
        </w:tc>
      </w:tr>
      <w:tr>
        <w:trPr>
          <w:trHeight w:val="151"/>
        </w:trPr>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Non-operating income (loss)</w:t>
            </w:r>
          </w:p>
        </w:tc>
        <w:tc>
          <w:tcPr>
            <w:tcW w:w="2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244.4</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(561.2)</w:t>
            </w:r>
          </w:p>
        </w:tc>
      </w:tr>
    </w:tbl>
    <w:p>
      <w:pPr>
        <w:spacing w:after="0" w:line="200" w:lineRule="exact"/>
        <w:rPr>
          <w:sz w:val="20"/>
          <w:szCs w:val="20"/>
          <w:color w:val="auto"/>
        </w:rPr>
      </w:pPr>
    </w:p>
    <w:p>
      <w:pPr>
        <w:spacing w:after="0" w:line="21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308"/>
          </w:cols>
          <w:pgMar w:left="292" w:top="752" w:right="299" w:bottom="1440" w:gutter="0" w:footer="0" w:header="0"/>
        </w:sectPr>
      </w:pPr>
    </w:p>
    <w:bookmarkStart w:id="11" w:name="page12"/>
    <w:bookmarkEnd w:id="11"/>
    <w:p>
      <w:pPr>
        <w:spacing w:after="0"/>
        <w:rPr>
          <w:sz w:val="20"/>
          <w:szCs w:val="20"/>
          <w:color w:val="auto"/>
        </w:rPr>
      </w:pPr>
      <w:r>
        <w:rPr>
          <w:rFonts w:ascii="Arial" w:cs="Arial" w:eastAsia="Arial" w:hAnsi="Arial"/>
          <w:sz w:val="12"/>
          <w:szCs w:val="12"/>
          <w:color w:val="auto"/>
        </w:rPr>
        <w:t>The following table summarizes the cash flows for the nine months ended 2023 that are attributable to T. Rowe Price Group, our consolidated sponsored investment products, and the related eliminations required.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5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15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0"/>
                <w:szCs w:val="10"/>
                <w:b w:val="1"/>
                <w:bCs w:val="1"/>
                <w:color w:val="auto"/>
              </w:rPr>
              <w:t>Nine months ended</w:t>
            </w:r>
          </w:p>
        </w:tc>
        <w:tc>
          <w:tcPr>
            <w:tcW w:w="400" w:type="dxa"/>
            <w:vAlign w:val="bottom"/>
            <w:tcBorders>
              <w:bottom w:val="single" w:sz="8" w:color="auto"/>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652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0"/>
                <w:szCs w:val="10"/>
                <w:b w:val="1"/>
                <w:bCs w:val="1"/>
                <w:color w:val="auto"/>
              </w:rPr>
              <w:t>9/30/2023</w:t>
            </w: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6520" w:type="dxa"/>
            <w:vAlign w:val="bottom"/>
            <w:shd w:val="clear" w:color="auto" w:fill="CCEEFF"/>
          </w:tcPr>
          <w:p>
            <w:pPr>
              <w:spacing w:after="0"/>
              <w:rPr>
                <w:sz w:val="7"/>
                <w:szCs w:val="7"/>
                <w:color w:val="auto"/>
              </w:rPr>
            </w:pPr>
          </w:p>
        </w:tc>
        <w:tc>
          <w:tcPr>
            <w:tcW w:w="1300" w:type="dxa"/>
            <w:vAlign w:val="bottom"/>
            <w:gridSpan w:val="3"/>
            <w:vMerge w:val="restart"/>
            <w:shd w:val="clear" w:color="auto" w:fill="CCEEFF"/>
          </w:tcPr>
          <w:p>
            <w:pPr>
              <w:jc w:val="center"/>
              <w:ind w:right="100"/>
              <w:spacing w:after="0"/>
              <w:rPr>
                <w:sz w:val="20"/>
                <w:szCs w:val="20"/>
                <w:color w:val="auto"/>
              </w:rPr>
            </w:pPr>
            <w:r>
              <w:rPr>
                <w:rFonts w:ascii="Arial" w:cs="Arial" w:eastAsia="Arial" w:hAnsi="Arial"/>
                <w:sz w:val="10"/>
                <w:szCs w:val="10"/>
                <w:b w:val="1"/>
                <w:bCs w:val="1"/>
                <w:color w:val="auto"/>
                <w:w w:val="95"/>
              </w:rPr>
              <w:t>Cash flow attributable to</w:t>
            </w:r>
          </w:p>
        </w:tc>
        <w:tc>
          <w:tcPr>
            <w:tcW w:w="60" w:type="dxa"/>
            <w:vAlign w:val="bottom"/>
            <w:shd w:val="clear" w:color="auto" w:fill="CCEEFF"/>
          </w:tcPr>
          <w:p>
            <w:pPr>
              <w:spacing w:after="0"/>
              <w:rPr>
                <w:sz w:val="7"/>
                <w:szCs w:val="7"/>
                <w:color w:val="auto"/>
              </w:rPr>
            </w:pPr>
          </w:p>
        </w:tc>
        <w:tc>
          <w:tcPr>
            <w:tcW w:w="1400" w:type="dxa"/>
            <w:vAlign w:val="bottom"/>
            <w:gridSpan w:val="3"/>
            <w:shd w:val="clear" w:color="auto" w:fill="CCEEFF"/>
          </w:tcPr>
          <w:p>
            <w:pPr>
              <w:jc w:val="center"/>
              <w:ind w:right="160"/>
              <w:spacing w:after="0" w:line="90" w:lineRule="exact"/>
              <w:rPr>
                <w:sz w:val="20"/>
                <w:szCs w:val="20"/>
                <w:color w:val="auto"/>
              </w:rPr>
            </w:pPr>
            <w:r>
              <w:rPr>
                <w:rFonts w:ascii="Arial" w:cs="Arial" w:eastAsia="Arial" w:hAnsi="Arial"/>
                <w:sz w:val="10"/>
                <w:szCs w:val="10"/>
                <w:b w:val="1"/>
                <w:bCs w:val="1"/>
                <w:color w:val="auto"/>
                <w:w w:val="95"/>
              </w:rPr>
              <w:t>Cash flow attributable to</w:t>
            </w: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6520" w:type="dxa"/>
            <w:vAlign w:val="bottom"/>
            <w:vMerge w:val="restart"/>
            <w:shd w:val="clear" w:color="auto" w:fill="CCEEFF"/>
          </w:tcPr>
          <w:p>
            <w:pPr>
              <w:spacing w:after="0"/>
              <w:rPr>
                <w:sz w:val="20"/>
                <w:szCs w:val="20"/>
                <w:color w:val="auto"/>
              </w:rPr>
            </w:pPr>
            <w:r>
              <w:rPr>
                <w:rFonts w:ascii="Arial" w:cs="Arial" w:eastAsia="Arial" w:hAnsi="Arial"/>
                <w:sz w:val="10"/>
                <w:szCs w:val="10"/>
                <w:color w:val="auto"/>
              </w:rPr>
              <w:t>(in millions)</w:t>
            </w:r>
          </w:p>
        </w:tc>
        <w:tc>
          <w:tcPr>
            <w:tcW w:w="1300" w:type="dxa"/>
            <w:vAlign w:val="bottom"/>
            <w:gridSpan w:val="3"/>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0" w:type="dxa"/>
            <w:vAlign w:val="bottom"/>
            <w:gridSpan w:val="3"/>
            <w:shd w:val="clear" w:color="auto" w:fill="CCEEFF"/>
          </w:tcPr>
          <w:p>
            <w:pPr>
              <w:jc w:val="center"/>
              <w:ind w:right="160"/>
              <w:spacing w:after="0" w:line="99" w:lineRule="exact"/>
              <w:rPr>
                <w:sz w:val="20"/>
                <w:szCs w:val="20"/>
                <w:color w:val="auto"/>
              </w:rPr>
            </w:pPr>
            <w:r>
              <w:rPr>
                <w:rFonts w:ascii="Arial" w:cs="Arial" w:eastAsia="Arial" w:hAnsi="Arial"/>
                <w:sz w:val="10"/>
                <w:szCs w:val="10"/>
                <w:b w:val="1"/>
                <w:bCs w:val="1"/>
                <w:color w:val="auto"/>
                <w:w w:val="95"/>
              </w:rPr>
              <w:t>consolidated T. Rowe Price</w:t>
            </w:r>
          </w:p>
        </w:tc>
        <w:tc>
          <w:tcPr>
            <w:tcW w:w="100" w:type="dxa"/>
            <w:vAlign w:val="bottom"/>
            <w:shd w:val="clear" w:color="auto" w:fill="CCEEFF"/>
          </w:tcPr>
          <w:p>
            <w:pPr>
              <w:spacing w:after="0"/>
              <w:rPr>
                <w:sz w:val="8"/>
                <w:szCs w:val="8"/>
                <w:color w:val="auto"/>
              </w:rPr>
            </w:pPr>
          </w:p>
        </w:tc>
        <w:tc>
          <w:tcPr>
            <w:tcW w:w="860" w:type="dxa"/>
            <w:vAlign w:val="bottom"/>
            <w:gridSpan w:val="5"/>
            <w:vMerge w:val="restart"/>
            <w:shd w:val="clear" w:color="auto" w:fill="CCEEFF"/>
          </w:tcPr>
          <w:p>
            <w:pPr>
              <w:ind w:left="200"/>
              <w:spacing w:after="0"/>
              <w:rPr>
                <w:sz w:val="20"/>
                <w:szCs w:val="20"/>
                <w:color w:val="auto"/>
              </w:rPr>
            </w:pPr>
            <w:r>
              <w:rPr>
                <w:rFonts w:ascii="Arial" w:cs="Arial" w:eastAsia="Arial" w:hAnsi="Arial"/>
                <w:sz w:val="10"/>
                <w:szCs w:val="10"/>
                <w:b w:val="1"/>
                <w:bCs w:val="1"/>
                <w:color w:val="auto"/>
              </w:rPr>
              <w:t>Elims</w:t>
            </w:r>
          </w:p>
        </w:tc>
        <w:tc>
          <w:tcPr>
            <w:tcW w:w="100" w:type="dxa"/>
            <w:vAlign w:val="bottom"/>
            <w:shd w:val="clear" w:color="auto" w:fill="CCEEFF"/>
          </w:tcPr>
          <w:p>
            <w:pPr>
              <w:spacing w:after="0"/>
              <w:rPr>
                <w:sz w:val="8"/>
                <w:szCs w:val="8"/>
                <w:color w:val="auto"/>
              </w:rPr>
            </w:pPr>
          </w:p>
        </w:tc>
        <w:tc>
          <w:tcPr>
            <w:tcW w:w="960" w:type="dxa"/>
            <w:vAlign w:val="bottom"/>
            <w:vMerge w:val="restart"/>
            <w:shd w:val="clear" w:color="auto" w:fill="CCEEFF"/>
          </w:tcPr>
          <w:p>
            <w:pPr>
              <w:jc w:val="right"/>
              <w:ind w:right="212"/>
              <w:spacing w:after="0"/>
              <w:rPr>
                <w:sz w:val="20"/>
                <w:szCs w:val="20"/>
                <w:color w:val="auto"/>
              </w:rPr>
            </w:pPr>
            <w:r>
              <w:rPr>
                <w:rFonts w:ascii="Arial" w:cs="Arial" w:eastAsia="Arial" w:hAnsi="Arial"/>
                <w:sz w:val="10"/>
                <w:szCs w:val="10"/>
                <w:b w:val="1"/>
                <w:bCs w:val="1"/>
                <w:color w:val="auto"/>
              </w:rPr>
              <w:t>As reported</w:t>
            </w:r>
          </w:p>
        </w:tc>
        <w:tc>
          <w:tcPr>
            <w:tcW w:w="0" w:type="dxa"/>
            <w:vAlign w:val="bottom"/>
          </w:tcPr>
          <w:p>
            <w:pPr>
              <w:spacing w:after="0"/>
              <w:rPr>
                <w:sz w:val="1"/>
                <w:szCs w:val="1"/>
                <w:color w:val="auto"/>
              </w:rPr>
            </w:pPr>
          </w:p>
        </w:tc>
      </w:tr>
      <w:tr>
        <w:trPr>
          <w:trHeight w:val="126"/>
        </w:trPr>
        <w:tc>
          <w:tcPr>
            <w:tcW w:w="6520" w:type="dxa"/>
            <w:vAlign w:val="bottom"/>
            <w:vMerge w:val="continue"/>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jc w:val="center"/>
              <w:ind w:right="260"/>
              <w:spacing w:after="0"/>
              <w:rPr>
                <w:sz w:val="20"/>
                <w:szCs w:val="20"/>
                <w:color w:val="auto"/>
              </w:rPr>
            </w:pPr>
            <w:r>
              <w:rPr>
                <w:rFonts w:ascii="Arial" w:cs="Arial" w:eastAsia="Arial" w:hAnsi="Arial"/>
                <w:sz w:val="10"/>
                <w:szCs w:val="10"/>
                <w:b w:val="1"/>
                <w:bCs w:val="1"/>
                <w:color w:val="auto"/>
                <w:w w:val="94"/>
              </w:rPr>
              <w:t>T. Rowe Price</w:t>
            </w:r>
          </w:p>
        </w:tc>
        <w:tc>
          <w:tcPr>
            <w:tcW w:w="60" w:type="dxa"/>
            <w:vAlign w:val="bottom"/>
            <w:shd w:val="clear" w:color="auto" w:fill="CCEEFF"/>
          </w:tcPr>
          <w:p>
            <w:pPr>
              <w:spacing w:after="0"/>
              <w:rPr>
                <w:sz w:val="10"/>
                <w:szCs w:val="10"/>
                <w:color w:val="auto"/>
              </w:rPr>
            </w:pPr>
          </w:p>
        </w:tc>
        <w:tc>
          <w:tcPr>
            <w:tcW w:w="1400" w:type="dxa"/>
            <w:vAlign w:val="bottom"/>
            <w:gridSpan w:val="3"/>
            <w:shd w:val="clear" w:color="auto" w:fill="CCEEFF"/>
          </w:tcPr>
          <w:p>
            <w:pPr>
              <w:jc w:val="center"/>
              <w:ind w:right="140"/>
              <w:spacing w:after="0"/>
              <w:rPr>
                <w:sz w:val="20"/>
                <w:szCs w:val="20"/>
                <w:color w:val="auto"/>
              </w:rPr>
            </w:pPr>
            <w:r>
              <w:rPr>
                <w:rFonts w:ascii="Arial" w:cs="Arial" w:eastAsia="Arial" w:hAnsi="Arial"/>
                <w:sz w:val="10"/>
                <w:szCs w:val="10"/>
                <w:b w:val="1"/>
                <w:bCs w:val="1"/>
                <w:color w:val="auto"/>
                <w:w w:val="95"/>
              </w:rPr>
              <w:t>investment products</w:t>
            </w:r>
          </w:p>
        </w:tc>
        <w:tc>
          <w:tcPr>
            <w:tcW w:w="100" w:type="dxa"/>
            <w:vAlign w:val="bottom"/>
            <w:shd w:val="clear" w:color="auto" w:fill="CCEEFF"/>
          </w:tcPr>
          <w:p>
            <w:pPr>
              <w:spacing w:after="0"/>
              <w:rPr>
                <w:sz w:val="10"/>
                <w:szCs w:val="10"/>
                <w:color w:val="auto"/>
              </w:rPr>
            </w:pPr>
          </w:p>
        </w:tc>
        <w:tc>
          <w:tcPr>
            <w:tcW w:w="860" w:type="dxa"/>
            <w:vAlign w:val="bottom"/>
            <w:gridSpan w:val="5"/>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6520" w:type="dxa"/>
            <w:vAlign w:val="bottom"/>
          </w:tcPr>
          <w:p>
            <w:pPr>
              <w:spacing w:after="0" w:line="107" w:lineRule="exact"/>
              <w:rPr>
                <w:sz w:val="20"/>
                <w:szCs w:val="20"/>
                <w:color w:val="auto"/>
              </w:rPr>
            </w:pPr>
            <w:r>
              <w:rPr>
                <w:rFonts w:ascii="Arial" w:cs="Arial" w:eastAsia="Arial" w:hAnsi="Arial"/>
                <w:sz w:val="10"/>
                <w:szCs w:val="10"/>
                <w:color w:val="auto"/>
              </w:rPr>
              <w:t>Cash flows from operating activities</w:t>
            </w:r>
          </w:p>
        </w:tc>
        <w:tc>
          <w:tcPr>
            <w:tcW w:w="18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6520" w:type="dxa"/>
            <w:vAlign w:val="bottom"/>
            <w:shd w:val="clear" w:color="auto" w:fill="CCEEFF"/>
          </w:tcPr>
          <w:p>
            <w:pPr>
              <w:ind w:left="80"/>
              <w:spacing w:after="0"/>
              <w:rPr>
                <w:sz w:val="20"/>
                <w:szCs w:val="20"/>
                <w:color w:val="auto"/>
              </w:rPr>
            </w:pPr>
            <w:r>
              <w:rPr>
                <w:rFonts w:ascii="Arial" w:cs="Arial" w:eastAsia="Arial" w:hAnsi="Arial"/>
                <w:sz w:val="10"/>
                <w:szCs w:val="10"/>
                <w:color w:val="auto"/>
              </w:rPr>
              <w:t>Net income (loss)</w:t>
            </w:r>
          </w:p>
        </w:tc>
        <w:tc>
          <w:tcPr>
            <w:tcW w:w="1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1,351.1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36.6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spacing w:after="0"/>
              <w:rPr>
                <w:sz w:val="12"/>
                <w:szCs w:val="12"/>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rPr>
              <w:t>(25.6)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1,362.1</w:t>
            </w:r>
          </w:p>
        </w:tc>
        <w:tc>
          <w:tcPr>
            <w:tcW w:w="0" w:type="dxa"/>
            <w:vAlign w:val="bottom"/>
          </w:tcPr>
          <w:p>
            <w:pPr>
              <w:spacing w:after="0"/>
              <w:rPr>
                <w:sz w:val="1"/>
                <w:szCs w:val="1"/>
                <w:color w:val="auto"/>
              </w:rPr>
            </w:pPr>
          </w:p>
        </w:tc>
      </w:tr>
      <w:tr>
        <w:trPr>
          <w:trHeight w:val="131"/>
        </w:trPr>
        <w:tc>
          <w:tcPr>
            <w:tcW w:w="6520" w:type="dxa"/>
            <w:vAlign w:val="bottom"/>
          </w:tcPr>
          <w:p>
            <w:pPr>
              <w:ind w:left="80"/>
              <w:spacing w:after="0"/>
              <w:rPr>
                <w:sz w:val="20"/>
                <w:szCs w:val="20"/>
                <w:color w:val="auto"/>
              </w:rPr>
            </w:pPr>
            <w:r>
              <w:rPr>
                <w:rFonts w:ascii="Arial" w:cs="Arial" w:eastAsia="Arial" w:hAnsi="Arial"/>
                <w:sz w:val="10"/>
                <w:szCs w:val="10"/>
                <w:color w:val="auto"/>
              </w:rPr>
              <w:t>Adjustments to reconcile net income (loss) to net cash provided by operating activities</w:t>
            </w: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6520" w:type="dxa"/>
            <w:vAlign w:val="bottom"/>
            <w:shd w:val="clear" w:color="auto" w:fill="CCEEFF"/>
          </w:tcPr>
          <w:p>
            <w:pPr>
              <w:ind w:left="140"/>
              <w:spacing w:after="0"/>
              <w:rPr>
                <w:sz w:val="20"/>
                <w:szCs w:val="20"/>
                <w:color w:val="auto"/>
              </w:rPr>
            </w:pPr>
            <w:r>
              <w:rPr>
                <w:rFonts w:ascii="Arial" w:cs="Arial" w:eastAsia="Arial" w:hAnsi="Arial"/>
                <w:sz w:val="10"/>
                <w:szCs w:val="10"/>
                <w:color w:val="auto"/>
              </w:rPr>
              <w:t>Depreciation, amortization and impairments of property, equipment and software</w:t>
            </w: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181.6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181.6</w:t>
            </w:r>
          </w:p>
        </w:tc>
        <w:tc>
          <w:tcPr>
            <w:tcW w:w="0" w:type="dxa"/>
            <w:vAlign w:val="bottom"/>
          </w:tcPr>
          <w:p>
            <w:pPr>
              <w:spacing w:after="0"/>
              <w:rPr>
                <w:sz w:val="1"/>
                <w:szCs w:val="1"/>
                <w:color w:val="auto"/>
              </w:rPr>
            </w:pPr>
          </w:p>
        </w:tc>
      </w:tr>
      <w:tr>
        <w:trPr>
          <w:trHeight w:val="131"/>
        </w:trPr>
        <w:tc>
          <w:tcPr>
            <w:tcW w:w="6520" w:type="dxa"/>
            <w:vAlign w:val="bottom"/>
          </w:tcPr>
          <w:p>
            <w:pPr>
              <w:ind w:left="140"/>
              <w:spacing w:after="0"/>
              <w:rPr>
                <w:sz w:val="20"/>
                <w:szCs w:val="20"/>
                <w:color w:val="auto"/>
              </w:rPr>
            </w:pPr>
            <w:r>
              <w:rPr>
                <w:rFonts w:ascii="Arial" w:cs="Arial" w:eastAsia="Arial" w:hAnsi="Arial"/>
                <w:sz w:val="10"/>
                <w:szCs w:val="10"/>
                <w:color w:val="auto"/>
              </w:rPr>
              <w:t>Amortization and impairment of acquisition-related assets and retention agreements</w:t>
            </w:r>
          </w:p>
        </w:tc>
        <w:tc>
          <w:tcPr>
            <w:tcW w:w="180" w:type="dxa"/>
            <w:vAlign w:val="bottom"/>
          </w:tcPr>
          <w:p>
            <w:pPr>
              <w:spacing w:after="0"/>
              <w:rPr>
                <w:sz w:val="11"/>
                <w:szCs w:val="11"/>
                <w:color w:val="auto"/>
              </w:rPr>
            </w:pPr>
          </w:p>
        </w:tc>
        <w:tc>
          <w:tcPr>
            <w:tcW w:w="1040" w:type="dxa"/>
            <w:vAlign w:val="bottom"/>
          </w:tcPr>
          <w:p>
            <w:pPr>
              <w:jc w:val="right"/>
              <w:ind w:right="12"/>
              <w:spacing w:after="0"/>
              <w:rPr>
                <w:sz w:val="20"/>
                <w:szCs w:val="20"/>
                <w:color w:val="auto"/>
              </w:rPr>
            </w:pPr>
            <w:r>
              <w:rPr>
                <w:rFonts w:ascii="Arial" w:cs="Arial" w:eastAsia="Arial" w:hAnsi="Arial"/>
                <w:sz w:val="10"/>
                <w:szCs w:val="10"/>
                <w:color w:val="auto"/>
              </w:rPr>
              <w:t>165.6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165.6</w:t>
            </w:r>
          </w:p>
        </w:tc>
        <w:tc>
          <w:tcPr>
            <w:tcW w:w="0" w:type="dxa"/>
            <w:vAlign w:val="bottom"/>
          </w:tcPr>
          <w:p>
            <w:pPr>
              <w:spacing w:after="0"/>
              <w:rPr>
                <w:sz w:val="1"/>
                <w:szCs w:val="1"/>
                <w:color w:val="auto"/>
              </w:rPr>
            </w:pPr>
          </w:p>
        </w:tc>
      </w:tr>
      <w:tr>
        <w:trPr>
          <w:trHeight w:val="139"/>
        </w:trPr>
        <w:tc>
          <w:tcPr>
            <w:tcW w:w="6520" w:type="dxa"/>
            <w:vAlign w:val="bottom"/>
            <w:shd w:val="clear" w:color="auto" w:fill="CCEEFF"/>
          </w:tcPr>
          <w:p>
            <w:pPr>
              <w:ind w:left="140"/>
              <w:spacing w:after="0"/>
              <w:rPr>
                <w:sz w:val="20"/>
                <w:szCs w:val="20"/>
                <w:color w:val="auto"/>
              </w:rPr>
            </w:pPr>
            <w:r>
              <w:rPr>
                <w:rFonts w:ascii="Arial" w:cs="Arial" w:eastAsia="Arial" w:hAnsi="Arial"/>
                <w:sz w:val="10"/>
                <w:szCs w:val="10"/>
                <w:color w:val="auto"/>
              </w:rPr>
              <w:t>Fair value remeasurement of contingent liability</w:t>
            </w: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(72.8)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(72.8)</w:t>
            </w:r>
          </w:p>
        </w:tc>
        <w:tc>
          <w:tcPr>
            <w:tcW w:w="0" w:type="dxa"/>
            <w:vAlign w:val="bottom"/>
          </w:tcPr>
          <w:p>
            <w:pPr>
              <w:spacing w:after="0"/>
              <w:rPr>
                <w:sz w:val="1"/>
                <w:szCs w:val="1"/>
                <w:color w:val="auto"/>
              </w:rPr>
            </w:pPr>
          </w:p>
        </w:tc>
      </w:tr>
      <w:tr>
        <w:trPr>
          <w:trHeight w:val="131"/>
        </w:trPr>
        <w:tc>
          <w:tcPr>
            <w:tcW w:w="6520" w:type="dxa"/>
            <w:vAlign w:val="bottom"/>
          </w:tcPr>
          <w:p>
            <w:pPr>
              <w:ind w:left="140"/>
              <w:spacing w:after="0"/>
              <w:rPr>
                <w:sz w:val="20"/>
                <w:szCs w:val="20"/>
                <w:color w:val="auto"/>
              </w:rPr>
            </w:pPr>
            <w:r>
              <w:rPr>
                <w:rFonts w:ascii="Arial" w:cs="Arial" w:eastAsia="Arial" w:hAnsi="Arial"/>
                <w:sz w:val="10"/>
                <w:szCs w:val="10"/>
                <w:color w:val="auto"/>
              </w:rPr>
              <w:t>Stock-based compensation expense</w:t>
            </w:r>
          </w:p>
        </w:tc>
        <w:tc>
          <w:tcPr>
            <w:tcW w:w="180" w:type="dxa"/>
            <w:vAlign w:val="bottom"/>
          </w:tcPr>
          <w:p>
            <w:pPr>
              <w:spacing w:after="0"/>
              <w:rPr>
                <w:sz w:val="11"/>
                <w:szCs w:val="11"/>
                <w:color w:val="auto"/>
              </w:rPr>
            </w:pPr>
          </w:p>
        </w:tc>
        <w:tc>
          <w:tcPr>
            <w:tcW w:w="1040" w:type="dxa"/>
            <w:vAlign w:val="bottom"/>
          </w:tcPr>
          <w:p>
            <w:pPr>
              <w:jc w:val="right"/>
              <w:ind w:right="12"/>
              <w:spacing w:after="0"/>
              <w:rPr>
                <w:sz w:val="20"/>
                <w:szCs w:val="20"/>
                <w:color w:val="auto"/>
              </w:rPr>
            </w:pPr>
            <w:r>
              <w:rPr>
                <w:rFonts w:ascii="Arial" w:cs="Arial" w:eastAsia="Arial" w:hAnsi="Arial"/>
                <w:sz w:val="10"/>
                <w:szCs w:val="10"/>
                <w:color w:val="auto"/>
              </w:rPr>
              <w:t>169.7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169.7</w:t>
            </w:r>
          </w:p>
        </w:tc>
        <w:tc>
          <w:tcPr>
            <w:tcW w:w="0" w:type="dxa"/>
            <w:vAlign w:val="bottom"/>
          </w:tcPr>
          <w:p>
            <w:pPr>
              <w:spacing w:after="0"/>
              <w:rPr>
                <w:sz w:val="1"/>
                <w:szCs w:val="1"/>
                <w:color w:val="auto"/>
              </w:rPr>
            </w:pPr>
          </w:p>
        </w:tc>
      </w:tr>
      <w:tr>
        <w:trPr>
          <w:trHeight w:val="139"/>
        </w:trPr>
        <w:tc>
          <w:tcPr>
            <w:tcW w:w="6520" w:type="dxa"/>
            <w:vAlign w:val="bottom"/>
            <w:shd w:val="clear" w:color="auto" w:fill="CCEEFF"/>
          </w:tcPr>
          <w:p>
            <w:pPr>
              <w:ind w:left="140"/>
              <w:spacing w:after="0"/>
              <w:rPr>
                <w:sz w:val="20"/>
                <w:szCs w:val="20"/>
                <w:color w:val="auto"/>
              </w:rPr>
            </w:pPr>
            <w:r>
              <w:rPr>
                <w:rFonts w:ascii="Arial" w:cs="Arial" w:eastAsia="Arial" w:hAnsi="Arial"/>
                <w:sz w:val="10"/>
                <w:szCs w:val="10"/>
                <w:color w:val="auto"/>
              </w:rPr>
              <w:t>Net (gains) losses recognized on investments</w:t>
            </w: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(326.0)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gridSpan w:val="3"/>
            <w:shd w:val="clear" w:color="auto" w:fill="CCEEFF"/>
          </w:tcPr>
          <w:p>
            <w:pPr>
              <w:jc w:val="right"/>
              <w:ind w:right="12"/>
              <w:spacing w:after="0"/>
              <w:rPr>
                <w:sz w:val="20"/>
                <w:szCs w:val="20"/>
                <w:color w:val="auto"/>
              </w:rPr>
            </w:pPr>
            <w:r>
              <w:rPr>
                <w:rFonts w:ascii="Arial" w:cs="Arial" w:eastAsia="Arial" w:hAnsi="Arial"/>
                <w:sz w:val="10"/>
                <w:szCs w:val="10"/>
                <w:color w:val="auto"/>
              </w:rPr>
              <w:t>25.6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(300.4)</w:t>
            </w:r>
          </w:p>
        </w:tc>
        <w:tc>
          <w:tcPr>
            <w:tcW w:w="0" w:type="dxa"/>
            <w:vAlign w:val="bottom"/>
          </w:tcPr>
          <w:p>
            <w:pPr>
              <w:spacing w:after="0"/>
              <w:rPr>
                <w:sz w:val="1"/>
                <w:szCs w:val="1"/>
                <w:color w:val="auto"/>
              </w:rPr>
            </w:pPr>
          </w:p>
        </w:tc>
      </w:tr>
      <w:tr>
        <w:trPr>
          <w:trHeight w:val="131"/>
        </w:trPr>
        <w:tc>
          <w:tcPr>
            <w:tcW w:w="6520" w:type="dxa"/>
            <w:vAlign w:val="bottom"/>
          </w:tcPr>
          <w:p>
            <w:pPr>
              <w:ind w:left="140"/>
              <w:spacing w:after="0"/>
              <w:rPr>
                <w:sz w:val="20"/>
                <w:szCs w:val="20"/>
                <w:color w:val="auto"/>
              </w:rPr>
            </w:pPr>
            <w:r>
              <w:rPr>
                <w:rFonts w:ascii="Arial" w:cs="Arial" w:eastAsia="Arial" w:hAnsi="Arial"/>
                <w:sz w:val="10"/>
                <w:szCs w:val="10"/>
                <w:color w:val="auto"/>
              </w:rPr>
              <w:t>Net redemptions in sponsored investment products used to economically hedge supplemental savings plan liability</w:t>
            </w:r>
          </w:p>
        </w:tc>
        <w:tc>
          <w:tcPr>
            <w:tcW w:w="180" w:type="dxa"/>
            <w:vAlign w:val="bottom"/>
          </w:tcPr>
          <w:p>
            <w:pPr>
              <w:spacing w:after="0"/>
              <w:rPr>
                <w:sz w:val="11"/>
                <w:szCs w:val="11"/>
                <w:color w:val="auto"/>
              </w:rPr>
            </w:pPr>
          </w:p>
        </w:tc>
        <w:tc>
          <w:tcPr>
            <w:tcW w:w="1040" w:type="dxa"/>
            <w:vAlign w:val="bottom"/>
          </w:tcPr>
          <w:p>
            <w:pPr>
              <w:jc w:val="right"/>
              <w:ind w:right="12"/>
              <w:spacing w:after="0"/>
              <w:rPr>
                <w:sz w:val="20"/>
                <w:szCs w:val="20"/>
                <w:color w:val="auto"/>
              </w:rPr>
            </w:pPr>
            <w:r>
              <w:rPr>
                <w:rFonts w:ascii="Arial" w:cs="Arial" w:eastAsia="Arial" w:hAnsi="Arial"/>
                <w:sz w:val="10"/>
                <w:szCs w:val="10"/>
                <w:color w:val="auto"/>
              </w:rPr>
              <w:t>101.3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101.3</w:t>
            </w:r>
          </w:p>
        </w:tc>
        <w:tc>
          <w:tcPr>
            <w:tcW w:w="0" w:type="dxa"/>
            <w:vAlign w:val="bottom"/>
          </w:tcPr>
          <w:p>
            <w:pPr>
              <w:spacing w:after="0"/>
              <w:rPr>
                <w:sz w:val="1"/>
                <w:szCs w:val="1"/>
                <w:color w:val="auto"/>
              </w:rPr>
            </w:pPr>
          </w:p>
        </w:tc>
      </w:tr>
      <w:tr>
        <w:trPr>
          <w:trHeight w:val="139"/>
        </w:trPr>
        <w:tc>
          <w:tcPr>
            <w:tcW w:w="6520" w:type="dxa"/>
            <w:vAlign w:val="bottom"/>
            <w:shd w:val="clear" w:color="auto" w:fill="CCEEFF"/>
          </w:tcPr>
          <w:p>
            <w:pPr>
              <w:ind w:left="140"/>
              <w:spacing w:after="0"/>
              <w:rPr>
                <w:sz w:val="20"/>
                <w:szCs w:val="20"/>
                <w:color w:val="auto"/>
              </w:rPr>
            </w:pPr>
            <w:r>
              <w:rPr>
                <w:rFonts w:ascii="Arial" w:cs="Arial" w:eastAsia="Arial" w:hAnsi="Arial"/>
                <w:sz w:val="10"/>
                <w:szCs w:val="10"/>
                <w:color w:val="auto"/>
              </w:rPr>
              <w:t>Net change in trading securities held by consolidated sponsored investment products</w:t>
            </w:r>
          </w:p>
        </w:tc>
        <w:tc>
          <w:tcPr>
            <w:tcW w:w="1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(779.9)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(779.9)</w:t>
            </w:r>
          </w:p>
        </w:tc>
        <w:tc>
          <w:tcPr>
            <w:tcW w:w="0" w:type="dxa"/>
            <w:vAlign w:val="bottom"/>
          </w:tcPr>
          <w:p>
            <w:pPr>
              <w:spacing w:after="0"/>
              <w:rPr>
                <w:sz w:val="1"/>
                <w:szCs w:val="1"/>
                <w:color w:val="auto"/>
              </w:rPr>
            </w:pPr>
          </w:p>
        </w:tc>
      </w:tr>
      <w:tr>
        <w:trPr>
          <w:trHeight w:val="131"/>
        </w:trPr>
        <w:tc>
          <w:tcPr>
            <w:tcW w:w="6520" w:type="dxa"/>
            <w:vAlign w:val="bottom"/>
            <w:tcBorders>
              <w:bottom w:val="single" w:sz="8" w:color="CCEEFF"/>
            </w:tcBorders>
          </w:tcPr>
          <w:p>
            <w:pPr>
              <w:ind w:left="140"/>
              <w:spacing w:after="0"/>
              <w:rPr>
                <w:sz w:val="20"/>
                <w:szCs w:val="20"/>
                <w:color w:val="auto"/>
              </w:rPr>
            </w:pPr>
            <w:r>
              <w:rPr>
                <w:rFonts w:ascii="Arial" w:cs="Arial" w:eastAsia="Arial" w:hAnsi="Arial"/>
                <w:sz w:val="10"/>
                <w:szCs w:val="10"/>
                <w:color w:val="auto"/>
              </w:rPr>
              <w:t>Other changes</w:t>
            </w:r>
          </w:p>
        </w:tc>
        <w:tc>
          <w:tcPr>
            <w:tcW w:w="1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546.8</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11.8</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color w:val="auto"/>
              </w:rPr>
              <w:t>(9.3)</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549.3</w:t>
            </w:r>
          </w:p>
        </w:tc>
        <w:tc>
          <w:tcPr>
            <w:tcW w:w="0" w:type="dxa"/>
            <w:vAlign w:val="bottom"/>
          </w:tcPr>
          <w:p>
            <w:pPr>
              <w:spacing w:after="0"/>
              <w:rPr>
                <w:sz w:val="1"/>
                <w:szCs w:val="1"/>
                <w:color w:val="auto"/>
              </w:rPr>
            </w:pPr>
          </w:p>
        </w:tc>
      </w:tr>
      <w:tr>
        <w:trPr>
          <w:trHeight w:val="128"/>
        </w:trPr>
        <w:tc>
          <w:tcPr>
            <w:tcW w:w="6520" w:type="dxa"/>
            <w:vAlign w:val="bottom"/>
            <w:shd w:val="clear" w:color="auto" w:fill="CCEEFF"/>
          </w:tcPr>
          <w:p>
            <w:pPr>
              <w:spacing w:after="0"/>
              <w:rPr>
                <w:sz w:val="20"/>
                <w:szCs w:val="20"/>
                <w:color w:val="auto"/>
              </w:rPr>
            </w:pPr>
            <w:r>
              <w:rPr>
                <w:rFonts w:ascii="Arial" w:cs="Arial" w:eastAsia="Arial" w:hAnsi="Arial"/>
                <w:sz w:val="10"/>
                <w:szCs w:val="10"/>
                <w:color w:val="auto"/>
              </w:rPr>
              <w:t>Net cash provided by (used in) operating activities</w:t>
            </w: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2,117.3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(731.5)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rPr>
              <w:t>(9.3)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1,376.5</w:t>
            </w:r>
          </w:p>
        </w:tc>
        <w:tc>
          <w:tcPr>
            <w:tcW w:w="0" w:type="dxa"/>
            <w:vAlign w:val="bottom"/>
          </w:tcPr>
          <w:p>
            <w:pPr>
              <w:spacing w:after="0"/>
              <w:rPr>
                <w:sz w:val="1"/>
                <w:szCs w:val="1"/>
                <w:color w:val="auto"/>
              </w:rPr>
            </w:pPr>
          </w:p>
        </w:tc>
      </w:tr>
      <w:tr>
        <w:trPr>
          <w:trHeight w:val="131"/>
        </w:trPr>
        <w:tc>
          <w:tcPr>
            <w:tcW w:w="6520" w:type="dxa"/>
            <w:vAlign w:val="bottom"/>
          </w:tcPr>
          <w:p>
            <w:pPr>
              <w:spacing w:after="0"/>
              <w:rPr>
                <w:sz w:val="20"/>
                <w:szCs w:val="20"/>
                <w:color w:val="auto"/>
              </w:rPr>
            </w:pPr>
            <w:r>
              <w:rPr>
                <w:rFonts w:ascii="Arial" w:cs="Arial" w:eastAsia="Arial" w:hAnsi="Arial"/>
                <w:sz w:val="10"/>
                <w:szCs w:val="10"/>
                <w:color w:val="auto"/>
              </w:rPr>
              <w:t>Net cash provided by (used in) investing activities</w:t>
            </w:r>
          </w:p>
        </w:tc>
        <w:tc>
          <w:tcPr>
            <w:tcW w:w="1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(333.3)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gridSpan w:val="2"/>
          </w:tcPr>
          <w:p>
            <w:pPr>
              <w:jc w:val="right"/>
              <w:spacing w:after="0"/>
              <w:rPr>
                <w:sz w:val="20"/>
                <w:szCs w:val="20"/>
                <w:color w:val="auto"/>
              </w:rPr>
            </w:pPr>
            <w:r>
              <w:rPr>
                <w:rFonts w:ascii="Arial" w:cs="Arial" w:eastAsia="Arial" w:hAnsi="Arial"/>
                <w:sz w:val="10"/>
                <w:szCs w:val="10"/>
                <w:color w:val="auto"/>
              </w:rPr>
              <w:t>(35.6)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gridSpan w:val="3"/>
          </w:tcPr>
          <w:p>
            <w:pPr>
              <w:jc w:val="right"/>
              <w:ind w:right="12"/>
              <w:spacing w:after="0"/>
              <w:rPr>
                <w:sz w:val="20"/>
                <w:szCs w:val="20"/>
                <w:color w:val="auto"/>
              </w:rPr>
            </w:pPr>
            <w:r>
              <w:rPr>
                <w:rFonts w:ascii="Arial" w:cs="Arial" w:eastAsia="Arial" w:hAnsi="Arial"/>
                <w:sz w:val="10"/>
                <w:szCs w:val="10"/>
                <w:color w:val="auto"/>
              </w:rPr>
              <w:t>407.0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38.1</w:t>
            </w:r>
          </w:p>
        </w:tc>
        <w:tc>
          <w:tcPr>
            <w:tcW w:w="0" w:type="dxa"/>
            <w:vAlign w:val="bottom"/>
          </w:tcPr>
          <w:p>
            <w:pPr>
              <w:spacing w:after="0"/>
              <w:rPr>
                <w:sz w:val="1"/>
                <w:szCs w:val="1"/>
                <w:color w:val="auto"/>
              </w:rPr>
            </w:pPr>
          </w:p>
        </w:tc>
      </w:tr>
      <w:tr>
        <w:trPr>
          <w:trHeight w:val="139"/>
        </w:trPr>
        <w:tc>
          <w:tcPr>
            <w:tcW w:w="6520" w:type="dxa"/>
            <w:vAlign w:val="bottom"/>
            <w:shd w:val="clear" w:color="auto" w:fill="CCEEFF"/>
          </w:tcPr>
          <w:p>
            <w:pPr>
              <w:spacing w:after="0"/>
              <w:rPr>
                <w:sz w:val="20"/>
                <w:szCs w:val="20"/>
                <w:color w:val="auto"/>
              </w:rPr>
            </w:pPr>
            <w:r>
              <w:rPr>
                <w:rFonts w:ascii="Arial" w:cs="Arial" w:eastAsia="Arial" w:hAnsi="Arial"/>
                <w:sz w:val="10"/>
                <w:szCs w:val="10"/>
                <w:color w:val="auto"/>
              </w:rPr>
              <w:t>Net cash provided by (used in) financing activities</w:t>
            </w: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(960.9)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741.4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rPr>
              <w:t>(397.7)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(617.2)</w:t>
            </w:r>
          </w:p>
        </w:tc>
        <w:tc>
          <w:tcPr>
            <w:tcW w:w="0" w:type="dxa"/>
            <w:vAlign w:val="bottom"/>
          </w:tcPr>
          <w:p>
            <w:pPr>
              <w:spacing w:after="0"/>
              <w:rPr>
                <w:sz w:val="1"/>
                <w:szCs w:val="1"/>
                <w:color w:val="auto"/>
              </w:rPr>
            </w:pPr>
          </w:p>
        </w:tc>
      </w:tr>
      <w:tr>
        <w:trPr>
          <w:trHeight w:val="131"/>
        </w:trPr>
        <w:tc>
          <w:tcPr>
            <w:tcW w:w="652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Effect of exchange rate changes on cash and cash equivalents of consolidated sponsored investment products</w:t>
            </w:r>
          </w:p>
        </w:tc>
        <w:tc>
          <w:tcPr>
            <w:tcW w:w="1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(1.8)</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w:t>
            </w:r>
          </w:p>
        </w:tc>
        <w:tc>
          <w:tcPr>
            <w:tcW w:w="0" w:type="dxa"/>
            <w:vAlign w:val="bottom"/>
          </w:tcPr>
          <w:p>
            <w:pPr>
              <w:spacing w:after="0"/>
              <w:rPr>
                <w:sz w:val="1"/>
                <w:szCs w:val="1"/>
                <w:color w:val="auto"/>
              </w:rPr>
            </w:pPr>
          </w:p>
        </w:tc>
      </w:tr>
      <w:tr>
        <w:trPr>
          <w:trHeight w:val="128"/>
        </w:trPr>
        <w:tc>
          <w:tcPr>
            <w:tcW w:w="6520" w:type="dxa"/>
            <w:vAlign w:val="bottom"/>
            <w:shd w:val="clear" w:color="auto" w:fill="CCEEFF"/>
          </w:tcPr>
          <w:p>
            <w:pPr>
              <w:spacing w:after="0"/>
              <w:rPr>
                <w:sz w:val="20"/>
                <w:szCs w:val="20"/>
                <w:color w:val="auto"/>
              </w:rPr>
            </w:pPr>
            <w:r>
              <w:rPr>
                <w:rFonts w:ascii="Arial" w:cs="Arial" w:eastAsia="Arial" w:hAnsi="Arial"/>
                <w:sz w:val="10"/>
                <w:szCs w:val="10"/>
                <w:color w:val="auto"/>
              </w:rPr>
              <w:t>Net change in cash and cash equivalents during period</w:t>
            </w: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823.1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(27.5)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795.6</w:t>
            </w:r>
          </w:p>
        </w:tc>
        <w:tc>
          <w:tcPr>
            <w:tcW w:w="0" w:type="dxa"/>
            <w:vAlign w:val="bottom"/>
          </w:tcPr>
          <w:p>
            <w:pPr>
              <w:spacing w:after="0"/>
              <w:rPr>
                <w:sz w:val="1"/>
                <w:szCs w:val="1"/>
                <w:color w:val="auto"/>
              </w:rPr>
            </w:pPr>
          </w:p>
        </w:tc>
      </w:tr>
      <w:tr>
        <w:trPr>
          <w:trHeight w:val="131"/>
        </w:trPr>
        <w:tc>
          <w:tcPr>
            <w:tcW w:w="652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Cash and cash equivalents at beginning of year</w:t>
            </w:r>
          </w:p>
        </w:tc>
        <w:tc>
          <w:tcPr>
            <w:tcW w:w="1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1,755.6</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119.1</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1,874.7</w:t>
            </w:r>
          </w:p>
        </w:tc>
        <w:tc>
          <w:tcPr>
            <w:tcW w:w="0" w:type="dxa"/>
            <w:vAlign w:val="bottom"/>
          </w:tcPr>
          <w:p>
            <w:pPr>
              <w:spacing w:after="0"/>
              <w:rPr>
                <w:sz w:val="1"/>
                <w:szCs w:val="1"/>
                <w:color w:val="auto"/>
              </w:rPr>
            </w:pPr>
          </w:p>
        </w:tc>
      </w:tr>
      <w:tr>
        <w:trPr>
          <w:trHeight w:val="144"/>
        </w:trPr>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Cash and cash equivalents at end of period</w:t>
            </w:r>
          </w:p>
        </w:tc>
        <w:tc>
          <w:tcPr>
            <w:tcW w:w="1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2,578.7</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rPr>
              <w:t>91.6</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2,670.3</w:t>
            </w:r>
          </w:p>
        </w:tc>
        <w:tc>
          <w:tcPr>
            <w:tcW w:w="0" w:type="dxa"/>
            <w:vAlign w:val="bottom"/>
          </w:tcPr>
          <w:p>
            <w:pPr>
              <w:spacing w:after="0"/>
              <w:rPr>
                <w:sz w:val="1"/>
                <w:szCs w:val="1"/>
                <w:color w:val="auto"/>
              </w:rPr>
            </w:pPr>
          </w:p>
        </w:tc>
      </w:tr>
      <w:tr>
        <w:trPr>
          <w:trHeight w:val="243"/>
        </w:trPr>
        <w:tc>
          <w:tcPr>
            <w:tcW w:w="6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4"/>
        </w:trPr>
        <w:tc>
          <w:tcPr>
            <w:tcW w:w="652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Unaudited Condensed Consolidated Balance Sheet Information (in millions)</w:t>
            </w: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0"/>
                <w:szCs w:val="10"/>
                <w:color w:val="auto"/>
              </w:rPr>
              <w:t>As of</w:t>
            </w:r>
          </w:p>
        </w:tc>
        <w:tc>
          <w:tcPr>
            <w:tcW w:w="10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652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10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620" w:type="dxa"/>
            <w:vAlign w:val="bottom"/>
            <w:tcBorders>
              <w:bottom w:val="single" w:sz="8" w:color="CCEEFF"/>
            </w:tcBorders>
          </w:tcPr>
          <w:p>
            <w:pPr>
              <w:spacing w:after="0"/>
              <w:rPr>
                <w:sz w:val="10"/>
                <w:szCs w:val="10"/>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color w:val="auto"/>
              </w:rPr>
              <w:t>9/30/2023</w:t>
            </w:r>
          </w:p>
        </w:tc>
        <w:tc>
          <w:tcPr>
            <w:tcW w:w="4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w w:val="95"/>
              </w:rPr>
              <w:t>12/31/2022</w:t>
            </w:r>
          </w:p>
        </w:tc>
        <w:tc>
          <w:tcPr>
            <w:tcW w:w="0" w:type="dxa"/>
            <w:vAlign w:val="bottom"/>
          </w:tcPr>
          <w:p>
            <w:pPr>
              <w:spacing w:after="0"/>
              <w:rPr>
                <w:sz w:val="1"/>
                <w:szCs w:val="1"/>
                <w:color w:val="auto"/>
              </w:rPr>
            </w:pPr>
          </w:p>
        </w:tc>
      </w:tr>
      <w:tr>
        <w:trPr>
          <w:trHeight w:val="128"/>
        </w:trPr>
        <w:tc>
          <w:tcPr>
            <w:tcW w:w="6520" w:type="dxa"/>
            <w:vAlign w:val="bottom"/>
            <w:shd w:val="clear" w:color="auto" w:fill="CCEEFF"/>
          </w:tcPr>
          <w:p>
            <w:pPr>
              <w:spacing w:after="0"/>
              <w:rPr>
                <w:sz w:val="20"/>
                <w:szCs w:val="20"/>
                <w:color w:val="auto"/>
              </w:rPr>
            </w:pPr>
            <w:r>
              <w:rPr>
                <w:rFonts w:ascii="Arial" w:cs="Arial" w:eastAsia="Arial" w:hAnsi="Arial"/>
                <w:sz w:val="10"/>
                <w:szCs w:val="10"/>
                <w:color w:val="auto"/>
              </w:rPr>
              <w:t>Cash and cash equivalents</w:t>
            </w: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ind w:right="572"/>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2,578.7</w:t>
            </w:r>
          </w:p>
        </w:tc>
        <w:tc>
          <w:tcPr>
            <w:tcW w:w="380" w:type="dxa"/>
            <w:vAlign w:val="bottom"/>
            <w:gridSpan w:val="3"/>
            <w:shd w:val="clear" w:color="auto" w:fill="CCEEFF"/>
          </w:tcPr>
          <w:p>
            <w:pPr>
              <w:jc w:val="right"/>
              <w:ind w:right="152"/>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1,755.6</w:t>
            </w:r>
          </w:p>
        </w:tc>
        <w:tc>
          <w:tcPr>
            <w:tcW w:w="0" w:type="dxa"/>
            <w:vAlign w:val="bottom"/>
          </w:tcPr>
          <w:p>
            <w:pPr>
              <w:spacing w:after="0"/>
              <w:rPr>
                <w:sz w:val="1"/>
                <w:szCs w:val="1"/>
                <w:color w:val="auto"/>
              </w:rPr>
            </w:pPr>
          </w:p>
        </w:tc>
      </w:tr>
      <w:tr>
        <w:trPr>
          <w:trHeight w:val="131"/>
        </w:trPr>
        <w:tc>
          <w:tcPr>
            <w:tcW w:w="6520" w:type="dxa"/>
            <w:vAlign w:val="bottom"/>
          </w:tcPr>
          <w:p>
            <w:pPr>
              <w:spacing w:after="0"/>
              <w:rPr>
                <w:sz w:val="20"/>
                <w:szCs w:val="20"/>
                <w:color w:val="auto"/>
              </w:rPr>
            </w:pPr>
            <w:r>
              <w:rPr>
                <w:rFonts w:ascii="Arial" w:cs="Arial" w:eastAsia="Arial" w:hAnsi="Arial"/>
                <w:sz w:val="10"/>
                <w:szCs w:val="10"/>
                <w:color w:val="auto"/>
              </w:rPr>
              <w:t>Accounts receivable and accrued revenue</w:t>
            </w: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752.0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748.7</w:t>
            </w:r>
          </w:p>
        </w:tc>
        <w:tc>
          <w:tcPr>
            <w:tcW w:w="0" w:type="dxa"/>
            <w:vAlign w:val="bottom"/>
          </w:tcPr>
          <w:p>
            <w:pPr>
              <w:spacing w:after="0"/>
              <w:rPr>
                <w:sz w:val="1"/>
                <w:szCs w:val="1"/>
                <w:color w:val="auto"/>
              </w:rPr>
            </w:pPr>
          </w:p>
        </w:tc>
      </w:tr>
      <w:tr>
        <w:trPr>
          <w:trHeight w:val="139"/>
        </w:trPr>
        <w:tc>
          <w:tcPr>
            <w:tcW w:w="6520" w:type="dxa"/>
            <w:vAlign w:val="bottom"/>
            <w:shd w:val="clear" w:color="auto" w:fill="CCEEFF"/>
          </w:tcPr>
          <w:p>
            <w:pPr>
              <w:spacing w:after="0"/>
              <w:rPr>
                <w:sz w:val="20"/>
                <w:szCs w:val="20"/>
                <w:color w:val="auto"/>
              </w:rPr>
            </w:pPr>
            <w:r>
              <w:rPr>
                <w:rFonts w:ascii="Arial" w:cs="Arial" w:eastAsia="Arial" w:hAnsi="Arial"/>
                <w:sz w:val="10"/>
                <w:szCs w:val="10"/>
                <w:color w:val="auto"/>
              </w:rPr>
              <w:t>Investments</w:t>
            </w: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2,503.6</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2,539.2</w:t>
            </w:r>
          </w:p>
        </w:tc>
        <w:tc>
          <w:tcPr>
            <w:tcW w:w="0" w:type="dxa"/>
            <w:vAlign w:val="bottom"/>
          </w:tcPr>
          <w:p>
            <w:pPr>
              <w:spacing w:after="0"/>
              <w:rPr>
                <w:sz w:val="1"/>
                <w:szCs w:val="1"/>
                <w:color w:val="auto"/>
              </w:rPr>
            </w:pPr>
          </w:p>
        </w:tc>
      </w:tr>
      <w:tr>
        <w:trPr>
          <w:trHeight w:val="131"/>
        </w:trPr>
        <w:tc>
          <w:tcPr>
            <w:tcW w:w="6520" w:type="dxa"/>
            <w:vAlign w:val="bottom"/>
          </w:tcPr>
          <w:p>
            <w:pPr>
              <w:spacing w:after="0"/>
              <w:rPr>
                <w:sz w:val="20"/>
                <w:szCs w:val="20"/>
                <w:color w:val="auto"/>
              </w:rPr>
            </w:pPr>
            <w:r>
              <w:rPr>
                <w:rFonts w:ascii="Arial" w:cs="Arial" w:eastAsia="Arial" w:hAnsi="Arial"/>
                <w:sz w:val="10"/>
                <w:szCs w:val="10"/>
                <w:color w:val="auto"/>
              </w:rPr>
              <w:t>Assets of consolidated sponsored investment products</w:t>
            </w: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1,778.3</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1,603.4</w:t>
            </w:r>
          </w:p>
        </w:tc>
        <w:tc>
          <w:tcPr>
            <w:tcW w:w="0" w:type="dxa"/>
            <w:vAlign w:val="bottom"/>
          </w:tcPr>
          <w:p>
            <w:pPr>
              <w:spacing w:after="0"/>
              <w:rPr>
                <w:sz w:val="1"/>
                <w:szCs w:val="1"/>
                <w:color w:val="auto"/>
              </w:rPr>
            </w:pPr>
          </w:p>
        </w:tc>
      </w:tr>
      <w:tr>
        <w:trPr>
          <w:trHeight w:val="139"/>
        </w:trPr>
        <w:tc>
          <w:tcPr>
            <w:tcW w:w="6520" w:type="dxa"/>
            <w:vAlign w:val="bottom"/>
            <w:shd w:val="clear" w:color="auto" w:fill="CCEEFF"/>
          </w:tcPr>
          <w:p>
            <w:pPr>
              <w:spacing w:after="0"/>
              <w:rPr>
                <w:sz w:val="20"/>
                <w:szCs w:val="20"/>
                <w:color w:val="auto"/>
              </w:rPr>
            </w:pPr>
            <w:r>
              <w:rPr>
                <w:rFonts w:ascii="Arial" w:cs="Arial" w:eastAsia="Arial" w:hAnsi="Arial"/>
                <w:sz w:val="10"/>
                <w:szCs w:val="10"/>
                <w:color w:val="auto"/>
              </w:rPr>
              <w:t>Operating lease assets</w:t>
            </w: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250.5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279.4</w:t>
            </w:r>
          </w:p>
        </w:tc>
        <w:tc>
          <w:tcPr>
            <w:tcW w:w="0" w:type="dxa"/>
            <w:vAlign w:val="bottom"/>
          </w:tcPr>
          <w:p>
            <w:pPr>
              <w:spacing w:after="0"/>
              <w:rPr>
                <w:sz w:val="1"/>
                <w:szCs w:val="1"/>
                <w:color w:val="auto"/>
              </w:rPr>
            </w:pPr>
          </w:p>
        </w:tc>
      </w:tr>
      <w:tr>
        <w:trPr>
          <w:trHeight w:val="131"/>
        </w:trPr>
        <w:tc>
          <w:tcPr>
            <w:tcW w:w="6520" w:type="dxa"/>
            <w:vAlign w:val="bottom"/>
          </w:tcPr>
          <w:p>
            <w:pPr>
              <w:spacing w:after="0"/>
              <w:rPr>
                <w:sz w:val="20"/>
                <w:szCs w:val="20"/>
                <w:color w:val="auto"/>
              </w:rPr>
            </w:pPr>
            <w:r>
              <w:rPr>
                <w:rFonts w:ascii="Arial" w:cs="Arial" w:eastAsia="Arial" w:hAnsi="Arial"/>
                <w:sz w:val="10"/>
                <w:szCs w:val="10"/>
                <w:color w:val="auto"/>
              </w:rPr>
              <w:t>Property, equipment and software, net</w:t>
            </w: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799.1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755.7</w:t>
            </w:r>
          </w:p>
        </w:tc>
        <w:tc>
          <w:tcPr>
            <w:tcW w:w="0" w:type="dxa"/>
            <w:vAlign w:val="bottom"/>
          </w:tcPr>
          <w:p>
            <w:pPr>
              <w:spacing w:after="0"/>
              <w:rPr>
                <w:sz w:val="1"/>
                <w:szCs w:val="1"/>
                <w:color w:val="auto"/>
              </w:rPr>
            </w:pPr>
          </w:p>
        </w:tc>
      </w:tr>
      <w:tr>
        <w:trPr>
          <w:trHeight w:val="139"/>
        </w:trPr>
        <w:tc>
          <w:tcPr>
            <w:tcW w:w="6520" w:type="dxa"/>
            <w:vAlign w:val="bottom"/>
            <w:shd w:val="clear" w:color="auto" w:fill="CCEEFF"/>
          </w:tcPr>
          <w:p>
            <w:pPr>
              <w:spacing w:after="0"/>
              <w:rPr>
                <w:sz w:val="20"/>
                <w:szCs w:val="20"/>
                <w:color w:val="auto"/>
              </w:rPr>
            </w:pPr>
            <w:r>
              <w:rPr>
                <w:rFonts w:ascii="Arial" w:cs="Arial" w:eastAsia="Arial" w:hAnsi="Arial"/>
                <w:sz w:val="10"/>
                <w:szCs w:val="10"/>
                <w:color w:val="auto"/>
              </w:rPr>
              <w:t>Goodwill and intangible assets</w:t>
            </w: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3,185.2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3,272.6</w:t>
            </w:r>
          </w:p>
        </w:tc>
        <w:tc>
          <w:tcPr>
            <w:tcW w:w="0" w:type="dxa"/>
            <w:vAlign w:val="bottom"/>
          </w:tcPr>
          <w:p>
            <w:pPr>
              <w:spacing w:after="0"/>
              <w:rPr>
                <w:sz w:val="1"/>
                <w:szCs w:val="1"/>
                <w:color w:val="auto"/>
              </w:rPr>
            </w:pPr>
          </w:p>
        </w:tc>
      </w:tr>
      <w:tr>
        <w:trPr>
          <w:trHeight w:val="131"/>
        </w:trPr>
        <w:tc>
          <w:tcPr>
            <w:tcW w:w="652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Other assets</w:t>
            </w:r>
          </w:p>
        </w:tc>
        <w:tc>
          <w:tcPr>
            <w:tcW w:w="180" w:type="dxa"/>
            <w:vAlign w:val="bottom"/>
            <w:tcBorders>
              <w:bottom w:val="single" w:sz="8" w:color="CCEEFF"/>
            </w:tcBorders>
          </w:tcPr>
          <w:p>
            <w:pPr>
              <w:spacing w:after="0"/>
              <w:rPr>
                <w:sz w:val="11"/>
                <w:szCs w:val="11"/>
                <w:color w:val="auto"/>
              </w:rPr>
            </w:pPr>
          </w:p>
        </w:tc>
        <w:tc>
          <w:tcPr>
            <w:tcW w:w="10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62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709.4</w:t>
            </w: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688.7</w:t>
            </w:r>
          </w:p>
        </w:tc>
        <w:tc>
          <w:tcPr>
            <w:tcW w:w="0" w:type="dxa"/>
            <w:vAlign w:val="bottom"/>
          </w:tcPr>
          <w:p>
            <w:pPr>
              <w:spacing w:after="0"/>
              <w:rPr>
                <w:sz w:val="1"/>
                <w:szCs w:val="1"/>
                <w:color w:val="auto"/>
              </w:rPr>
            </w:pPr>
          </w:p>
        </w:tc>
      </w:tr>
      <w:tr>
        <w:trPr>
          <w:trHeight w:val="128"/>
        </w:trPr>
        <w:tc>
          <w:tcPr>
            <w:tcW w:w="6520" w:type="dxa"/>
            <w:vAlign w:val="bottom"/>
            <w:shd w:val="clear" w:color="auto" w:fill="CCEEFF"/>
          </w:tcPr>
          <w:p>
            <w:pPr>
              <w:spacing w:after="0"/>
              <w:rPr>
                <w:sz w:val="20"/>
                <w:szCs w:val="20"/>
                <w:color w:val="auto"/>
              </w:rPr>
            </w:pPr>
            <w:r>
              <w:rPr>
                <w:rFonts w:ascii="Arial" w:cs="Arial" w:eastAsia="Arial" w:hAnsi="Arial"/>
                <w:sz w:val="10"/>
                <w:szCs w:val="10"/>
                <w:color w:val="auto"/>
              </w:rPr>
              <w:t>Total assets</w:t>
            </w: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7"/>
              </w:rPr>
              <w:t>12,556.8</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11,643.3</w:t>
            </w:r>
          </w:p>
        </w:tc>
        <w:tc>
          <w:tcPr>
            <w:tcW w:w="0" w:type="dxa"/>
            <w:vAlign w:val="bottom"/>
          </w:tcPr>
          <w:p>
            <w:pPr>
              <w:spacing w:after="0"/>
              <w:rPr>
                <w:sz w:val="1"/>
                <w:szCs w:val="1"/>
                <w:color w:val="auto"/>
              </w:rPr>
            </w:pPr>
          </w:p>
        </w:tc>
      </w:tr>
      <w:tr>
        <w:trPr>
          <w:trHeight w:val="131"/>
        </w:trPr>
        <w:tc>
          <w:tcPr>
            <w:tcW w:w="6520" w:type="dxa"/>
            <w:vAlign w:val="bottom"/>
          </w:tcPr>
          <w:p>
            <w:pPr>
              <w:spacing w:after="0"/>
              <w:rPr>
                <w:sz w:val="20"/>
                <w:szCs w:val="20"/>
                <w:color w:val="auto"/>
              </w:rPr>
            </w:pPr>
            <w:r>
              <w:rPr>
                <w:rFonts w:ascii="Arial" w:cs="Arial" w:eastAsia="Arial" w:hAnsi="Arial"/>
                <w:sz w:val="10"/>
                <w:szCs w:val="10"/>
                <w:color w:val="auto"/>
              </w:rPr>
              <w:t>Supplemental savings plan liability</w:t>
            </w: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786.6</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761.2</w:t>
            </w:r>
          </w:p>
        </w:tc>
        <w:tc>
          <w:tcPr>
            <w:tcW w:w="0" w:type="dxa"/>
            <w:vAlign w:val="bottom"/>
          </w:tcPr>
          <w:p>
            <w:pPr>
              <w:spacing w:after="0"/>
              <w:rPr>
                <w:sz w:val="1"/>
                <w:szCs w:val="1"/>
                <w:color w:val="auto"/>
              </w:rPr>
            </w:pPr>
          </w:p>
        </w:tc>
      </w:tr>
      <w:tr>
        <w:trPr>
          <w:trHeight w:val="139"/>
        </w:trPr>
        <w:tc>
          <w:tcPr>
            <w:tcW w:w="6520" w:type="dxa"/>
            <w:vAlign w:val="bottom"/>
            <w:shd w:val="clear" w:color="auto" w:fill="CCEEFF"/>
          </w:tcPr>
          <w:p>
            <w:pPr>
              <w:spacing w:after="0"/>
              <w:rPr>
                <w:sz w:val="20"/>
                <w:szCs w:val="20"/>
                <w:color w:val="auto"/>
              </w:rPr>
            </w:pPr>
            <w:r>
              <w:rPr>
                <w:rFonts w:ascii="Arial" w:cs="Arial" w:eastAsia="Arial" w:hAnsi="Arial"/>
                <w:sz w:val="10"/>
                <w:szCs w:val="10"/>
                <w:color w:val="auto"/>
              </w:rPr>
              <w:t>Contingent consideration</w:t>
            </w: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95.8</w:t>
            </w:r>
          </w:p>
        </w:tc>
        <w:tc>
          <w:tcPr>
            <w:tcW w:w="0" w:type="dxa"/>
            <w:vAlign w:val="bottom"/>
          </w:tcPr>
          <w:p>
            <w:pPr>
              <w:spacing w:after="0"/>
              <w:rPr>
                <w:sz w:val="1"/>
                <w:szCs w:val="1"/>
                <w:color w:val="auto"/>
              </w:rPr>
            </w:pPr>
          </w:p>
        </w:tc>
      </w:tr>
      <w:tr>
        <w:trPr>
          <w:trHeight w:val="131"/>
        </w:trPr>
        <w:tc>
          <w:tcPr>
            <w:tcW w:w="6520" w:type="dxa"/>
            <w:vAlign w:val="bottom"/>
          </w:tcPr>
          <w:p>
            <w:pPr>
              <w:spacing w:after="0"/>
              <w:rPr>
                <w:sz w:val="20"/>
                <w:szCs w:val="20"/>
                <w:color w:val="auto"/>
              </w:rPr>
            </w:pPr>
            <w:r>
              <w:rPr>
                <w:rFonts w:ascii="Arial" w:cs="Arial" w:eastAsia="Arial" w:hAnsi="Arial"/>
                <w:sz w:val="10"/>
                <w:szCs w:val="10"/>
                <w:color w:val="auto"/>
              </w:rPr>
              <w:t>Total other liabilities, includes $83.8 at September 30, 2023, and $89.1 at December 31, 2022, from consolidated sponsored investment products</w:t>
            </w: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1,565.6</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1,099.4</w:t>
            </w:r>
          </w:p>
        </w:tc>
        <w:tc>
          <w:tcPr>
            <w:tcW w:w="0" w:type="dxa"/>
            <w:vAlign w:val="bottom"/>
          </w:tcPr>
          <w:p>
            <w:pPr>
              <w:spacing w:after="0"/>
              <w:rPr>
                <w:sz w:val="1"/>
                <w:szCs w:val="1"/>
                <w:color w:val="auto"/>
              </w:rPr>
            </w:pPr>
          </w:p>
        </w:tc>
      </w:tr>
      <w:tr>
        <w:trPr>
          <w:trHeight w:val="139"/>
        </w:trPr>
        <w:tc>
          <w:tcPr>
            <w:tcW w:w="6520" w:type="dxa"/>
            <w:vAlign w:val="bottom"/>
            <w:shd w:val="clear" w:color="auto" w:fill="CCEEFF"/>
          </w:tcPr>
          <w:p>
            <w:pPr>
              <w:spacing w:after="0"/>
              <w:rPr>
                <w:sz w:val="20"/>
                <w:szCs w:val="20"/>
                <w:color w:val="auto"/>
              </w:rPr>
            </w:pPr>
            <w:r>
              <w:rPr>
                <w:rFonts w:ascii="Arial" w:cs="Arial" w:eastAsia="Arial" w:hAnsi="Arial"/>
                <w:sz w:val="10"/>
                <w:szCs w:val="10"/>
                <w:color w:val="auto"/>
              </w:rPr>
              <w:t>Non-controlling interests*</w:t>
            </w: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781.7</w:t>
            </w:r>
          </w:p>
        </w:tc>
        <w:tc>
          <w:tcPr>
            <w:tcW w:w="4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847.4</w:t>
            </w:r>
          </w:p>
        </w:tc>
        <w:tc>
          <w:tcPr>
            <w:tcW w:w="0" w:type="dxa"/>
            <w:vAlign w:val="bottom"/>
          </w:tcPr>
          <w:p>
            <w:pPr>
              <w:spacing w:after="0"/>
              <w:rPr>
                <w:sz w:val="1"/>
                <w:szCs w:val="1"/>
                <w:color w:val="auto"/>
              </w:rPr>
            </w:pPr>
          </w:p>
        </w:tc>
      </w:tr>
      <w:tr>
        <w:trPr>
          <w:trHeight w:val="85"/>
        </w:trPr>
        <w:tc>
          <w:tcPr>
            <w:tcW w:w="6520" w:type="dxa"/>
            <w:vAlign w:val="bottom"/>
          </w:tcPr>
          <w:p>
            <w:pPr>
              <w:spacing w:after="0" w:line="86" w:lineRule="exact"/>
              <w:rPr>
                <w:sz w:val="20"/>
                <w:szCs w:val="20"/>
                <w:color w:val="auto"/>
              </w:rPr>
            </w:pPr>
            <w:r>
              <w:rPr>
                <w:rFonts w:ascii="Arial" w:cs="Arial" w:eastAsia="Arial" w:hAnsi="Arial"/>
                <w:sz w:val="8"/>
                <w:szCs w:val="8"/>
                <w:color w:val="auto"/>
              </w:rPr>
              <w:t>Stockholders' equity attributable to T. Rowe Price Group, Inc., 223.5 common shares outstanding at</w:t>
            </w:r>
          </w:p>
        </w:tc>
        <w:tc>
          <w:tcPr>
            <w:tcW w:w="1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300" w:type="dxa"/>
            <w:vAlign w:val="bottom"/>
            <w:gridSpan w:val="2"/>
            <w:vMerge w:val="restart"/>
          </w:tcPr>
          <w:p>
            <w:pPr>
              <w:jc w:val="right"/>
              <w:ind w:right="572"/>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vMerge w:val="restart"/>
          </w:tcPr>
          <w:p>
            <w:pPr>
              <w:jc w:val="right"/>
              <w:spacing w:after="0"/>
              <w:rPr>
                <w:sz w:val="20"/>
                <w:szCs w:val="20"/>
                <w:color w:val="auto"/>
              </w:rPr>
            </w:pPr>
            <w:r>
              <w:rPr>
                <w:rFonts w:ascii="Arial" w:cs="Arial" w:eastAsia="Arial" w:hAnsi="Arial"/>
                <w:sz w:val="10"/>
                <w:szCs w:val="10"/>
                <w:color w:val="auto"/>
              </w:rPr>
              <w:t>9,399.9</w:t>
            </w:r>
          </w:p>
        </w:tc>
        <w:tc>
          <w:tcPr>
            <w:tcW w:w="380" w:type="dxa"/>
            <w:vAlign w:val="bottom"/>
            <w:gridSpan w:val="3"/>
            <w:vMerge w:val="restart"/>
          </w:tcPr>
          <w:p>
            <w:pPr>
              <w:jc w:val="right"/>
              <w:ind w:right="152"/>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vMerge w:val="restart"/>
          </w:tcPr>
          <w:p>
            <w:pPr>
              <w:jc w:val="right"/>
              <w:spacing w:after="0"/>
              <w:rPr>
                <w:sz w:val="20"/>
                <w:szCs w:val="20"/>
                <w:color w:val="auto"/>
              </w:rPr>
            </w:pPr>
            <w:r>
              <w:rPr>
                <w:rFonts w:ascii="Arial" w:cs="Arial" w:eastAsia="Arial" w:hAnsi="Arial"/>
                <w:sz w:val="10"/>
                <w:szCs w:val="10"/>
                <w:color w:val="auto"/>
              </w:rPr>
              <w:t>8,839.5</w:t>
            </w:r>
          </w:p>
        </w:tc>
        <w:tc>
          <w:tcPr>
            <w:tcW w:w="0" w:type="dxa"/>
            <w:vAlign w:val="bottom"/>
          </w:tcPr>
          <w:p>
            <w:pPr>
              <w:spacing w:after="0"/>
              <w:rPr>
                <w:sz w:val="1"/>
                <w:szCs w:val="1"/>
                <w:color w:val="auto"/>
              </w:rPr>
            </w:pPr>
          </w:p>
        </w:tc>
      </w:tr>
      <w:tr>
        <w:trPr>
          <w:trHeight w:val="102"/>
        </w:trPr>
        <w:tc>
          <w:tcPr>
            <w:tcW w:w="6520" w:type="dxa"/>
            <w:vAlign w:val="bottom"/>
          </w:tcPr>
          <w:p>
            <w:pPr>
              <w:spacing w:after="0" w:line="102" w:lineRule="exact"/>
              <w:rPr>
                <w:sz w:val="20"/>
                <w:szCs w:val="20"/>
                <w:color w:val="auto"/>
              </w:rPr>
            </w:pPr>
            <w:r>
              <w:rPr>
                <w:rFonts w:ascii="Arial" w:cs="Arial" w:eastAsia="Arial" w:hAnsi="Arial"/>
                <w:sz w:val="10"/>
                <w:szCs w:val="10"/>
                <w:color w:val="auto"/>
              </w:rPr>
              <w:t>September 30, 2023 and 224.3 common shares outstanding at December 31, 2022</w:t>
            </w: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38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1" w:lineRule="exact"/>
        <w:rPr>
          <w:sz w:val="20"/>
          <w:szCs w:val="20"/>
          <w:color w:val="auto"/>
        </w:rPr>
      </w:pPr>
    </w:p>
    <w:p>
      <w:pPr>
        <w:spacing w:after="0"/>
        <w:rPr>
          <w:sz w:val="20"/>
          <w:szCs w:val="20"/>
          <w:color w:val="auto"/>
        </w:rPr>
      </w:pPr>
      <w:r>
        <w:rPr>
          <w:rFonts w:ascii="Arial" w:cs="Arial" w:eastAsia="Arial" w:hAnsi="Arial"/>
          <w:sz w:val="8"/>
          <w:szCs w:val="8"/>
          <w:i w:val="1"/>
          <w:iCs w:val="1"/>
          <w:color w:val="auto"/>
        </w:rPr>
        <w:t>* This includes both redeemable and non-redeemable non-controlling interest in consolidated entities.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300"/>
          </w:cols>
          <w:pgMar w:left="300" w:top="761" w:right="299" w:bottom="1440" w:gutter="0" w:footer="0" w:header="0"/>
        </w:sectPr>
      </w:pPr>
    </w:p>
    <w:bookmarkStart w:id="12" w:name="page13"/>
    <w:bookmarkEnd w:id="12"/>
    <w:p>
      <w:pPr>
        <w:spacing w:after="0"/>
        <w:rPr>
          <w:sz w:val="20"/>
          <w:szCs w:val="20"/>
          <w:color w:val="auto"/>
        </w:rPr>
      </w:pPr>
      <w:r>
        <w:rPr>
          <w:rFonts w:ascii="Arial" w:cs="Arial" w:eastAsia="Arial" w:hAnsi="Arial"/>
          <w:sz w:val="12"/>
          <w:szCs w:val="12"/>
          <w:color w:val="auto"/>
        </w:rPr>
        <w:t>The following tables detail changes in our investments in affiliated private investment funds - carried interest and non-controlling interest in consolidated entities.</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35"/>
        </w:trPr>
        <w:tc>
          <w:tcPr>
            <w:tcW w:w="20" w:type="dxa"/>
            <w:vAlign w:val="bottom"/>
            <w:shd w:val="clear" w:color="auto" w:fill="CCEEFF"/>
          </w:tcPr>
          <w:p>
            <w:pPr>
              <w:spacing w:after="0"/>
              <w:rPr>
                <w:sz w:val="11"/>
                <w:szCs w:val="11"/>
                <w:color w:val="auto"/>
              </w:rPr>
            </w:pPr>
          </w:p>
        </w:tc>
        <w:tc>
          <w:tcPr>
            <w:tcW w:w="5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56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0"/>
                <w:szCs w:val="10"/>
                <w:color w:val="auto"/>
              </w:rPr>
              <w:t>Three months ended</w:t>
            </w:r>
          </w:p>
        </w:tc>
        <w:tc>
          <w:tcPr>
            <w:tcW w:w="880" w:type="dxa"/>
            <w:vAlign w:val="bottom"/>
            <w:tcBorders>
              <w:bottom w:val="single" w:sz="8" w:color="auto"/>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540" w:type="dxa"/>
            <w:vAlign w:val="bottom"/>
            <w:tcBorders>
              <w:bottom w:val="single" w:sz="8" w:color="auto"/>
            </w:tcBorders>
            <w:gridSpan w:val="5"/>
            <w:shd w:val="clear" w:color="auto" w:fill="CCEEFF"/>
          </w:tcPr>
          <w:p>
            <w:pPr>
              <w:jc w:val="right"/>
              <w:ind w:right="20"/>
              <w:spacing w:after="0"/>
              <w:rPr>
                <w:sz w:val="20"/>
                <w:szCs w:val="20"/>
                <w:color w:val="auto"/>
              </w:rPr>
            </w:pPr>
            <w:r>
              <w:rPr>
                <w:rFonts w:ascii="Arial" w:cs="Arial" w:eastAsia="Arial" w:hAnsi="Arial"/>
                <w:sz w:val="10"/>
                <w:szCs w:val="10"/>
                <w:color w:val="auto"/>
              </w:rPr>
              <w:t>Nine months ended</w:t>
            </w:r>
          </w:p>
        </w:tc>
        <w:tc>
          <w:tcPr>
            <w:tcW w:w="88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r>
      <w:tr>
        <w:trPr>
          <w:trHeight w:val="123"/>
        </w:trPr>
        <w:tc>
          <w:tcPr>
            <w:tcW w:w="560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b w:val="1"/>
                <w:bCs w:val="1"/>
                <w:color w:val="auto"/>
              </w:rPr>
              <w:t>Investments in affiliated private investment funds - carried interest</w:t>
            </w:r>
          </w:p>
        </w:tc>
        <w:tc>
          <w:tcPr>
            <w:tcW w:w="4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9/30/2023</w:t>
            </w: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w w:val="98"/>
              </w:rPr>
              <w:t>9/30/2022</w:t>
            </w: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9/30/2023</w:t>
            </w: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w w:val="98"/>
              </w:rPr>
              <w:t>9/30/2022</w:t>
            </w:r>
          </w:p>
        </w:tc>
        <w:tc>
          <w:tcPr>
            <w:tcW w:w="20" w:type="dxa"/>
            <w:vAlign w:val="bottom"/>
            <w:tcBorders>
              <w:bottom w:val="single" w:sz="8" w:color="auto"/>
            </w:tcBorders>
          </w:tcPr>
          <w:p>
            <w:pPr>
              <w:spacing w:after="0"/>
              <w:rPr>
                <w:sz w:val="10"/>
                <w:szCs w:val="10"/>
                <w:color w:val="auto"/>
              </w:rPr>
            </w:pPr>
          </w:p>
        </w:tc>
      </w:tr>
      <w:tr>
        <w:trPr>
          <w:trHeight w:val="125"/>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Balance at beginning of period</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514.2</w:t>
            </w:r>
          </w:p>
        </w:tc>
        <w:tc>
          <w:tcPr>
            <w:tcW w:w="40" w:type="dxa"/>
            <w:vAlign w:val="bottom"/>
            <w:shd w:val="clear" w:color="auto" w:fill="CCEEFF"/>
          </w:tcPr>
          <w:p>
            <w:pPr>
              <w:spacing w:after="0"/>
              <w:rPr>
                <w:sz w:val="10"/>
                <w:szCs w:val="10"/>
                <w:color w:val="auto"/>
              </w:rPr>
            </w:pPr>
          </w:p>
        </w:tc>
        <w:tc>
          <w:tcPr>
            <w:tcW w:w="480" w:type="dxa"/>
            <w:vAlign w:val="bottom"/>
            <w:gridSpan w:val="3"/>
            <w:shd w:val="clear" w:color="auto" w:fill="CCEEFF"/>
          </w:tcPr>
          <w:p>
            <w:pPr>
              <w:jc w:val="right"/>
              <w:ind w:right="3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507.2</w:t>
            </w:r>
          </w:p>
        </w:tc>
        <w:tc>
          <w:tcPr>
            <w:tcW w:w="40" w:type="dxa"/>
            <w:vAlign w:val="bottom"/>
            <w:shd w:val="clear" w:color="auto" w:fill="CCEEFF"/>
          </w:tcPr>
          <w:p>
            <w:pPr>
              <w:spacing w:after="0"/>
              <w:rPr>
                <w:sz w:val="10"/>
                <w:szCs w:val="10"/>
                <w:color w:val="auto"/>
              </w:rPr>
            </w:pPr>
          </w:p>
        </w:tc>
        <w:tc>
          <w:tcPr>
            <w:tcW w:w="320" w:type="dxa"/>
            <w:vAlign w:val="bottom"/>
            <w:gridSpan w:val="3"/>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467.8</w:t>
            </w:r>
          </w:p>
        </w:tc>
        <w:tc>
          <w:tcPr>
            <w:tcW w:w="40" w:type="dxa"/>
            <w:vAlign w:val="bottom"/>
            <w:shd w:val="clear" w:color="auto" w:fill="CCEEFF"/>
          </w:tcPr>
          <w:p>
            <w:pPr>
              <w:spacing w:after="0"/>
              <w:rPr>
                <w:sz w:val="10"/>
                <w:szCs w:val="10"/>
                <w:color w:val="auto"/>
              </w:rPr>
            </w:pPr>
          </w:p>
        </w:tc>
        <w:tc>
          <w:tcPr>
            <w:tcW w:w="480" w:type="dxa"/>
            <w:vAlign w:val="bottom"/>
            <w:gridSpan w:val="3"/>
            <w:shd w:val="clear" w:color="auto" w:fill="CCEEFF"/>
          </w:tcPr>
          <w:p>
            <w:pPr>
              <w:jc w:val="right"/>
              <w:ind w:right="34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609.8</w:t>
            </w:r>
          </w:p>
        </w:tc>
        <w:tc>
          <w:tcPr>
            <w:tcW w:w="20" w:type="dxa"/>
            <w:vAlign w:val="bottom"/>
            <w:shd w:val="clear" w:color="auto" w:fill="CCEEFF"/>
          </w:tcPr>
          <w:p>
            <w:pPr>
              <w:spacing w:after="0"/>
              <w:rPr>
                <w:sz w:val="10"/>
                <w:szCs w:val="10"/>
                <w:color w:val="auto"/>
              </w:rPr>
            </w:pPr>
          </w:p>
        </w:tc>
      </w:tr>
      <w:tr>
        <w:trPr>
          <w:trHeight w:val="131"/>
        </w:trPr>
        <w:tc>
          <w:tcPr>
            <w:tcW w:w="5600" w:type="dxa"/>
            <w:vAlign w:val="bottom"/>
            <w:gridSpan w:val="2"/>
          </w:tcPr>
          <w:p>
            <w:pPr>
              <w:ind w:left="20"/>
              <w:spacing w:after="0"/>
              <w:rPr>
                <w:sz w:val="20"/>
                <w:szCs w:val="20"/>
                <w:color w:val="auto"/>
              </w:rPr>
            </w:pPr>
            <w:r>
              <w:rPr>
                <w:rFonts w:ascii="Arial" w:cs="Arial" w:eastAsia="Arial" w:hAnsi="Arial"/>
                <w:sz w:val="10"/>
                <w:szCs w:val="10"/>
                <w:color w:val="auto"/>
              </w:rPr>
              <w:t>Capital allocation-based income:</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9"/>
        </w:trPr>
        <w:tc>
          <w:tcPr>
            <w:tcW w:w="20" w:type="dxa"/>
            <w:vAlign w:val="bottom"/>
            <w:shd w:val="clear" w:color="auto" w:fill="CCEEFF"/>
          </w:tcPr>
          <w:p>
            <w:pPr>
              <w:spacing w:after="0"/>
              <w:rPr>
                <w:sz w:val="12"/>
                <w:szCs w:val="12"/>
                <w:color w:val="auto"/>
              </w:rPr>
            </w:pPr>
          </w:p>
        </w:tc>
        <w:tc>
          <w:tcPr>
            <w:tcW w:w="55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Change in accrued carried interest</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91.9</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14.3</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172.1</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(41.1)</w:t>
            </w:r>
          </w:p>
        </w:tc>
        <w:tc>
          <w:tcPr>
            <w:tcW w:w="20" w:type="dxa"/>
            <w:vAlign w:val="bottom"/>
            <w:shd w:val="clear" w:color="auto" w:fill="CCEEFF"/>
          </w:tcPr>
          <w:p>
            <w:pPr>
              <w:spacing w:after="0"/>
              <w:rPr>
                <w:sz w:val="12"/>
                <w:szCs w:val="12"/>
                <w:color w:val="auto"/>
              </w:rPr>
            </w:pPr>
          </w:p>
        </w:tc>
      </w:tr>
      <w:tr>
        <w:trPr>
          <w:trHeight w:val="131"/>
        </w:trPr>
        <w:tc>
          <w:tcPr>
            <w:tcW w:w="20" w:type="dxa"/>
            <w:vAlign w:val="bottom"/>
          </w:tcPr>
          <w:p>
            <w:pPr>
              <w:spacing w:after="0"/>
              <w:rPr>
                <w:sz w:val="11"/>
                <w:szCs w:val="11"/>
                <w:color w:val="auto"/>
              </w:rPr>
            </w:pPr>
          </w:p>
        </w:tc>
        <w:tc>
          <w:tcPr>
            <w:tcW w:w="5580" w:type="dxa"/>
            <w:vAlign w:val="bottom"/>
          </w:tcPr>
          <w:p>
            <w:pPr>
              <w:ind w:left="100"/>
              <w:spacing w:after="0"/>
              <w:rPr>
                <w:sz w:val="20"/>
                <w:szCs w:val="20"/>
                <w:color w:val="auto"/>
              </w:rPr>
            </w:pPr>
            <w:r>
              <w:rPr>
                <w:rFonts w:ascii="Arial" w:cs="Arial" w:eastAsia="Arial" w:hAnsi="Arial"/>
                <w:sz w:val="10"/>
                <w:szCs w:val="10"/>
                <w:color w:val="auto"/>
              </w:rPr>
              <w:t>Acquisition-related amortization and impairments</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0"/>
                <w:szCs w:val="10"/>
                <w:color w:val="auto"/>
              </w:rPr>
              <w:t>(25.8)</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0"/>
                <w:szCs w:val="10"/>
                <w:color w:val="auto"/>
              </w:rPr>
              <w:t>(13.2)</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0"/>
                <w:szCs w:val="10"/>
                <w:color w:val="auto"/>
              </w:rPr>
              <w:t>(50.4)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(39.7)</w:t>
            </w:r>
          </w:p>
        </w:tc>
        <w:tc>
          <w:tcPr>
            <w:tcW w:w="20" w:type="dxa"/>
            <w:vAlign w:val="bottom"/>
          </w:tcPr>
          <w:p>
            <w:pPr>
              <w:spacing w:after="0"/>
              <w:rPr>
                <w:sz w:val="11"/>
                <w:szCs w:val="11"/>
                <w:color w:val="auto"/>
              </w:rPr>
            </w:pPr>
          </w:p>
        </w:tc>
      </w:tr>
      <w:tr>
        <w:trPr>
          <w:trHeight w:val="135"/>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Net distributions</w:t>
            </w:r>
          </w:p>
        </w:tc>
        <w:tc>
          <w:tcPr>
            <w:tcW w:w="4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(2.1)</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(11.3)</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(20.7)</w:t>
            </w:r>
          </w:p>
        </w:tc>
        <w:tc>
          <w:tcPr>
            <w:tcW w:w="20" w:type="dxa"/>
            <w:vAlign w:val="bottom"/>
            <w:tcBorders>
              <w:bottom w:val="single" w:sz="8" w:color="auto"/>
            </w:tcBorders>
            <w:shd w:val="clear" w:color="auto" w:fill="CCEEFF"/>
          </w:tcPr>
          <w:p>
            <w:pPr>
              <w:spacing w:after="0"/>
              <w:rPr>
                <w:sz w:val="11"/>
                <w:szCs w:val="11"/>
                <w:color w:val="auto"/>
              </w:rPr>
            </w:pPr>
          </w:p>
        </w:tc>
      </w:tr>
      <w:tr>
        <w:trPr>
          <w:trHeight w:val="128"/>
        </w:trPr>
        <w:tc>
          <w:tcPr>
            <w:tcW w:w="5600" w:type="dxa"/>
            <w:vAlign w:val="bottom"/>
            <w:gridSpan w:val="2"/>
          </w:tcPr>
          <w:p>
            <w:pPr>
              <w:ind w:left="20"/>
              <w:spacing w:after="0"/>
              <w:rPr>
                <w:sz w:val="20"/>
                <w:szCs w:val="20"/>
                <w:color w:val="auto"/>
              </w:rPr>
            </w:pPr>
            <w:r>
              <w:rPr>
                <w:rFonts w:ascii="Arial" w:cs="Arial" w:eastAsia="Arial" w:hAnsi="Arial"/>
                <w:sz w:val="10"/>
                <w:szCs w:val="10"/>
                <w:color w:val="auto"/>
              </w:rPr>
              <w:t>Balance at end of period</w:t>
            </w:r>
          </w:p>
        </w:tc>
        <w:tc>
          <w:tcPr>
            <w:tcW w:w="2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40" w:type="dxa"/>
            <w:vAlign w:val="bottom"/>
          </w:tcPr>
          <w:p>
            <w:pPr>
              <w:jc w:val="right"/>
              <w:spacing w:after="0"/>
              <w:rPr>
                <w:sz w:val="20"/>
                <w:szCs w:val="20"/>
                <w:color w:val="auto"/>
              </w:rPr>
            </w:pPr>
            <w:r>
              <w:rPr>
                <w:rFonts w:ascii="Arial" w:cs="Arial" w:eastAsia="Arial" w:hAnsi="Arial"/>
                <w:sz w:val="10"/>
                <w:szCs w:val="10"/>
                <w:color w:val="auto"/>
              </w:rPr>
              <w:t>578.2</w:t>
            </w:r>
          </w:p>
        </w:tc>
        <w:tc>
          <w:tcPr>
            <w:tcW w:w="40" w:type="dxa"/>
            <w:vAlign w:val="bottom"/>
          </w:tcPr>
          <w:p>
            <w:pPr>
              <w:spacing w:after="0"/>
              <w:rPr>
                <w:sz w:val="11"/>
                <w:szCs w:val="11"/>
                <w:color w:val="auto"/>
              </w:rPr>
            </w:pPr>
          </w:p>
        </w:tc>
        <w:tc>
          <w:tcPr>
            <w:tcW w:w="480" w:type="dxa"/>
            <w:vAlign w:val="bottom"/>
            <w:gridSpan w:val="3"/>
          </w:tcPr>
          <w:p>
            <w:pPr>
              <w:jc w:val="right"/>
              <w:ind w:right="340"/>
              <w:spacing w:after="0"/>
              <w:rPr>
                <w:sz w:val="20"/>
                <w:szCs w:val="20"/>
                <w:color w:val="auto"/>
              </w:rPr>
            </w:pPr>
            <w:r>
              <w:rPr>
                <w:rFonts w:ascii="Arial" w:cs="Arial" w:eastAsia="Arial" w:hAnsi="Arial"/>
                <w:sz w:val="10"/>
                <w:szCs w:val="10"/>
                <w:color w:val="auto"/>
              </w:rPr>
              <w:t>$</w:t>
            </w:r>
          </w:p>
        </w:tc>
        <w:tc>
          <w:tcPr>
            <w:tcW w:w="880" w:type="dxa"/>
            <w:vAlign w:val="bottom"/>
          </w:tcPr>
          <w:p>
            <w:pPr>
              <w:jc w:val="right"/>
              <w:spacing w:after="0"/>
              <w:rPr>
                <w:sz w:val="20"/>
                <w:szCs w:val="20"/>
                <w:color w:val="auto"/>
              </w:rPr>
            </w:pPr>
            <w:r>
              <w:rPr>
                <w:rFonts w:ascii="Arial" w:cs="Arial" w:eastAsia="Arial" w:hAnsi="Arial"/>
                <w:sz w:val="10"/>
                <w:szCs w:val="10"/>
                <w:color w:val="auto"/>
              </w:rPr>
              <w:t>508.3</w:t>
            </w:r>
          </w:p>
        </w:tc>
        <w:tc>
          <w:tcPr>
            <w:tcW w:w="40" w:type="dxa"/>
            <w:vAlign w:val="bottom"/>
          </w:tcPr>
          <w:p>
            <w:pPr>
              <w:spacing w:after="0"/>
              <w:rPr>
                <w:sz w:val="11"/>
                <w:szCs w:val="11"/>
                <w:color w:val="auto"/>
              </w:rPr>
            </w:pPr>
          </w:p>
        </w:tc>
        <w:tc>
          <w:tcPr>
            <w:tcW w:w="320" w:type="dxa"/>
            <w:vAlign w:val="bottom"/>
            <w:gridSpan w:val="3"/>
          </w:tcPr>
          <w:p>
            <w:pPr>
              <w:jc w:val="right"/>
              <w:ind w:right="180"/>
              <w:spacing w:after="0"/>
              <w:rPr>
                <w:sz w:val="20"/>
                <w:szCs w:val="20"/>
                <w:color w:val="auto"/>
              </w:rPr>
            </w:pPr>
            <w:r>
              <w:rPr>
                <w:rFonts w:ascii="Arial" w:cs="Arial" w:eastAsia="Arial" w:hAnsi="Arial"/>
                <w:sz w:val="10"/>
                <w:szCs w:val="10"/>
                <w:color w:val="auto"/>
              </w:rPr>
              <w:t>$</w:t>
            </w:r>
          </w:p>
        </w:tc>
        <w:tc>
          <w:tcPr>
            <w:tcW w:w="1020" w:type="dxa"/>
            <w:vAlign w:val="bottom"/>
          </w:tcPr>
          <w:p>
            <w:pPr>
              <w:jc w:val="right"/>
              <w:spacing w:after="0"/>
              <w:rPr>
                <w:sz w:val="20"/>
                <w:szCs w:val="20"/>
                <w:color w:val="auto"/>
              </w:rPr>
            </w:pPr>
            <w:r>
              <w:rPr>
                <w:rFonts w:ascii="Arial" w:cs="Arial" w:eastAsia="Arial" w:hAnsi="Arial"/>
                <w:sz w:val="10"/>
                <w:szCs w:val="10"/>
                <w:color w:val="auto"/>
              </w:rPr>
              <w:t>578.2</w:t>
            </w:r>
          </w:p>
        </w:tc>
        <w:tc>
          <w:tcPr>
            <w:tcW w:w="40" w:type="dxa"/>
            <w:vAlign w:val="bottom"/>
          </w:tcPr>
          <w:p>
            <w:pPr>
              <w:spacing w:after="0"/>
              <w:rPr>
                <w:sz w:val="11"/>
                <w:szCs w:val="11"/>
                <w:color w:val="auto"/>
              </w:rPr>
            </w:pPr>
          </w:p>
        </w:tc>
        <w:tc>
          <w:tcPr>
            <w:tcW w:w="480" w:type="dxa"/>
            <w:vAlign w:val="bottom"/>
            <w:gridSpan w:val="3"/>
          </w:tcPr>
          <w:p>
            <w:pPr>
              <w:jc w:val="right"/>
              <w:ind w:right="340"/>
              <w:spacing w:after="0"/>
              <w:rPr>
                <w:sz w:val="20"/>
                <w:szCs w:val="20"/>
                <w:color w:val="auto"/>
              </w:rPr>
            </w:pPr>
            <w:r>
              <w:rPr>
                <w:rFonts w:ascii="Arial" w:cs="Arial" w:eastAsia="Arial" w:hAnsi="Arial"/>
                <w:sz w:val="10"/>
                <w:szCs w:val="10"/>
                <w:color w:val="auto"/>
              </w:rPr>
              <w:t>$</w:t>
            </w:r>
          </w:p>
        </w:tc>
        <w:tc>
          <w:tcPr>
            <w:tcW w:w="880" w:type="dxa"/>
            <w:vAlign w:val="bottom"/>
          </w:tcPr>
          <w:p>
            <w:pPr>
              <w:jc w:val="right"/>
              <w:spacing w:after="0"/>
              <w:rPr>
                <w:sz w:val="20"/>
                <w:szCs w:val="20"/>
                <w:color w:val="auto"/>
              </w:rPr>
            </w:pPr>
            <w:r>
              <w:rPr>
                <w:rFonts w:ascii="Arial" w:cs="Arial" w:eastAsia="Arial" w:hAnsi="Arial"/>
                <w:sz w:val="10"/>
                <w:szCs w:val="10"/>
                <w:color w:val="auto"/>
              </w:rPr>
              <w:t>508.3</w:t>
            </w:r>
          </w:p>
        </w:tc>
        <w:tc>
          <w:tcPr>
            <w:tcW w:w="2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440" w:type="dxa"/>
            <w:vAlign w:val="bottom"/>
            <w:gridSpan w:val="2"/>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420" w:type="dxa"/>
            <w:vAlign w:val="bottom"/>
            <w:gridSpan w:val="2"/>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35"/>
        </w:trPr>
        <w:tc>
          <w:tcPr>
            <w:tcW w:w="20" w:type="dxa"/>
            <w:vAlign w:val="bottom"/>
          </w:tcPr>
          <w:p>
            <w:pPr>
              <w:spacing w:after="0"/>
              <w:rPr>
                <w:sz w:val="11"/>
                <w:szCs w:val="11"/>
                <w:color w:val="auto"/>
              </w:rPr>
            </w:pPr>
          </w:p>
        </w:tc>
        <w:tc>
          <w:tcPr>
            <w:tcW w:w="5580" w:type="dxa"/>
            <w:vAlign w:val="bottom"/>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560" w:type="dxa"/>
            <w:vAlign w:val="bottom"/>
            <w:tcBorders>
              <w:bottom w:val="single" w:sz="8" w:color="auto"/>
            </w:tcBorders>
            <w:gridSpan w:val="5"/>
            <w:shd w:val="clear" w:color="auto" w:fill="CCEEFF"/>
          </w:tcPr>
          <w:p>
            <w:pPr>
              <w:jc w:val="right"/>
              <w:ind w:right="40"/>
              <w:spacing w:after="0"/>
              <w:rPr>
                <w:sz w:val="20"/>
                <w:szCs w:val="20"/>
                <w:color w:val="auto"/>
              </w:rPr>
            </w:pPr>
            <w:r>
              <w:rPr>
                <w:rFonts w:ascii="Arial" w:cs="Arial" w:eastAsia="Arial" w:hAnsi="Arial"/>
                <w:sz w:val="10"/>
                <w:szCs w:val="10"/>
                <w:color w:val="auto"/>
              </w:rPr>
              <w:t>Three months ended</w:t>
            </w:r>
          </w:p>
        </w:tc>
        <w:tc>
          <w:tcPr>
            <w:tcW w:w="880" w:type="dxa"/>
            <w:vAlign w:val="bottom"/>
            <w:tcBorders>
              <w:bottom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540" w:type="dxa"/>
            <w:vAlign w:val="bottom"/>
            <w:tcBorders>
              <w:bottom w:val="single" w:sz="8" w:color="auto"/>
            </w:tcBorders>
            <w:gridSpan w:val="5"/>
            <w:shd w:val="clear" w:color="auto" w:fill="CCEEFF"/>
          </w:tcPr>
          <w:p>
            <w:pPr>
              <w:jc w:val="right"/>
              <w:ind w:right="60"/>
              <w:spacing w:after="0"/>
              <w:rPr>
                <w:sz w:val="20"/>
                <w:szCs w:val="20"/>
                <w:color w:val="auto"/>
              </w:rPr>
            </w:pPr>
            <w:r>
              <w:rPr>
                <w:rFonts w:ascii="Arial" w:cs="Arial" w:eastAsia="Arial" w:hAnsi="Arial"/>
                <w:sz w:val="10"/>
                <w:szCs w:val="10"/>
                <w:color w:val="auto"/>
              </w:rPr>
              <w:t>Nine months ended</w:t>
            </w:r>
          </w:p>
        </w:tc>
        <w:tc>
          <w:tcPr>
            <w:tcW w:w="880" w:type="dxa"/>
            <w:vAlign w:val="bottom"/>
            <w:tcBorders>
              <w:bottom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23"/>
        </w:trPr>
        <w:tc>
          <w:tcPr>
            <w:tcW w:w="20" w:type="dxa"/>
            <w:vAlign w:val="bottom"/>
          </w:tcPr>
          <w:p>
            <w:pPr>
              <w:spacing w:after="0"/>
              <w:rPr>
                <w:sz w:val="10"/>
                <w:szCs w:val="10"/>
                <w:color w:val="auto"/>
              </w:rPr>
            </w:pPr>
          </w:p>
        </w:tc>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Non-controlling interests (NCI) in consolidated entities</w:t>
            </w:r>
          </w:p>
        </w:tc>
        <w:tc>
          <w:tcPr>
            <w:tcW w:w="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9/30/2023</w:t>
            </w:r>
          </w:p>
        </w:tc>
        <w:tc>
          <w:tcPr>
            <w:tcW w:w="4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w w:val="94"/>
              </w:rPr>
              <w:t>9/30/2022</w:t>
            </w:r>
          </w:p>
        </w:tc>
        <w:tc>
          <w:tcPr>
            <w:tcW w:w="4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9/30/2023</w:t>
            </w:r>
          </w:p>
        </w:tc>
        <w:tc>
          <w:tcPr>
            <w:tcW w:w="4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w w:val="94"/>
              </w:rPr>
              <w:t>9/30/2022</w:t>
            </w:r>
          </w:p>
        </w:tc>
        <w:tc>
          <w:tcPr>
            <w:tcW w:w="20" w:type="dxa"/>
            <w:vAlign w:val="bottom"/>
          </w:tcPr>
          <w:p>
            <w:pPr>
              <w:spacing w:after="0"/>
              <w:rPr>
                <w:sz w:val="10"/>
                <w:szCs w:val="10"/>
                <w:color w:val="auto"/>
              </w:rPr>
            </w:pPr>
          </w:p>
        </w:tc>
      </w:tr>
      <w:tr>
        <w:trPr>
          <w:trHeight w:val="125"/>
        </w:trPr>
        <w:tc>
          <w:tcPr>
            <w:tcW w:w="20" w:type="dxa"/>
            <w:vAlign w:val="bottom"/>
          </w:tcPr>
          <w:p>
            <w:pPr>
              <w:spacing w:after="0"/>
              <w:rPr>
                <w:sz w:val="10"/>
                <w:szCs w:val="10"/>
                <w:color w:val="auto"/>
              </w:rPr>
            </w:pPr>
          </w:p>
        </w:tc>
        <w:tc>
          <w:tcPr>
            <w:tcW w:w="5580" w:type="dxa"/>
            <w:vAlign w:val="bottom"/>
            <w:shd w:val="clear" w:color="auto" w:fill="CCEEFF"/>
          </w:tcPr>
          <w:p>
            <w:pPr>
              <w:ind w:left="20"/>
              <w:spacing w:after="0"/>
              <w:rPr>
                <w:sz w:val="20"/>
                <w:szCs w:val="20"/>
                <w:color w:val="auto"/>
              </w:rPr>
            </w:pPr>
            <w:r>
              <w:rPr>
                <w:rFonts w:ascii="Arial" w:cs="Arial" w:eastAsia="Arial" w:hAnsi="Arial"/>
                <w:sz w:val="10"/>
                <w:szCs w:val="10"/>
                <w:color w:val="auto"/>
              </w:rPr>
              <w:t>Balance at beginning of period</w:t>
            </w:r>
          </w:p>
        </w:tc>
        <w:tc>
          <w:tcPr>
            <w:tcW w:w="2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202.1</w:t>
            </w:r>
          </w:p>
        </w:tc>
        <w:tc>
          <w:tcPr>
            <w:tcW w:w="40" w:type="dxa"/>
            <w:vAlign w:val="bottom"/>
            <w:shd w:val="clear" w:color="auto" w:fill="CCEEFF"/>
          </w:tcPr>
          <w:p>
            <w:pPr>
              <w:spacing w:after="0"/>
              <w:rPr>
                <w:sz w:val="10"/>
                <w:szCs w:val="10"/>
                <w:color w:val="auto"/>
              </w:rPr>
            </w:pPr>
          </w:p>
        </w:tc>
        <w:tc>
          <w:tcPr>
            <w:tcW w:w="480" w:type="dxa"/>
            <w:vAlign w:val="bottom"/>
            <w:gridSpan w:val="3"/>
            <w:shd w:val="clear" w:color="auto" w:fill="CCEEFF"/>
          </w:tcPr>
          <w:p>
            <w:pPr>
              <w:jc w:val="right"/>
              <w:ind w:right="36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208.8</w:t>
            </w:r>
          </w:p>
        </w:tc>
        <w:tc>
          <w:tcPr>
            <w:tcW w:w="40" w:type="dxa"/>
            <w:vAlign w:val="bottom"/>
            <w:shd w:val="clear" w:color="auto" w:fill="CCEEFF"/>
          </w:tcPr>
          <w:p>
            <w:pPr>
              <w:spacing w:after="0"/>
              <w:rPr>
                <w:sz w:val="10"/>
                <w:szCs w:val="10"/>
                <w:color w:val="auto"/>
              </w:rPr>
            </w:pPr>
          </w:p>
        </w:tc>
        <w:tc>
          <w:tcPr>
            <w:tcW w:w="320" w:type="dxa"/>
            <w:vAlign w:val="bottom"/>
            <w:gridSpan w:val="3"/>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190.7</w:t>
            </w:r>
          </w:p>
        </w:tc>
        <w:tc>
          <w:tcPr>
            <w:tcW w:w="40" w:type="dxa"/>
            <w:vAlign w:val="bottom"/>
            <w:shd w:val="clear" w:color="auto" w:fill="CCEEFF"/>
          </w:tcPr>
          <w:p>
            <w:pPr>
              <w:spacing w:after="0"/>
              <w:rPr>
                <w:sz w:val="10"/>
                <w:szCs w:val="10"/>
                <w:color w:val="auto"/>
              </w:rPr>
            </w:pPr>
          </w:p>
        </w:tc>
        <w:tc>
          <w:tcPr>
            <w:tcW w:w="480" w:type="dxa"/>
            <w:vAlign w:val="bottom"/>
            <w:gridSpan w:val="3"/>
            <w:shd w:val="clear" w:color="auto" w:fill="CCEEFF"/>
          </w:tcPr>
          <w:p>
            <w:pPr>
              <w:jc w:val="right"/>
              <w:ind w:right="36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248.7</w:t>
            </w:r>
          </w:p>
        </w:tc>
        <w:tc>
          <w:tcPr>
            <w:tcW w:w="20" w:type="dxa"/>
            <w:vAlign w:val="bottom"/>
          </w:tcPr>
          <w:p>
            <w:pPr>
              <w:spacing w:after="0"/>
              <w:rPr>
                <w:sz w:val="10"/>
                <w:szCs w:val="10"/>
                <w:color w:val="auto"/>
              </w:rPr>
            </w:pPr>
          </w:p>
        </w:tc>
      </w:tr>
      <w:tr>
        <w:trPr>
          <w:trHeight w:val="131"/>
        </w:trPr>
        <w:tc>
          <w:tcPr>
            <w:tcW w:w="20" w:type="dxa"/>
            <w:vAlign w:val="bottom"/>
          </w:tcPr>
          <w:p>
            <w:pPr>
              <w:spacing w:after="0"/>
              <w:rPr>
                <w:sz w:val="11"/>
                <w:szCs w:val="11"/>
                <w:color w:val="auto"/>
              </w:rPr>
            </w:pPr>
          </w:p>
        </w:tc>
        <w:tc>
          <w:tcPr>
            <w:tcW w:w="5580" w:type="dxa"/>
            <w:vAlign w:val="bottom"/>
          </w:tcPr>
          <w:p>
            <w:pPr>
              <w:ind w:left="20"/>
              <w:spacing w:after="0"/>
              <w:rPr>
                <w:sz w:val="20"/>
                <w:szCs w:val="20"/>
                <w:color w:val="auto"/>
              </w:rPr>
            </w:pPr>
            <w:r>
              <w:rPr>
                <w:rFonts w:ascii="Arial" w:cs="Arial" w:eastAsia="Arial" w:hAnsi="Arial"/>
                <w:sz w:val="10"/>
                <w:szCs w:val="10"/>
                <w:color w:val="auto"/>
              </w:rPr>
              <w:t>Capital allocation-based income compensation:</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9"/>
        </w:trPr>
        <w:tc>
          <w:tcPr>
            <w:tcW w:w="20" w:type="dxa"/>
            <w:vAlign w:val="bottom"/>
          </w:tcPr>
          <w:p>
            <w:pPr>
              <w:spacing w:after="0"/>
              <w:rPr>
                <w:sz w:val="12"/>
                <w:szCs w:val="12"/>
                <w:color w:val="auto"/>
              </w:rPr>
            </w:pPr>
          </w:p>
        </w:tc>
        <w:tc>
          <w:tcPr>
            <w:tcW w:w="5580" w:type="dxa"/>
            <w:vAlign w:val="bottom"/>
            <w:shd w:val="clear" w:color="auto" w:fill="CCEEFF"/>
          </w:tcPr>
          <w:p>
            <w:pPr>
              <w:ind w:left="120"/>
              <w:spacing w:after="0"/>
              <w:rPr>
                <w:sz w:val="20"/>
                <w:szCs w:val="20"/>
                <w:color w:val="auto"/>
              </w:rPr>
            </w:pPr>
            <w:r>
              <w:rPr>
                <w:rFonts w:ascii="Arial" w:cs="Arial" w:eastAsia="Arial" w:hAnsi="Arial"/>
                <w:sz w:val="10"/>
                <w:szCs w:val="10"/>
                <w:color w:val="auto"/>
              </w:rPr>
              <w:t>Change in accrued carried interest compensation</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30.5</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5.7</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54.8</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(16.4)</w:t>
            </w:r>
          </w:p>
        </w:tc>
        <w:tc>
          <w:tcPr>
            <w:tcW w:w="20" w:type="dxa"/>
            <w:vAlign w:val="bottom"/>
          </w:tcPr>
          <w:p>
            <w:pPr>
              <w:spacing w:after="0"/>
              <w:rPr>
                <w:sz w:val="12"/>
                <w:szCs w:val="12"/>
                <w:color w:val="auto"/>
              </w:rPr>
            </w:pPr>
          </w:p>
        </w:tc>
      </w:tr>
      <w:tr>
        <w:trPr>
          <w:trHeight w:val="131"/>
        </w:trPr>
        <w:tc>
          <w:tcPr>
            <w:tcW w:w="20" w:type="dxa"/>
            <w:vAlign w:val="bottom"/>
          </w:tcPr>
          <w:p>
            <w:pPr>
              <w:spacing w:after="0"/>
              <w:rPr>
                <w:sz w:val="11"/>
                <w:szCs w:val="11"/>
                <w:color w:val="auto"/>
              </w:rPr>
            </w:pPr>
          </w:p>
        </w:tc>
        <w:tc>
          <w:tcPr>
            <w:tcW w:w="5580" w:type="dxa"/>
            <w:vAlign w:val="bottom"/>
          </w:tcPr>
          <w:p>
            <w:pPr>
              <w:ind w:left="120"/>
              <w:spacing w:after="0"/>
              <w:rPr>
                <w:sz w:val="20"/>
                <w:szCs w:val="20"/>
                <w:color w:val="auto"/>
              </w:rPr>
            </w:pPr>
            <w:r>
              <w:rPr>
                <w:rFonts w:ascii="Arial" w:cs="Arial" w:eastAsia="Arial" w:hAnsi="Arial"/>
                <w:sz w:val="10"/>
                <w:szCs w:val="10"/>
                <w:color w:val="auto"/>
              </w:rPr>
              <w:t>Acquisition-related amortization and impairments</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(10.6)</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(5.6)</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(20.8)</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(16.9)</w:t>
            </w: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5580" w:type="dxa"/>
            <w:vAlign w:val="bottom"/>
            <w:shd w:val="clear" w:color="auto" w:fill="CCEEFF"/>
          </w:tcPr>
          <w:p>
            <w:pPr>
              <w:ind w:left="20"/>
              <w:spacing w:after="0"/>
              <w:rPr>
                <w:sz w:val="20"/>
                <w:szCs w:val="20"/>
                <w:color w:val="auto"/>
              </w:rPr>
            </w:pPr>
            <w:r>
              <w:rPr>
                <w:rFonts w:ascii="Arial" w:cs="Arial" w:eastAsia="Arial" w:hAnsi="Arial"/>
                <w:sz w:val="10"/>
                <w:szCs w:val="10"/>
                <w:color w:val="auto"/>
              </w:rPr>
              <w:t>Net distributions</w:t>
            </w:r>
          </w:p>
        </w:tc>
        <w:tc>
          <w:tcPr>
            <w:tcW w:w="4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(0.5)</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(3.2)</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(8.4)</w:t>
            </w:r>
          </w:p>
        </w:tc>
        <w:tc>
          <w:tcPr>
            <w:tcW w:w="20" w:type="dxa"/>
            <w:vAlign w:val="bottom"/>
          </w:tcPr>
          <w:p>
            <w:pPr>
              <w:spacing w:after="0"/>
              <w:rPr>
                <w:sz w:val="11"/>
                <w:szCs w:val="11"/>
                <w:color w:val="auto"/>
              </w:rPr>
            </w:pPr>
          </w:p>
        </w:tc>
      </w:tr>
      <w:tr>
        <w:trPr>
          <w:trHeight w:val="128"/>
        </w:trPr>
        <w:tc>
          <w:tcPr>
            <w:tcW w:w="20" w:type="dxa"/>
            <w:vAlign w:val="bottom"/>
          </w:tcPr>
          <w:p>
            <w:pPr>
              <w:spacing w:after="0"/>
              <w:rPr>
                <w:sz w:val="11"/>
                <w:szCs w:val="11"/>
                <w:color w:val="auto"/>
              </w:rPr>
            </w:pPr>
          </w:p>
        </w:tc>
        <w:tc>
          <w:tcPr>
            <w:tcW w:w="5580" w:type="dxa"/>
            <w:vAlign w:val="bottom"/>
          </w:tcPr>
          <w:p>
            <w:pPr>
              <w:ind w:left="20"/>
              <w:spacing w:after="0"/>
              <w:rPr>
                <w:sz w:val="20"/>
                <w:szCs w:val="20"/>
                <w:color w:val="auto"/>
              </w:rPr>
            </w:pPr>
            <w:r>
              <w:rPr>
                <w:rFonts w:ascii="Arial" w:cs="Arial" w:eastAsia="Arial" w:hAnsi="Arial"/>
                <w:sz w:val="10"/>
                <w:szCs w:val="10"/>
                <w:color w:val="auto"/>
              </w:rPr>
              <w:t>Balance at end of period</w:t>
            </w:r>
          </w:p>
        </w:tc>
        <w:tc>
          <w:tcPr>
            <w:tcW w:w="260" w:type="dxa"/>
            <w:vAlign w:val="bottom"/>
            <w:gridSpan w:val="2"/>
          </w:tcPr>
          <w:p>
            <w:pPr>
              <w:jc w:val="right"/>
              <w:ind w:right="20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0"/>
                <w:szCs w:val="10"/>
                <w:color w:val="auto"/>
              </w:rPr>
              <w:t>221.5</w:t>
            </w:r>
          </w:p>
        </w:tc>
        <w:tc>
          <w:tcPr>
            <w:tcW w:w="40" w:type="dxa"/>
            <w:vAlign w:val="bottom"/>
          </w:tcPr>
          <w:p>
            <w:pPr>
              <w:spacing w:after="0"/>
              <w:rPr>
                <w:sz w:val="11"/>
                <w:szCs w:val="11"/>
                <w:color w:val="auto"/>
              </w:rPr>
            </w:pPr>
          </w:p>
        </w:tc>
        <w:tc>
          <w:tcPr>
            <w:tcW w:w="480" w:type="dxa"/>
            <w:vAlign w:val="bottom"/>
            <w:gridSpan w:val="3"/>
          </w:tcPr>
          <w:p>
            <w:pPr>
              <w:jc w:val="right"/>
              <w:ind w:right="36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12"/>
              <w:spacing w:after="0"/>
              <w:rPr>
                <w:sz w:val="20"/>
                <w:szCs w:val="20"/>
                <w:color w:val="auto"/>
              </w:rPr>
            </w:pPr>
            <w:r>
              <w:rPr>
                <w:rFonts w:ascii="Arial" w:cs="Arial" w:eastAsia="Arial" w:hAnsi="Arial"/>
                <w:sz w:val="10"/>
                <w:szCs w:val="10"/>
                <w:color w:val="auto"/>
              </w:rPr>
              <w:t>207.0</w:t>
            </w:r>
          </w:p>
        </w:tc>
        <w:tc>
          <w:tcPr>
            <w:tcW w:w="40" w:type="dxa"/>
            <w:vAlign w:val="bottom"/>
          </w:tcPr>
          <w:p>
            <w:pPr>
              <w:spacing w:after="0"/>
              <w:rPr>
                <w:sz w:val="11"/>
                <w:szCs w:val="11"/>
                <w:color w:val="auto"/>
              </w:rPr>
            </w:pPr>
          </w:p>
        </w:tc>
        <w:tc>
          <w:tcPr>
            <w:tcW w:w="320" w:type="dxa"/>
            <w:vAlign w:val="bottom"/>
            <w:gridSpan w:val="3"/>
          </w:tcPr>
          <w:p>
            <w:pPr>
              <w:jc w:val="right"/>
              <w:ind w:right="220"/>
              <w:spacing w:after="0"/>
              <w:rPr>
                <w:sz w:val="20"/>
                <w:szCs w:val="20"/>
                <w:color w:val="auto"/>
              </w:rPr>
            </w:pPr>
            <w:r>
              <w:rPr>
                <w:rFonts w:ascii="Arial" w:cs="Arial" w:eastAsia="Arial" w:hAnsi="Arial"/>
                <w:sz w:val="10"/>
                <w:szCs w:val="10"/>
                <w:color w:val="auto"/>
              </w:rPr>
              <w:t>$</w:t>
            </w:r>
          </w:p>
        </w:tc>
        <w:tc>
          <w:tcPr>
            <w:tcW w:w="1020" w:type="dxa"/>
            <w:vAlign w:val="bottom"/>
          </w:tcPr>
          <w:p>
            <w:pPr>
              <w:jc w:val="right"/>
              <w:spacing w:after="0"/>
              <w:rPr>
                <w:sz w:val="20"/>
                <w:szCs w:val="20"/>
                <w:color w:val="auto"/>
              </w:rPr>
            </w:pPr>
            <w:r>
              <w:rPr>
                <w:rFonts w:ascii="Arial" w:cs="Arial" w:eastAsia="Arial" w:hAnsi="Arial"/>
                <w:sz w:val="10"/>
                <w:szCs w:val="10"/>
                <w:color w:val="auto"/>
              </w:rPr>
              <w:t>221.5</w:t>
            </w:r>
          </w:p>
        </w:tc>
        <w:tc>
          <w:tcPr>
            <w:tcW w:w="40" w:type="dxa"/>
            <w:vAlign w:val="bottom"/>
          </w:tcPr>
          <w:p>
            <w:pPr>
              <w:spacing w:after="0"/>
              <w:rPr>
                <w:sz w:val="11"/>
                <w:szCs w:val="11"/>
                <w:color w:val="auto"/>
              </w:rPr>
            </w:pPr>
          </w:p>
        </w:tc>
        <w:tc>
          <w:tcPr>
            <w:tcW w:w="480" w:type="dxa"/>
            <w:vAlign w:val="bottom"/>
            <w:gridSpan w:val="3"/>
          </w:tcPr>
          <w:p>
            <w:pPr>
              <w:jc w:val="right"/>
              <w:ind w:right="360"/>
              <w:spacing w:after="0"/>
              <w:rPr>
                <w:sz w:val="20"/>
                <w:szCs w:val="20"/>
                <w:color w:val="auto"/>
              </w:rPr>
            </w:pPr>
            <w:r>
              <w:rPr>
                <w:rFonts w:ascii="Arial" w:cs="Arial" w:eastAsia="Arial" w:hAnsi="Arial"/>
                <w:sz w:val="10"/>
                <w:szCs w:val="10"/>
                <w:color w:val="auto"/>
              </w:rPr>
              <w:t>$</w:t>
            </w:r>
          </w:p>
        </w:tc>
        <w:tc>
          <w:tcPr>
            <w:tcW w:w="880" w:type="dxa"/>
            <w:vAlign w:val="bottom"/>
          </w:tcPr>
          <w:p>
            <w:pPr>
              <w:jc w:val="right"/>
              <w:spacing w:after="0"/>
              <w:rPr>
                <w:sz w:val="20"/>
                <w:szCs w:val="20"/>
                <w:color w:val="auto"/>
              </w:rPr>
            </w:pPr>
            <w:r>
              <w:rPr>
                <w:rFonts w:ascii="Arial" w:cs="Arial" w:eastAsia="Arial" w:hAnsi="Arial"/>
                <w:sz w:val="10"/>
                <w:szCs w:val="10"/>
                <w:color w:val="auto"/>
              </w:rPr>
              <w:t>207.0</w:t>
            </w:r>
          </w:p>
        </w:tc>
        <w:tc>
          <w:tcPr>
            <w:tcW w:w="2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Non-GAAP Information and Reconciliation</w:t>
      </w:r>
    </w:p>
    <w:p>
      <w:pPr>
        <w:spacing w:after="0" w:line="231" w:lineRule="exact"/>
        <w:rPr>
          <w:sz w:val="20"/>
          <w:szCs w:val="20"/>
          <w:color w:val="auto"/>
        </w:rPr>
      </w:pPr>
    </w:p>
    <w:p>
      <w:pPr>
        <w:jc w:val="both"/>
        <w:ind w:right="100"/>
        <w:spacing w:after="0" w:line="380" w:lineRule="auto"/>
        <w:rPr>
          <w:sz w:val="20"/>
          <w:szCs w:val="20"/>
          <w:color w:val="auto"/>
        </w:rPr>
      </w:pPr>
      <w:r>
        <w:rPr>
          <w:rFonts w:ascii="Arial" w:cs="Arial" w:eastAsia="Arial" w:hAnsi="Arial"/>
          <w:sz w:val="12"/>
          <w:szCs w:val="12"/>
          <w:color w:val="auto"/>
        </w:rPr>
        <w:t>The firm believes the non-GAAP financial measures below provide relevant and meaningful information to investors about its core operating results. These measures have been established in order to increase transparency for the purpose of evaluating the firm's core business, for comparing current results with prior period results, and to enable more appropriate comparison with industry peers. However, non-GAAP financial measures should not be considered as a substitute for financial measures calculated in accordance with U.S. GAAP and may be calculated differently by other companies.</w:t>
      </w:r>
    </w:p>
    <w:p>
      <w:pPr>
        <w:spacing w:after="0" w:line="281"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140"/>
          </w:cols>
          <w:pgMar w:left="300" w:top="761" w:right="459" w:bottom="1440" w:gutter="0" w:footer="0" w:header="0"/>
        </w:sectPr>
      </w:pPr>
    </w:p>
    <w:bookmarkStart w:id="13" w:name="page14"/>
    <w:bookmarkEnd w:id="13"/>
    <w:p>
      <w:pPr>
        <w:spacing w:after="0"/>
        <w:rPr>
          <w:sz w:val="20"/>
          <w:szCs w:val="20"/>
          <w:color w:val="auto"/>
        </w:rPr>
      </w:pPr>
      <w:r>
        <w:rPr>
          <w:rFonts w:ascii="Arial" w:cs="Arial" w:eastAsia="Arial" w:hAnsi="Arial"/>
          <w:sz w:val="12"/>
          <w:szCs w:val="12"/>
          <w:color w:val="auto"/>
        </w:rPr>
        <w:t>The following schedules reconcile U.S. GAAP financial measures to non-GAAP financial measures for the three months ended September 30, 2023 and 2022 and June 30, 2023.</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7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2480" w:type="dxa"/>
            <w:vAlign w:val="bottom"/>
            <w:tcBorders>
              <w:bottom w:val="single" w:sz="8" w:color="auto"/>
            </w:tcBorders>
            <w:gridSpan w:val="5"/>
            <w:shd w:val="clear" w:color="auto" w:fill="CCEEFF"/>
          </w:tcPr>
          <w:p>
            <w:pPr>
              <w:ind w:left="460"/>
              <w:spacing w:after="0"/>
              <w:rPr>
                <w:sz w:val="20"/>
                <w:szCs w:val="20"/>
                <w:color w:val="auto"/>
              </w:rPr>
            </w:pPr>
            <w:r>
              <w:rPr>
                <w:rFonts w:ascii="Arial" w:cs="Arial" w:eastAsia="Arial" w:hAnsi="Arial"/>
                <w:sz w:val="10"/>
                <w:szCs w:val="10"/>
                <w:b w:val="1"/>
                <w:bCs w:val="1"/>
                <w:color w:val="auto"/>
              </w:rPr>
              <w:t>Three months ended 9/30/2023</w:t>
            </w:r>
          </w:p>
        </w:tc>
        <w:tc>
          <w:tcPr>
            <w:tcW w:w="14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3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Operating expenses</w:t>
            </w:r>
          </w:p>
        </w:tc>
        <w:tc>
          <w:tcPr>
            <w:tcW w:w="80" w:type="dxa"/>
            <w:vAlign w:val="bottom"/>
          </w:tcPr>
          <w:p>
            <w:pPr>
              <w:spacing w:after="0"/>
              <w:rPr>
                <w:sz w:val="8"/>
                <w:szCs w:val="8"/>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Net operating income</w:t>
            </w:r>
          </w:p>
        </w:tc>
        <w:tc>
          <w:tcPr>
            <w:tcW w:w="80" w:type="dxa"/>
            <w:vAlign w:val="bottom"/>
          </w:tcPr>
          <w:p>
            <w:pPr>
              <w:spacing w:after="0"/>
              <w:rPr>
                <w:sz w:val="8"/>
                <w:szCs w:val="8"/>
                <w:color w:val="auto"/>
              </w:rPr>
            </w:pPr>
          </w:p>
        </w:tc>
        <w:tc>
          <w:tcPr>
            <w:tcW w:w="1200" w:type="dxa"/>
            <w:vAlign w:val="bottom"/>
            <w:gridSpan w:val="2"/>
          </w:tcPr>
          <w:p>
            <w:pPr>
              <w:jc w:val="center"/>
              <w:ind w:right="180"/>
              <w:spacing w:after="0" w:line="97" w:lineRule="exact"/>
              <w:rPr>
                <w:sz w:val="20"/>
                <w:szCs w:val="20"/>
                <w:color w:val="auto"/>
              </w:rPr>
            </w:pPr>
            <w:r>
              <w:rPr>
                <w:rFonts w:ascii="Arial" w:cs="Arial" w:eastAsia="Arial" w:hAnsi="Arial"/>
                <w:sz w:val="10"/>
                <w:szCs w:val="10"/>
                <w:b w:val="1"/>
                <w:bCs w:val="1"/>
                <w:color w:val="auto"/>
                <w:w w:val="96"/>
              </w:rPr>
              <w:t>Non-operating income</w:t>
            </w:r>
          </w:p>
        </w:tc>
        <w:tc>
          <w:tcPr>
            <w:tcW w:w="80" w:type="dxa"/>
            <w:vAlign w:val="bottom"/>
          </w:tcPr>
          <w:p>
            <w:pPr>
              <w:spacing w:after="0"/>
              <w:rPr>
                <w:sz w:val="8"/>
                <w:szCs w:val="8"/>
                <w:color w:val="auto"/>
              </w:rPr>
            </w:pPr>
          </w:p>
        </w:tc>
        <w:tc>
          <w:tcPr>
            <w:tcW w:w="1200" w:type="dxa"/>
            <w:vAlign w:val="bottom"/>
            <w:gridSpan w:val="2"/>
          </w:tcPr>
          <w:p>
            <w:pPr>
              <w:jc w:val="center"/>
              <w:ind w:right="200"/>
              <w:spacing w:after="0" w:line="97" w:lineRule="exact"/>
              <w:rPr>
                <w:sz w:val="20"/>
                <w:szCs w:val="20"/>
                <w:color w:val="auto"/>
              </w:rPr>
            </w:pPr>
            <w:r>
              <w:rPr>
                <w:rFonts w:ascii="Arial" w:cs="Arial" w:eastAsia="Arial" w:hAnsi="Arial"/>
                <w:sz w:val="10"/>
                <w:szCs w:val="10"/>
                <w:b w:val="1"/>
                <w:bCs w:val="1"/>
                <w:color w:val="auto"/>
                <w:w w:val="96"/>
              </w:rPr>
              <w:t>Provision (benefit) for</w:t>
            </w:r>
          </w:p>
        </w:tc>
        <w:tc>
          <w:tcPr>
            <w:tcW w:w="1260" w:type="dxa"/>
            <w:vAlign w:val="bottom"/>
            <w:gridSpan w:val="3"/>
          </w:tcPr>
          <w:p>
            <w:pPr>
              <w:jc w:val="center"/>
              <w:ind w:right="80"/>
              <w:spacing w:after="0" w:line="97" w:lineRule="exact"/>
              <w:rPr>
                <w:sz w:val="20"/>
                <w:szCs w:val="20"/>
                <w:color w:val="auto"/>
              </w:rPr>
            </w:pPr>
            <w:r>
              <w:rPr>
                <w:rFonts w:ascii="Arial" w:cs="Arial" w:eastAsia="Arial" w:hAnsi="Arial"/>
                <w:sz w:val="10"/>
                <w:szCs w:val="10"/>
                <w:b w:val="1"/>
                <w:bCs w:val="1"/>
                <w:color w:val="auto"/>
                <w:w w:val="95"/>
              </w:rPr>
              <w:t>Net income attributable</w:t>
            </w:r>
          </w:p>
        </w:tc>
        <w:tc>
          <w:tcPr>
            <w:tcW w:w="100" w:type="dxa"/>
            <w:vAlign w:val="bottom"/>
          </w:tcPr>
          <w:p>
            <w:pPr>
              <w:spacing w:after="0"/>
              <w:rPr>
                <w:sz w:val="8"/>
                <w:szCs w:val="8"/>
                <w:color w:val="auto"/>
              </w:rPr>
            </w:pPr>
          </w:p>
        </w:tc>
        <w:tc>
          <w:tcPr>
            <w:tcW w:w="1100" w:type="dxa"/>
            <w:vAlign w:val="bottom"/>
          </w:tcPr>
          <w:p>
            <w:pPr>
              <w:jc w:val="center"/>
              <w:ind w:right="52"/>
              <w:spacing w:after="0" w:line="97" w:lineRule="exact"/>
              <w:rPr>
                <w:sz w:val="20"/>
                <w:szCs w:val="20"/>
                <w:color w:val="auto"/>
              </w:rPr>
            </w:pPr>
            <w:r>
              <w:rPr>
                <w:rFonts w:ascii="Arial" w:cs="Arial" w:eastAsia="Arial" w:hAnsi="Arial"/>
                <w:sz w:val="10"/>
                <w:szCs w:val="10"/>
                <w:b w:val="1"/>
                <w:bCs w:val="1"/>
                <w:color w:val="auto"/>
                <w:w w:val="95"/>
              </w:rPr>
              <w:t>Diluted earnings per</w:t>
            </w:r>
          </w:p>
        </w:tc>
        <w:tc>
          <w:tcPr>
            <w:tcW w:w="0" w:type="dxa"/>
            <w:vAlign w:val="bottom"/>
          </w:tcPr>
          <w:p>
            <w:pPr>
              <w:spacing w:after="0"/>
              <w:rPr>
                <w:sz w:val="1"/>
                <w:szCs w:val="1"/>
                <w:color w:val="auto"/>
              </w:rPr>
            </w:pPr>
          </w:p>
        </w:tc>
      </w:tr>
      <w:tr>
        <w:trPr>
          <w:trHeight w:val="126"/>
        </w:trPr>
        <w:tc>
          <w:tcPr>
            <w:tcW w:w="3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7"/>
              </w:rPr>
              <w:t>(loss)</w:t>
            </w:r>
          </w:p>
        </w:tc>
        <w:tc>
          <w:tcPr>
            <w:tcW w:w="80" w:type="dxa"/>
            <w:vAlign w:val="bottom"/>
          </w:tcPr>
          <w:p>
            <w:pPr>
              <w:spacing w:after="0"/>
              <w:rPr>
                <w:sz w:val="10"/>
                <w:szCs w:val="10"/>
                <w:color w:val="auto"/>
              </w:rPr>
            </w:pPr>
          </w:p>
        </w:tc>
        <w:tc>
          <w:tcPr>
            <w:tcW w:w="1200" w:type="dxa"/>
            <w:vAlign w:val="bottom"/>
            <w:gridSpan w:val="2"/>
          </w:tcPr>
          <w:p>
            <w:pPr>
              <w:jc w:val="center"/>
              <w:ind w:right="180"/>
              <w:spacing w:after="0" w:line="126" w:lineRule="exact"/>
              <w:rPr>
                <w:sz w:val="20"/>
                <w:szCs w:val="20"/>
                <w:color w:val="auto"/>
              </w:rPr>
            </w:pPr>
            <w:r>
              <w:rPr>
                <w:rFonts w:ascii="Arial" w:cs="Arial" w:eastAsia="Arial" w:hAnsi="Arial"/>
                <w:sz w:val="10"/>
                <w:szCs w:val="10"/>
                <w:b w:val="1"/>
                <w:bCs w:val="1"/>
                <w:color w:val="auto"/>
                <w:w w:val="95"/>
              </w:rPr>
              <w:t>income taxes</w:t>
            </w:r>
            <w:r>
              <w:rPr>
                <w:rFonts w:ascii="Arial" w:cs="Arial" w:eastAsia="Arial" w:hAnsi="Arial"/>
                <w:sz w:val="12"/>
                <w:szCs w:val="12"/>
                <w:b w:val="1"/>
                <w:bCs w:val="1"/>
                <w:color w:val="auto"/>
                <w:w w:val="95"/>
                <w:vertAlign w:val="superscript"/>
              </w:rPr>
              <w:t>(6)</w:t>
            </w:r>
          </w:p>
        </w:tc>
        <w:tc>
          <w:tcPr>
            <w:tcW w:w="140" w:type="dxa"/>
            <w:vAlign w:val="bottom"/>
          </w:tcPr>
          <w:p>
            <w:pPr>
              <w:spacing w:after="0"/>
              <w:rPr>
                <w:sz w:val="10"/>
                <w:szCs w:val="1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to T. Rowe Price</w:t>
            </w:r>
          </w:p>
        </w:tc>
        <w:tc>
          <w:tcPr>
            <w:tcW w:w="100" w:type="dxa"/>
            <w:vAlign w:val="bottom"/>
          </w:tcPr>
          <w:p>
            <w:pPr>
              <w:spacing w:after="0"/>
              <w:rPr>
                <w:sz w:val="10"/>
                <w:szCs w:val="10"/>
                <w:color w:val="auto"/>
              </w:rPr>
            </w:pPr>
          </w:p>
        </w:tc>
        <w:tc>
          <w:tcPr>
            <w:tcW w:w="1100" w:type="dxa"/>
            <w:vAlign w:val="bottom"/>
          </w:tcPr>
          <w:p>
            <w:pPr>
              <w:jc w:val="center"/>
              <w:ind w:right="32"/>
              <w:spacing w:after="0" w:line="126" w:lineRule="exact"/>
              <w:rPr>
                <w:sz w:val="20"/>
                <w:szCs w:val="20"/>
                <w:color w:val="auto"/>
              </w:rPr>
            </w:pPr>
            <w:r>
              <w:rPr>
                <w:rFonts w:ascii="Arial" w:cs="Arial" w:eastAsia="Arial" w:hAnsi="Arial"/>
                <w:sz w:val="10"/>
                <w:szCs w:val="10"/>
                <w:b w:val="1"/>
                <w:bCs w:val="1"/>
                <w:color w:val="auto"/>
                <w:w w:val="93"/>
              </w:rPr>
              <w:t>share</w:t>
            </w:r>
            <w:r>
              <w:rPr>
                <w:rFonts w:ascii="Arial" w:cs="Arial" w:eastAsia="Arial" w:hAnsi="Arial"/>
                <w:sz w:val="12"/>
                <w:szCs w:val="12"/>
                <w:b w:val="1"/>
                <w:bCs w:val="1"/>
                <w:color w:val="auto"/>
                <w:w w:val="93"/>
                <w:vertAlign w:val="superscript"/>
              </w:rPr>
              <w:t>(7)</w:t>
            </w:r>
          </w:p>
        </w:tc>
        <w:tc>
          <w:tcPr>
            <w:tcW w:w="0" w:type="dxa"/>
            <w:vAlign w:val="bottom"/>
          </w:tcPr>
          <w:p>
            <w:pPr>
              <w:spacing w:after="0"/>
              <w:rPr>
                <w:sz w:val="1"/>
                <w:szCs w:val="1"/>
                <w:color w:val="auto"/>
              </w:rPr>
            </w:pPr>
          </w:p>
        </w:tc>
      </w:tr>
      <w:tr>
        <w:trPr>
          <w:trHeight w:val="124"/>
        </w:trPr>
        <w:tc>
          <w:tcPr>
            <w:tcW w:w="3700" w:type="dxa"/>
            <w:vAlign w:val="bottom"/>
            <w:tcBorders>
              <w:top w:val="single" w:sz="8" w:color="CCEEFF"/>
            </w:tcBorders>
            <w:shd w:val="clear" w:color="auto" w:fill="CCEEFF"/>
          </w:tcPr>
          <w:p>
            <w:pPr>
              <w:ind w:left="20"/>
              <w:spacing w:after="0" w:line="124" w:lineRule="exact"/>
              <w:rPr>
                <w:sz w:val="20"/>
                <w:szCs w:val="20"/>
                <w:color w:val="auto"/>
              </w:rPr>
            </w:pPr>
            <w:r>
              <w:rPr>
                <w:rFonts w:ascii="Arial" w:cs="Arial" w:eastAsia="Arial" w:hAnsi="Arial"/>
                <w:sz w:val="11"/>
                <w:szCs w:val="11"/>
                <w:b w:val="1"/>
                <w:bCs w:val="1"/>
                <w:color w:val="auto"/>
              </w:rPr>
              <w:t>U.S. GAAP Basis (FS line item)</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1,089.4</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581.3</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2.8</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144.9</w:t>
            </w: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453.2</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1.97</w:t>
            </w:r>
          </w:p>
        </w:tc>
        <w:tc>
          <w:tcPr>
            <w:tcW w:w="0" w:type="dxa"/>
            <w:vAlign w:val="bottom"/>
          </w:tcPr>
          <w:p>
            <w:pPr>
              <w:spacing w:after="0"/>
              <w:rPr>
                <w:sz w:val="1"/>
                <w:szCs w:val="1"/>
                <w:color w:val="auto"/>
              </w:rPr>
            </w:pPr>
          </w:p>
        </w:tc>
      </w:tr>
      <w:tr>
        <w:trPr>
          <w:trHeight w:val="122"/>
        </w:trPr>
        <w:tc>
          <w:tcPr>
            <w:tcW w:w="3700" w:type="dxa"/>
            <w:vAlign w:val="bottom"/>
          </w:tcPr>
          <w:p>
            <w:pPr>
              <w:ind w:left="20"/>
              <w:spacing w:after="0" w:line="120" w:lineRule="exact"/>
              <w:rPr>
                <w:sz w:val="20"/>
                <w:szCs w:val="20"/>
                <w:color w:val="auto"/>
              </w:rPr>
            </w:pPr>
            <w:r>
              <w:rPr>
                <w:rFonts w:ascii="Arial" w:cs="Arial" w:eastAsia="Arial" w:hAnsi="Arial"/>
                <w:sz w:val="11"/>
                <w:szCs w:val="11"/>
                <w:color w:val="auto"/>
              </w:rPr>
              <w:t>Non-GAAP adjustments:</w:t>
            </w: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7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Acquisition-related non-GAAP adjustments:</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3700" w:type="dxa"/>
            <w:vAlign w:val="bottom"/>
          </w:tcPr>
          <w:p>
            <w:pPr>
              <w:ind w:left="100"/>
              <w:spacing w:after="0" w:line="110" w:lineRule="exact"/>
              <w:rPr>
                <w:sz w:val="20"/>
                <w:szCs w:val="20"/>
                <w:color w:val="auto"/>
              </w:rPr>
            </w:pPr>
            <w:r>
              <w:rPr>
                <w:rFonts w:ascii="Arial" w:cs="Arial" w:eastAsia="Arial" w:hAnsi="Arial"/>
                <w:sz w:val="9"/>
                <w:szCs w:val="9"/>
                <w:color w:val="auto"/>
              </w:rPr>
              <w:t>Investment and NCI amortization and impairments</w:t>
            </w:r>
            <w:r>
              <w:rPr>
                <w:rFonts w:ascii="Arial" w:cs="Arial" w:eastAsia="Arial" w:hAnsi="Arial"/>
                <w:sz w:val="12"/>
                <w:szCs w:val="12"/>
                <w:color w:val="auto"/>
                <w:vertAlign w:val="superscript"/>
              </w:rPr>
              <w:t>(1)</w:t>
            </w:r>
            <w:r>
              <w:rPr>
                <w:rFonts w:ascii="Arial" w:cs="Arial" w:eastAsia="Arial" w:hAnsi="Arial"/>
                <w:sz w:val="9"/>
                <w:szCs w:val="9"/>
                <w:color w:val="auto"/>
              </w:rPr>
              <w:t xml:space="preserve"> (Capital allocation-</w:t>
            </w: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3700" w:type="dxa"/>
            <w:vAlign w:val="bottom"/>
          </w:tcPr>
          <w:p>
            <w:pPr>
              <w:ind w:left="100"/>
              <w:spacing w:after="0"/>
              <w:rPr>
                <w:sz w:val="20"/>
                <w:szCs w:val="20"/>
                <w:color w:val="auto"/>
              </w:rPr>
            </w:pPr>
            <w:r>
              <w:rPr>
                <w:rFonts w:ascii="Arial" w:cs="Arial" w:eastAsia="Arial" w:hAnsi="Arial"/>
                <w:sz w:val="11"/>
                <w:szCs w:val="11"/>
                <w:color w:val="auto"/>
              </w:rPr>
              <w:t>based income and Compensation and related costs)</w:t>
            </w:r>
          </w:p>
        </w:tc>
        <w:tc>
          <w:tcPr>
            <w:tcW w:w="1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10.6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15.2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4.6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10.6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0.04</w:t>
            </w:r>
          </w:p>
        </w:tc>
        <w:tc>
          <w:tcPr>
            <w:tcW w:w="0" w:type="dxa"/>
            <w:vAlign w:val="bottom"/>
          </w:tcPr>
          <w:p>
            <w:pPr>
              <w:spacing w:after="0"/>
              <w:rPr>
                <w:sz w:val="1"/>
                <w:szCs w:val="1"/>
                <w:color w:val="auto"/>
              </w:rPr>
            </w:pPr>
          </w:p>
        </w:tc>
      </w:tr>
      <w:tr>
        <w:trPr>
          <w:trHeight w:val="112"/>
        </w:trPr>
        <w:tc>
          <w:tcPr>
            <w:tcW w:w="3700" w:type="dxa"/>
            <w:vAlign w:val="bottom"/>
            <w:shd w:val="clear" w:color="auto" w:fill="CCEEFF"/>
          </w:tcPr>
          <w:p>
            <w:pPr>
              <w:ind w:left="100"/>
              <w:spacing w:after="0" w:line="113" w:lineRule="exact"/>
              <w:rPr>
                <w:sz w:val="20"/>
                <w:szCs w:val="20"/>
                <w:color w:val="auto"/>
              </w:rPr>
            </w:pPr>
            <w:r>
              <w:rPr>
                <w:rFonts w:ascii="Arial" w:cs="Arial" w:eastAsia="Arial" w:hAnsi="Arial"/>
                <w:sz w:val="10"/>
                <w:szCs w:val="10"/>
                <w:color w:val="auto"/>
              </w:rPr>
              <w:t>Acquisition-related retention arrangements</w:t>
            </w:r>
            <w:r>
              <w:rPr>
                <w:rFonts w:ascii="Arial" w:cs="Arial" w:eastAsia="Arial" w:hAnsi="Arial"/>
                <w:sz w:val="13"/>
                <w:szCs w:val="13"/>
                <w:color w:val="auto"/>
                <w:vertAlign w:val="superscript"/>
              </w:rPr>
              <w:t>(1)</w:t>
            </w:r>
            <w:r>
              <w:rPr>
                <w:rFonts w:ascii="Arial" w:cs="Arial" w:eastAsia="Arial" w:hAnsi="Arial"/>
                <w:sz w:val="10"/>
                <w:szCs w:val="10"/>
                <w:color w:val="auto"/>
              </w:rPr>
              <w:t xml:space="preserve"> (Compensation and related</w:t>
            </w:r>
          </w:p>
        </w:tc>
        <w:tc>
          <w:tcPr>
            <w:tcW w:w="1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costs)</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0.04</w:t>
            </w:r>
          </w:p>
        </w:tc>
        <w:tc>
          <w:tcPr>
            <w:tcW w:w="0" w:type="dxa"/>
            <w:vAlign w:val="bottom"/>
          </w:tcPr>
          <w:p>
            <w:pPr>
              <w:spacing w:after="0"/>
              <w:rPr>
                <w:sz w:val="1"/>
                <w:szCs w:val="1"/>
                <w:color w:val="auto"/>
              </w:rPr>
            </w:pPr>
          </w:p>
        </w:tc>
      </w:tr>
      <w:tr>
        <w:trPr>
          <w:trHeight w:val="144"/>
        </w:trPr>
        <w:tc>
          <w:tcPr>
            <w:tcW w:w="3700" w:type="dxa"/>
            <w:vAlign w:val="bottom"/>
            <w:tcBorders>
              <w:bottom w:val="single" w:sz="8" w:color="CCEEFF"/>
            </w:tcBorders>
          </w:tcPr>
          <w:p>
            <w:pPr>
              <w:ind w:left="100"/>
              <w:spacing w:after="0" w:line="144" w:lineRule="exact"/>
              <w:rPr>
                <w:sz w:val="20"/>
                <w:szCs w:val="20"/>
                <w:color w:val="auto"/>
              </w:rPr>
            </w:pPr>
            <w:r>
              <w:rPr>
                <w:rFonts w:ascii="Arial" w:cs="Arial" w:eastAsia="Arial" w:hAnsi="Arial"/>
                <w:sz w:val="11"/>
                <w:szCs w:val="11"/>
                <w:color w:val="auto"/>
              </w:rPr>
              <w:t>Intangible assets amortization and impairments</w:t>
            </w:r>
            <w:r>
              <w:rPr>
                <w:rFonts w:ascii="Arial" w:cs="Arial" w:eastAsia="Arial" w:hAnsi="Arial"/>
                <w:sz w:val="14"/>
                <w:szCs w:val="14"/>
                <w:color w:val="auto"/>
                <w:vertAlign w:val="superscript"/>
              </w:rPr>
              <w:t>(1)</w:t>
            </w: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(38.5)</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38.5</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11.7</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26.8</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0.12</w:t>
            </w:r>
          </w:p>
        </w:tc>
        <w:tc>
          <w:tcPr>
            <w:tcW w:w="0" w:type="dxa"/>
            <w:vAlign w:val="bottom"/>
          </w:tcPr>
          <w:p>
            <w:pPr>
              <w:spacing w:after="0"/>
              <w:rPr>
                <w:sz w:val="1"/>
                <w:szCs w:val="1"/>
                <w:color w:val="auto"/>
              </w:rPr>
            </w:pPr>
          </w:p>
        </w:tc>
      </w:tr>
      <w:tr>
        <w:trPr>
          <w:trHeight w:val="124"/>
        </w:trPr>
        <w:tc>
          <w:tcPr>
            <w:tcW w:w="3700" w:type="dxa"/>
            <w:vAlign w:val="bottom"/>
            <w:shd w:val="clear" w:color="auto" w:fill="CCEEFF"/>
          </w:tcPr>
          <w:p>
            <w:pPr>
              <w:ind w:left="20"/>
              <w:spacing w:after="0" w:line="120" w:lineRule="exact"/>
              <w:rPr>
                <w:sz w:val="20"/>
                <w:szCs w:val="20"/>
                <w:color w:val="auto"/>
              </w:rPr>
            </w:pPr>
            <w:r>
              <w:rPr>
                <w:rFonts w:ascii="Arial" w:cs="Arial" w:eastAsia="Arial" w:hAnsi="Arial"/>
                <w:sz w:val="11"/>
                <w:szCs w:val="11"/>
                <w:color w:val="auto"/>
              </w:rPr>
              <w:t>Total acquisition-related non-GAAP adjustments</w:t>
            </w:r>
          </w:p>
        </w:tc>
        <w:tc>
          <w:tcPr>
            <w:tcW w:w="10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(41.6)</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67.4</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20.5</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46.9</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0.20</w:t>
            </w:r>
          </w:p>
        </w:tc>
        <w:tc>
          <w:tcPr>
            <w:tcW w:w="0" w:type="dxa"/>
            <w:vAlign w:val="bottom"/>
          </w:tcPr>
          <w:p>
            <w:pPr>
              <w:spacing w:after="0"/>
              <w:rPr>
                <w:sz w:val="1"/>
                <w:szCs w:val="1"/>
                <w:color w:val="auto"/>
              </w:rPr>
            </w:pPr>
          </w:p>
        </w:tc>
      </w:tr>
      <w:tr>
        <w:trPr>
          <w:trHeight w:val="124"/>
        </w:trPr>
        <w:tc>
          <w:tcPr>
            <w:tcW w:w="3700" w:type="dxa"/>
            <w:vAlign w:val="bottom"/>
          </w:tcPr>
          <w:p>
            <w:pPr>
              <w:ind w:left="20"/>
              <w:spacing w:after="0" w:line="124" w:lineRule="exact"/>
              <w:rPr>
                <w:sz w:val="20"/>
                <w:szCs w:val="20"/>
                <w:color w:val="auto"/>
              </w:rPr>
            </w:pPr>
            <w:r>
              <w:rPr>
                <w:rFonts w:ascii="Arial" w:cs="Arial" w:eastAsia="Arial" w:hAnsi="Arial"/>
                <w:sz w:val="11"/>
                <w:szCs w:val="11"/>
                <w:color w:val="auto"/>
              </w:rPr>
              <w:t>Supplemental savings plan liability</w:t>
            </w:r>
            <w:r>
              <w:rPr>
                <w:rFonts w:ascii="Arial" w:cs="Arial" w:eastAsia="Arial" w:hAnsi="Arial"/>
                <w:sz w:val="14"/>
                <w:szCs w:val="14"/>
                <w:color w:val="auto"/>
                <w:vertAlign w:val="superscript"/>
              </w:rPr>
              <w:t>(3)</w:t>
            </w:r>
            <w:r>
              <w:rPr>
                <w:rFonts w:ascii="Arial" w:cs="Arial" w:eastAsia="Arial" w:hAnsi="Arial"/>
                <w:sz w:val="11"/>
                <w:szCs w:val="11"/>
                <w:color w:val="auto"/>
              </w:rPr>
              <w:t xml:space="preserve"> (Compensation and related costs)</w:t>
            </w:r>
          </w:p>
        </w:tc>
        <w:tc>
          <w:tcPr>
            <w:tcW w:w="1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14.2</w:t>
            </w: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(14.2)</w:t>
            </w: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19.7</w:t>
            </w: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1.7</w:t>
            </w: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3.8</w:t>
            </w: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0.02</w:t>
            </w:r>
          </w:p>
        </w:tc>
        <w:tc>
          <w:tcPr>
            <w:tcW w:w="0" w:type="dxa"/>
            <w:vAlign w:val="bottom"/>
          </w:tcPr>
          <w:p>
            <w:pPr>
              <w:spacing w:after="0"/>
              <w:rPr>
                <w:sz w:val="1"/>
                <w:szCs w:val="1"/>
                <w:color w:val="auto"/>
              </w:rPr>
            </w:pPr>
          </w:p>
        </w:tc>
      </w:tr>
      <w:tr>
        <w:trPr>
          <w:trHeight w:val="144"/>
        </w:trPr>
        <w:tc>
          <w:tcPr>
            <w:tcW w:w="3700" w:type="dxa"/>
            <w:vAlign w:val="bottom"/>
            <w:shd w:val="clear" w:color="auto" w:fill="CCEEFF"/>
          </w:tcPr>
          <w:p>
            <w:pPr>
              <w:ind w:left="20"/>
              <w:spacing w:after="0" w:line="144" w:lineRule="exact"/>
              <w:rPr>
                <w:sz w:val="20"/>
                <w:szCs w:val="20"/>
                <w:color w:val="auto"/>
              </w:rPr>
            </w:pPr>
            <w:r>
              <w:rPr>
                <w:rFonts w:ascii="Arial" w:cs="Arial" w:eastAsia="Arial" w:hAnsi="Arial"/>
                <w:sz w:val="11"/>
                <w:szCs w:val="11"/>
                <w:color w:val="auto"/>
              </w:rPr>
              <w:t>Consolidated T. Rowe Price investment products</w:t>
            </w:r>
            <w:r>
              <w:rPr>
                <w:rFonts w:ascii="Arial" w:cs="Arial" w:eastAsia="Arial" w:hAnsi="Arial"/>
                <w:sz w:val="14"/>
                <w:szCs w:val="14"/>
                <w:color w:val="auto"/>
                <w:vertAlign w:val="superscript"/>
              </w:rPr>
              <w:t>(4)</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0.03</w:t>
            </w:r>
          </w:p>
        </w:tc>
        <w:tc>
          <w:tcPr>
            <w:tcW w:w="0" w:type="dxa"/>
            <w:vAlign w:val="bottom"/>
          </w:tcPr>
          <w:p>
            <w:pPr>
              <w:spacing w:after="0"/>
              <w:rPr>
                <w:sz w:val="1"/>
                <w:szCs w:val="1"/>
                <w:color w:val="auto"/>
              </w:rPr>
            </w:pPr>
          </w:p>
        </w:tc>
      </w:tr>
      <w:tr>
        <w:trPr>
          <w:trHeight w:val="144"/>
        </w:trPr>
        <w:tc>
          <w:tcPr>
            <w:tcW w:w="3700" w:type="dxa"/>
            <w:vAlign w:val="bottom"/>
          </w:tcPr>
          <w:p>
            <w:pPr>
              <w:ind w:left="20"/>
              <w:spacing w:after="0" w:line="144" w:lineRule="exact"/>
              <w:rPr>
                <w:sz w:val="20"/>
                <w:szCs w:val="20"/>
                <w:color w:val="auto"/>
              </w:rPr>
            </w:pPr>
            <w:r>
              <w:rPr>
                <w:rFonts w:ascii="Arial" w:cs="Arial" w:eastAsia="Arial" w:hAnsi="Arial"/>
                <w:sz w:val="11"/>
                <w:szCs w:val="11"/>
                <w:color w:val="auto"/>
              </w:rPr>
              <w:t>Other non-operating income</w:t>
            </w:r>
            <w:r>
              <w:rPr>
                <w:rFonts w:ascii="Arial" w:cs="Arial" w:eastAsia="Arial" w:hAnsi="Arial"/>
                <w:sz w:val="14"/>
                <w:szCs w:val="14"/>
                <w:color w:val="auto"/>
                <w:vertAlign w:val="superscript"/>
              </w:rPr>
              <w:t>(5)</w:t>
            </w:r>
          </w:p>
        </w:tc>
        <w:tc>
          <w:tcPr>
            <w:tcW w:w="100" w:type="dxa"/>
            <w:vAlign w:val="bottom"/>
          </w:tcPr>
          <w:p>
            <w:pPr>
              <w:spacing w:after="0"/>
              <w:rPr>
                <w:sz w:val="12"/>
                <w:szCs w:val="12"/>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(18.2)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(5.6)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(12.6)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(0.05)</w:t>
            </w:r>
          </w:p>
        </w:tc>
        <w:tc>
          <w:tcPr>
            <w:tcW w:w="0" w:type="dxa"/>
            <w:vAlign w:val="bottom"/>
          </w:tcPr>
          <w:p>
            <w:pPr>
              <w:spacing w:after="0"/>
              <w:rPr>
                <w:sz w:val="1"/>
                <w:szCs w:val="1"/>
                <w:color w:val="auto"/>
              </w:rPr>
            </w:pPr>
          </w:p>
        </w:tc>
      </w:tr>
      <w:tr>
        <w:trPr>
          <w:trHeight w:val="151"/>
        </w:trPr>
        <w:tc>
          <w:tcPr>
            <w:tcW w:w="3700" w:type="dxa"/>
            <w:vAlign w:val="bottom"/>
            <w:tcBorders>
              <w:top w:val="single" w:sz="8" w:color="CCEEFF"/>
              <w:bottom w:val="single" w:sz="8" w:color="CCEEFF"/>
            </w:tcBorders>
            <w:shd w:val="clear" w:color="auto" w:fill="CCEEFF"/>
          </w:tcPr>
          <w:p>
            <w:pPr>
              <w:ind w:left="20"/>
              <w:spacing w:after="0" w:line="124" w:lineRule="exact"/>
              <w:rPr>
                <w:sz w:val="20"/>
                <w:szCs w:val="20"/>
                <w:color w:val="auto"/>
              </w:rPr>
            </w:pPr>
            <w:r>
              <w:rPr>
                <w:rFonts w:ascii="Arial" w:cs="Arial" w:eastAsia="Arial" w:hAnsi="Arial"/>
                <w:sz w:val="11"/>
                <w:szCs w:val="11"/>
                <w:b w:val="1"/>
                <w:bCs w:val="1"/>
                <w:color w:val="auto"/>
              </w:rPr>
              <w:t>Adjusted Non-GAAP Basis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1,061.3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635.9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28.7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165.1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499.5</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2.17</w:t>
            </w:r>
          </w:p>
        </w:tc>
        <w:tc>
          <w:tcPr>
            <w:tcW w:w="0" w:type="dxa"/>
            <w:vAlign w:val="bottom"/>
          </w:tcPr>
          <w:p>
            <w:pPr>
              <w:spacing w:after="0"/>
              <w:rPr>
                <w:sz w:val="1"/>
                <w:szCs w:val="1"/>
                <w:color w:val="auto"/>
              </w:rPr>
            </w:pPr>
          </w:p>
        </w:tc>
      </w:tr>
      <w:tr>
        <w:trPr>
          <w:trHeight w:val="232"/>
        </w:trPr>
        <w:tc>
          <w:tcPr>
            <w:tcW w:w="37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Borders>
              <w:top w:val="single" w:sz="8" w:color="auto"/>
            </w:tcBorders>
            <w:gridSpan w:val="2"/>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37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2480" w:type="dxa"/>
            <w:vAlign w:val="bottom"/>
            <w:tcBorders>
              <w:bottom w:val="single" w:sz="8" w:color="auto"/>
            </w:tcBorders>
            <w:gridSpan w:val="5"/>
            <w:shd w:val="clear" w:color="auto" w:fill="CCEEFF"/>
          </w:tcPr>
          <w:p>
            <w:pPr>
              <w:ind w:left="460"/>
              <w:spacing w:after="0"/>
              <w:rPr>
                <w:sz w:val="20"/>
                <w:szCs w:val="20"/>
                <w:color w:val="auto"/>
              </w:rPr>
            </w:pPr>
            <w:r>
              <w:rPr>
                <w:rFonts w:ascii="Arial" w:cs="Arial" w:eastAsia="Arial" w:hAnsi="Arial"/>
                <w:sz w:val="10"/>
                <w:szCs w:val="10"/>
                <w:b w:val="1"/>
                <w:bCs w:val="1"/>
                <w:color w:val="auto"/>
              </w:rPr>
              <w:t>Three months ended 9/30/2022</w:t>
            </w:r>
          </w:p>
        </w:tc>
        <w:tc>
          <w:tcPr>
            <w:tcW w:w="14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3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Operating expenses</w:t>
            </w:r>
          </w:p>
        </w:tc>
        <w:tc>
          <w:tcPr>
            <w:tcW w:w="80" w:type="dxa"/>
            <w:vAlign w:val="bottom"/>
          </w:tcPr>
          <w:p>
            <w:pPr>
              <w:spacing w:after="0"/>
              <w:rPr>
                <w:sz w:val="8"/>
                <w:szCs w:val="8"/>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Net operating income</w:t>
            </w:r>
          </w:p>
        </w:tc>
        <w:tc>
          <w:tcPr>
            <w:tcW w:w="80" w:type="dxa"/>
            <w:vAlign w:val="bottom"/>
          </w:tcPr>
          <w:p>
            <w:pPr>
              <w:spacing w:after="0"/>
              <w:rPr>
                <w:sz w:val="8"/>
                <w:szCs w:val="8"/>
                <w:color w:val="auto"/>
              </w:rPr>
            </w:pPr>
          </w:p>
        </w:tc>
        <w:tc>
          <w:tcPr>
            <w:tcW w:w="1200" w:type="dxa"/>
            <w:vAlign w:val="bottom"/>
            <w:gridSpan w:val="2"/>
          </w:tcPr>
          <w:p>
            <w:pPr>
              <w:jc w:val="center"/>
              <w:ind w:right="180"/>
              <w:spacing w:after="0" w:line="98" w:lineRule="exact"/>
              <w:rPr>
                <w:sz w:val="20"/>
                <w:szCs w:val="20"/>
                <w:color w:val="auto"/>
              </w:rPr>
            </w:pPr>
            <w:r>
              <w:rPr>
                <w:rFonts w:ascii="Arial" w:cs="Arial" w:eastAsia="Arial" w:hAnsi="Arial"/>
                <w:sz w:val="10"/>
                <w:szCs w:val="10"/>
                <w:b w:val="1"/>
                <w:bCs w:val="1"/>
                <w:color w:val="auto"/>
                <w:w w:val="96"/>
              </w:rPr>
              <w:t>Non-operating income</w:t>
            </w:r>
          </w:p>
        </w:tc>
        <w:tc>
          <w:tcPr>
            <w:tcW w:w="80" w:type="dxa"/>
            <w:vAlign w:val="bottom"/>
          </w:tcPr>
          <w:p>
            <w:pPr>
              <w:spacing w:after="0"/>
              <w:rPr>
                <w:sz w:val="8"/>
                <w:szCs w:val="8"/>
                <w:color w:val="auto"/>
              </w:rPr>
            </w:pPr>
          </w:p>
        </w:tc>
        <w:tc>
          <w:tcPr>
            <w:tcW w:w="1200" w:type="dxa"/>
            <w:vAlign w:val="bottom"/>
            <w:gridSpan w:val="2"/>
          </w:tcPr>
          <w:p>
            <w:pPr>
              <w:jc w:val="center"/>
              <w:ind w:right="200"/>
              <w:spacing w:after="0" w:line="98" w:lineRule="exact"/>
              <w:rPr>
                <w:sz w:val="20"/>
                <w:szCs w:val="20"/>
                <w:color w:val="auto"/>
              </w:rPr>
            </w:pPr>
            <w:r>
              <w:rPr>
                <w:rFonts w:ascii="Arial" w:cs="Arial" w:eastAsia="Arial" w:hAnsi="Arial"/>
                <w:sz w:val="10"/>
                <w:szCs w:val="10"/>
                <w:b w:val="1"/>
                <w:bCs w:val="1"/>
                <w:color w:val="auto"/>
                <w:w w:val="96"/>
              </w:rPr>
              <w:t>Provision (benefit) for</w:t>
            </w:r>
          </w:p>
        </w:tc>
        <w:tc>
          <w:tcPr>
            <w:tcW w:w="1260" w:type="dxa"/>
            <w:vAlign w:val="bottom"/>
            <w:gridSpan w:val="3"/>
          </w:tcPr>
          <w:p>
            <w:pPr>
              <w:jc w:val="center"/>
              <w:ind w:right="80"/>
              <w:spacing w:after="0" w:line="98" w:lineRule="exact"/>
              <w:rPr>
                <w:sz w:val="20"/>
                <w:szCs w:val="20"/>
                <w:color w:val="auto"/>
              </w:rPr>
            </w:pPr>
            <w:r>
              <w:rPr>
                <w:rFonts w:ascii="Arial" w:cs="Arial" w:eastAsia="Arial" w:hAnsi="Arial"/>
                <w:sz w:val="10"/>
                <w:szCs w:val="10"/>
                <w:b w:val="1"/>
                <w:bCs w:val="1"/>
                <w:color w:val="auto"/>
                <w:w w:val="95"/>
              </w:rPr>
              <w:t>Net income attributable</w:t>
            </w:r>
          </w:p>
        </w:tc>
        <w:tc>
          <w:tcPr>
            <w:tcW w:w="100" w:type="dxa"/>
            <w:vAlign w:val="bottom"/>
          </w:tcPr>
          <w:p>
            <w:pPr>
              <w:spacing w:after="0"/>
              <w:rPr>
                <w:sz w:val="8"/>
                <w:szCs w:val="8"/>
                <w:color w:val="auto"/>
              </w:rPr>
            </w:pPr>
          </w:p>
        </w:tc>
        <w:tc>
          <w:tcPr>
            <w:tcW w:w="1100" w:type="dxa"/>
            <w:vAlign w:val="bottom"/>
          </w:tcPr>
          <w:p>
            <w:pPr>
              <w:jc w:val="center"/>
              <w:ind w:right="52"/>
              <w:spacing w:after="0" w:line="98" w:lineRule="exact"/>
              <w:rPr>
                <w:sz w:val="20"/>
                <w:szCs w:val="20"/>
                <w:color w:val="auto"/>
              </w:rPr>
            </w:pPr>
            <w:r>
              <w:rPr>
                <w:rFonts w:ascii="Arial" w:cs="Arial" w:eastAsia="Arial" w:hAnsi="Arial"/>
                <w:sz w:val="10"/>
                <w:szCs w:val="10"/>
                <w:b w:val="1"/>
                <w:bCs w:val="1"/>
                <w:color w:val="auto"/>
                <w:w w:val="95"/>
              </w:rPr>
              <w:t>Diluted earnings per</w:t>
            </w:r>
          </w:p>
        </w:tc>
        <w:tc>
          <w:tcPr>
            <w:tcW w:w="0" w:type="dxa"/>
            <w:vAlign w:val="bottom"/>
          </w:tcPr>
          <w:p>
            <w:pPr>
              <w:spacing w:after="0"/>
              <w:rPr>
                <w:sz w:val="1"/>
                <w:szCs w:val="1"/>
                <w:color w:val="auto"/>
              </w:rPr>
            </w:pPr>
          </w:p>
        </w:tc>
      </w:tr>
      <w:tr>
        <w:trPr>
          <w:trHeight w:val="126"/>
        </w:trPr>
        <w:tc>
          <w:tcPr>
            <w:tcW w:w="3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7"/>
              </w:rPr>
              <w:t>(loss)</w:t>
            </w:r>
          </w:p>
        </w:tc>
        <w:tc>
          <w:tcPr>
            <w:tcW w:w="80" w:type="dxa"/>
            <w:vAlign w:val="bottom"/>
          </w:tcPr>
          <w:p>
            <w:pPr>
              <w:spacing w:after="0"/>
              <w:rPr>
                <w:sz w:val="10"/>
                <w:szCs w:val="10"/>
                <w:color w:val="auto"/>
              </w:rPr>
            </w:pPr>
          </w:p>
        </w:tc>
        <w:tc>
          <w:tcPr>
            <w:tcW w:w="1200" w:type="dxa"/>
            <w:vAlign w:val="bottom"/>
            <w:gridSpan w:val="2"/>
          </w:tcPr>
          <w:p>
            <w:pPr>
              <w:jc w:val="center"/>
              <w:ind w:right="180"/>
              <w:spacing w:after="0" w:line="126" w:lineRule="exact"/>
              <w:rPr>
                <w:sz w:val="20"/>
                <w:szCs w:val="20"/>
                <w:color w:val="auto"/>
              </w:rPr>
            </w:pPr>
            <w:r>
              <w:rPr>
                <w:rFonts w:ascii="Arial" w:cs="Arial" w:eastAsia="Arial" w:hAnsi="Arial"/>
                <w:sz w:val="10"/>
                <w:szCs w:val="10"/>
                <w:b w:val="1"/>
                <w:bCs w:val="1"/>
                <w:color w:val="auto"/>
                <w:w w:val="95"/>
              </w:rPr>
              <w:t>income taxes</w:t>
            </w:r>
            <w:r>
              <w:rPr>
                <w:rFonts w:ascii="Arial" w:cs="Arial" w:eastAsia="Arial" w:hAnsi="Arial"/>
                <w:sz w:val="12"/>
                <w:szCs w:val="12"/>
                <w:b w:val="1"/>
                <w:bCs w:val="1"/>
                <w:color w:val="auto"/>
                <w:w w:val="95"/>
                <w:vertAlign w:val="superscript"/>
              </w:rPr>
              <w:t>(6)</w:t>
            </w:r>
          </w:p>
        </w:tc>
        <w:tc>
          <w:tcPr>
            <w:tcW w:w="140" w:type="dxa"/>
            <w:vAlign w:val="bottom"/>
          </w:tcPr>
          <w:p>
            <w:pPr>
              <w:spacing w:after="0"/>
              <w:rPr>
                <w:sz w:val="10"/>
                <w:szCs w:val="1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to T. Rowe Price</w:t>
            </w:r>
          </w:p>
        </w:tc>
        <w:tc>
          <w:tcPr>
            <w:tcW w:w="100" w:type="dxa"/>
            <w:vAlign w:val="bottom"/>
          </w:tcPr>
          <w:p>
            <w:pPr>
              <w:spacing w:after="0"/>
              <w:rPr>
                <w:sz w:val="10"/>
                <w:szCs w:val="10"/>
                <w:color w:val="auto"/>
              </w:rPr>
            </w:pPr>
          </w:p>
        </w:tc>
        <w:tc>
          <w:tcPr>
            <w:tcW w:w="1100" w:type="dxa"/>
            <w:vAlign w:val="bottom"/>
          </w:tcPr>
          <w:p>
            <w:pPr>
              <w:jc w:val="center"/>
              <w:ind w:right="32"/>
              <w:spacing w:after="0" w:line="126" w:lineRule="exact"/>
              <w:rPr>
                <w:sz w:val="20"/>
                <w:szCs w:val="20"/>
                <w:color w:val="auto"/>
              </w:rPr>
            </w:pPr>
            <w:r>
              <w:rPr>
                <w:rFonts w:ascii="Arial" w:cs="Arial" w:eastAsia="Arial" w:hAnsi="Arial"/>
                <w:sz w:val="10"/>
                <w:szCs w:val="10"/>
                <w:b w:val="1"/>
                <w:bCs w:val="1"/>
                <w:color w:val="auto"/>
                <w:w w:val="93"/>
              </w:rPr>
              <w:t>share</w:t>
            </w:r>
            <w:r>
              <w:rPr>
                <w:rFonts w:ascii="Arial" w:cs="Arial" w:eastAsia="Arial" w:hAnsi="Arial"/>
                <w:sz w:val="12"/>
                <w:szCs w:val="12"/>
                <w:b w:val="1"/>
                <w:bCs w:val="1"/>
                <w:color w:val="auto"/>
                <w:w w:val="93"/>
                <w:vertAlign w:val="superscript"/>
              </w:rPr>
              <w:t>(7)</w:t>
            </w:r>
          </w:p>
        </w:tc>
        <w:tc>
          <w:tcPr>
            <w:tcW w:w="0" w:type="dxa"/>
            <w:vAlign w:val="bottom"/>
          </w:tcPr>
          <w:p>
            <w:pPr>
              <w:spacing w:after="0"/>
              <w:rPr>
                <w:sz w:val="1"/>
                <w:szCs w:val="1"/>
                <w:color w:val="auto"/>
              </w:rPr>
            </w:pPr>
          </w:p>
        </w:tc>
      </w:tr>
      <w:tr>
        <w:trPr>
          <w:trHeight w:val="124"/>
        </w:trPr>
        <w:tc>
          <w:tcPr>
            <w:tcW w:w="3700" w:type="dxa"/>
            <w:vAlign w:val="bottom"/>
            <w:tcBorders>
              <w:top w:val="single" w:sz="8" w:color="CCEEFF"/>
            </w:tcBorders>
            <w:shd w:val="clear" w:color="auto" w:fill="CCEEFF"/>
          </w:tcPr>
          <w:p>
            <w:pPr>
              <w:ind w:left="20"/>
              <w:spacing w:after="0" w:line="124" w:lineRule="exact"/>
              <w:rPr>
                <w:sz w:val="20"/>
                <w:szCs w:val="20"/>
                <w:color w:val="auto"/>
              </w:rPr>
            </w:pPr>
            <w:r>
              <w:rPr>
                <w:rFonts w:ascii="Arial" w:cs="Arial" w:eastAsia="Arial" w:hAnsi="Arial"/>
                <w:sz w:val="11"/>
                <w:szCs w:val="11"/>
                <w:b w:val="1"/>
                <w:bCs w:val="1"/>
                <w:color w:val="auto"/>
              </w:rPr>
              <w:t>U.S. GAAP Basis (FS line item)</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1,013.6</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574.6</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(82.8)</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134.0</w:t>
            </w: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384.4</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1.66</w:t>
            </w:r>
          </w:p>
        </w:tc>
        <w:tc>
          <w:tcPr>
            <w:tcW w:w="0" w:type="dxa"/>
            <w:vAlign w:val="bottom"/>
          </w:tcPr>
          <w:p>
            <w:pPr>
              <w:spacing w:after="0"/>
              <w:rPr>
                <w:sz w:val="1"/>
                <w:szCs w:val="1"/>
                <w:color w:val="auto"/>
              </w:rPr>
            </w:pPr>
          </w:p>
        </w:tc>
      </w:tr>
      <w:tr>
        <w:trPr>
          <w:trHeight w:val="122"/>
        </w:trPr>
        <w:tc>
          <w:tcPr>
            <w:tcW w:w="3700" w:type="dxa"/>
            <w:vAlign w:val="bottom"/>
          </w:tcPr>
          <w:p>
            <w:pPr>
              <w:ind w:left="20"/>
              <w:spacing w:after="0" w:line="120" w:lineRule="exact"/>
              <w:rPr>
                <w:sz w:val="20"/>
                <w:szCs w:val="20"/>
                <w:color w:val="auto"/>
              </w:rPr>
            </w:pPr>
            <w:r>
              <w:rPr>
                <w:rFonts w:ascii="Arial" w:cs="Arial" w:eastAsia="Arial" w:hAnsi="Arial"/>
                <w:sz w:val="11"/>
                <w:szCs w:val="11"/>
                <w:color w:val="auto"/>
              </w:rPr>
              <w:t>Non-GAAP adjustments:</w:t>
            </w: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7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Acquisition-related non-GAAP adjustments:</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3700" w:type="dxa"/>
            <w:vAlign w:val="bottom"/>
          </w:tcPr>
          <w:p>
            <w:pPr>
              <w:ind w:left="100"/>
              <w:spacing w:after="0" w:line="110" w:lineRule="exact"/>
              <w:rPr>
                <w:sz w:val="20"/>
                <w:szCs w:val="20"/>
                <w:color w:val="auto"/>
              </w:rPr>
            </w:pPr>
            <w:r>
              <w:rPr>
                <w:rFonts w:ascii="Arial" w:cs="Arial" w:eastAsia="Arial" w:hAnsi="Arial"/>
                <w:sz w:val="9"/>
                <w:szCs w:val="9"/>
                <w:color w:val="auto"/>
              </w:rPr>
              <w:t>Investment and NCI amortization and impairments</w:t>
            </w:r>
            <w:r>
              <w:rPr>
                <w:rFonts w:ascii="Arial" w:cs="Arial" w:eastAsia="Arial" w:hAnsi="Arial"/>
                <w:sz w:val="12"/>
                <w:szCs w:val="12"/>
                <w:color w:val="auto"/>
                <w:vertAlign w:val="superscript"/>
              </w:rPr>
              <w:t>(1)</w:t>
            </w:r>
            <w:r>
              <w:rPr>
                <w:rFonts w:ascii="Arial" w:cs="Arial" w:eastAsia="Arial" w:hAnsi="Arial"/>
                <w:sz w:val="9"/>
                <w:szCs w:val="9"/>
                <w:color w:val="auto"/>
              </w:rPr>
              <w:t xml:space="preserve"> (Capital allocation-</w:t>
            </w: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3700" w:type="dxa"/>
            <w:vAlign w:val="bottom"/>
          </w:tcPr>
          <w:p>
            <w:pPr>
              <w:ind w:left="100"/>
              <w:spacing w:after="0"/>
              <w:rPr>
                <w:sz w:val="20"/>
                <w:szCs w:val="20"/>
                <w:color w:val="auto"/>
              </w:rPr>
            </w:pPr>
            <w:r>
              <w:rPr>
                <w:rFonts w:ascii="Arial" w:cs="Arial" w:eastAsia="Arial" w:hAnsi="Arial"/>
                <w:sz w:val="11"/>
                <w:szCs w:val="11"/>
                <w:color w:val="auto"/>
              </w:rPr>
              <w:t>based income and Compensation and related costs)</w:t>
            </w:r>
          </w:p>
        </w:tc>
        <w:tc>
          <w:tcPr>
            <w:tcW w:w="1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5.6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7.6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1.4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6.2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0.03</w:t>
            </w:r>
          </w:p>
        </w:tc>
        <w:tc>
          <w:tcPr>
            <w:tcW w:w="0" w:type="dxa"/>
            <w:vAlign w:val="bottom"/>
          </w:tcPr>
          <w:p>
            <w:pPr>
              <w:spacing w:after="0"/>
              <w:rPr>
                <w:sz w:val="1"/>
                <w:szCs w:val="1"/>
                <w:color w:val="auto"/>
              </w:rPr>
            </w:pPr>
          </w:p>
        </w:tc>
      </w:tr>
      <w:tr>
        <w:trPr>
          <w:trHeight w:val="112"/>
        </w:trPr>
        <w:tc>
          <w:tcPr>
            <w:tcW w:w="3700" w:type="dxa"/>
            <w:vAlign w:val="bottom"/>
            <w:shd w:val="clear" w:color="auto" w:fill="CCEEFF"/>
          </w:tcPr>
          <w:p>
            <w:pPr>
              <w:ind w:left="100"/>
              <w:spacing w:after="0" w:line="113" w:lineRule="exact"/>
              <w:rPr>
                <w:sz w:val="20"/>
                <w:szCs w:val="20"/>
                <w:color w:val="auto"/>
              </w:rPr>
            </w:pPr>
            <w:r>
              <w:rPr>
                <w:rFonts w:ascii="Arial" w:cs="Arial" w:eastAsia="Arial" w:hAnsi="Arial"/>
                <w:sz w:val="10"/>
                <w:szCs w:val="10"/>
                <w:color w:val="auto"/>
              </w:rPr>
              <w:t>Acquisition-related retention arrangements</w:t>
            </w:r>
            <w:r>
              <w:rPr>
                <w:rFonts w:ascii="Arial" w:cs="Arial" w:eastAsia="Arial" w:hAnsi="Arial"/>
                <w:sz w:val="13"/>
                <w:szCs w:val="13"/>
                <w:color w:val="auto"/>
                <w:vertAlign w:val="superscript"/>
              </w:rPr>
              <w:t>(1)</w:t>
            </w:r>
            <w:r>
              <w:rPr>
                <w:rFonts w:ascii="Arial" w:cs="Arial" w:eastAsia="Arial" w:hAnsi="Arial"/>
                <w:sz w:val="10"/>
                <w:szCs w:val="10"/>
                <w:color w:val="auto"/>
              </w:rPr>
              <w:t xml:space="preserve"> (Compensation and related</w:t>
            </w:r>
          </w:p>
        </w:tc>
        <w:tc>
          <w:tcPr>
            <w:tcW w:w="1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costs)</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0.06</w:t>
            </w:r>
          </w:p>
        </w:tc>
        <w:tc>
          <w:tcPr>
            <w:tcW w:w="0" w:type="dxa"/>
            <w:vAlign w:val="bottom"/>
          </w:tcPr>
          <w:p>
            <w:pPr>
              <w:spacing w:after="0"/>
              <w:rPr>
                <w:sz w:val="1"/>
                <w:szCs w:val="1"/>
                <w:color w:val="auto"/>
              </w:rPr>
            </w:pPr>
          </w:p>
        </w:tc>
      </w:tr>
      <w:tr>
        <w:trPr>
          <w:trHeight w:val="144"/>
        </w:trPr>
        <w:tc>
          <w:tcPr>
            <w:tcW w:w="3700" w:type="dxa"/>
            <w:vAlign w:val="bottom"/>
          </w:tcPr>
          <w:p>
            <w:pPr>
              <w:ind w:left="100"/>
              <w:spacing w:after="0" w:line="144" w:lineRule="exact"/>
              <w:rPr>
                <w:sz w:val="20"/>
                <w:szCs w:val="20"/>
                <w:color w:val="auto"/>
              </w:rPr>
            </w:pPr>
            <w:r>
              <w:rPr>
                <w:rFonts w:ascii="Arial" w:cs="Arial" w:eastAsia="Arial" w:hAnsi="Arial"/>
                <w:sz w:val="11"/>
                <w:szCs w:val="11"/>
                <w:color w:val="auto"/>
              </w:rPr>
              <w:t>Contingent consideration</w:t>
            </w:r>
            <w:r>
              <w:rPr>
                <w:rFonts w:ascii="Arial" w:cs="Arial" w:eastAsia="Arial" w:hAnsi="Arial"/>
                <w:sz w:val="14"/>
                <w:szCs w:val="14"/>
                <w:color w:val="auto"/>
                <w:vertAlign w:val="superscript"/>
              </w:rPr>
              <w:t>(1)</w:t>
            </w:r>
          </w:p>
        </w:tc>
        <w:tc>
          <w:tcPr>
            <w:tcW w:w="1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29.9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(29.9)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(3.8)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(26.1)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(0.11)</w:t>
            </w:r>
          </w:p>
        </w:tc>
        <w:tc>
          <w:tcPr>
            <w:tcW w:w="0" w:type="dxa"/>
            <w:vAlign w:val="bottom"/>
          </w:tcPr>
          <w:p>
            <w:pPr>
              <w:spacing w:after="0"/>
              <w:rPr>
                <w:sz w:val="1"/>
                <w:szCs w:val="1"/>
                <w:color w:val="auto"/>
              </w:rPr>
            </w:pPr>
          </w:p>
        </w:tc>
      </w:tr>
      <w:tr>
        <w:trPr>
          <w:trHeight w:val="144"/>
        </w:trPr>
        <w:tc>
          <w:tcPr>
            <w:tcW w:w="3700" w:type="dxa"/>
            <w:vAlign w:val="bottom"/>
            <w:shd w:val="clear" w:color="auto" w:fill="CCEEFF"/>
          </w:tcPr>
          <w:p>
            <w:pPr>
              <w:ind w:left="100"/>
              <w:spacing w:after="0" w:line="144" w:lineRule="exact"/>
              <w:rPr>
                <w:sz w:val="20"/>
                <w:szCs w:val="20"/>
                <w:color w:val="auto"/>
              </w:rPr>
            </w:pPr>
            <w:r>
              <w:rPr>
                <w:rFonts w:ascii="Arial" w:cs="Arial" w:eastAsia="Arial" w:hAnsi="Arial"/>
                <w:sz w:val="11"/>
                <w:szCs w:val="11"/>
                <w:color w:val="auto"/>
              </w:rPr>
              <w:t>Intangible assets amortization and impairments</w:t>
            </w:r>
            <w:r>
              <w:rPr>
                <w:rFonts w:ascii="Arial" w:cs="Arial" w:eastAsia="Arial" w:hAnsi="Arial"/>
                <w:sz w:val="14"/>
                <w:szCs w:val="14"/>
                <w:color w:val="auto"/>
                <w:vertAlign w:val="superscript"/>
              </w:rPr>
              <w:t>(1)</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0.09</w:t>
            </w:r>
          </w:p>
        </w:tc>
        <w:tc>
          <w:tcPr>
            <w:tcW w:w="0" w:type="dxa"/>
            <w:vAlign w:val="bottom"/>
          </w:tcPr>
          <w:p>
            <w:pPr>
              <w:spacing w:after="0"/>
              <w:rPr>
                <w:sz w:val="1"/>
                <w:szCs w:val="1"/>
                <w:color w:val="auto"/>
              </w:rPr>
            </w:pPr>
          </w:p>
        </w:tc>
      </w:tr>
      <w:tr>
        <w:trPr>
          <w:trHeight w:val="144"/>
        </w:trPr>
        <w:tc>
          <w:tcPr>
            <w:tcW w:w="3700" w:type="dxa"/>
            <w:vAlign w:val="bottom"/>
            <w:tcBorders>
              <w:bottom w:val="single" w:sz="8" w:color="CCEEFF"/>
            </w:tcBorders>
          </w:tcPr>
          <w:p>
            <w:pPr>
              <w:ind w:left="100"/>
              <w:spacing w:after="0" w:line="144" w:lineRule="exact"/>
              <w:rPr>
                <w:sz w:val="20"/>
                <w:szCs w:val="20"/>
                <w:color w:val="auto"/>
              </w:rPr>
            </w:pPr>
            <w:r>
              <w:rPr>
                <w:rFonts w:ascii="Arial" w:cs="Arial" w:eastAsia="Arial" w:hAnsi="Arial"/>
                <w:sz w:val="11"/>
                <w:szCs w:val="11"/>
                <w:color w:val="auto"/>
              </w:rPr>
              <w:t>Transaction costs</w:t>
            </w:r>
            <w:r>
              <w:rPr>
                <w:rFonts w:ascii="Arial" w:cs="Arial" w:eastAsia="Arial" w:hAnsi="Arial"/>
                <w:sz w:val="14"/>
                <w:szCs w:val="14"/>
                <w:color w:val="auto"/>
                <w:vertAlign w:val="superscript"/>
              </w:rPr>
              <w:t>(2)</w:t>
            </w:r>
            <w:r>
              <w:rPr>
                <w:rFonts w:ascii="Arial" w:cs="Arial" w:eastAsia="Arial" w:hAnsi="Arial"/>
                <w:sz w:val="11"/>
                <w:szCs w:val="11"/>
                <w:color w:val="auto"/>
              </w:rPr>
              <w:t xml:space="preserve"> (General, admin and other)</w:t>
            </w: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(0.1)</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0.1</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0.1</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4"/>
        </w:trPr>
        <w:tc>
          <w:tcPr>
            <w:tcW w:w="3700" w:type="dxa"/>
            <w:vAlign w:val="bottom"/>
            <w:shd w:val="clear" w:color="auto" w:fill="CCEEFF"/>
          </w:tcPr>
          <w:p>
            <w:pPr>
              <w:ind w:left="20"/>
              <w:spacing w:after="0" w:line="120" w:lineRule="exact"/>
              <w:rPr>
                <w:sz w:val="20"/>
                <w:szCs w:val="20"/>
                <w:color w:val="auto"/>
              </w:rPr>
            </w:pPr>
            <w:r>
              <w:rPr>
                <w:rFonts w:ascii="Arial" w:cs="Arial" w:eastAsia="Arial" w:hAnsi="Arial"/>
                <w:sz w:val="11"/>
                <w:szCs w:val="11"/>
                <w:color w:val="auto"/>
              </w:rPr>
              <w:t>Total acquisition-related non-GAAP adjustments</w:t>
            </w:r>
          </w:p>
        </w:tc>
        <w:tc>
          <w:tcPr>
            <w:tcW w:w="10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(8.8)</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22.0</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5.7</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16.3</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0.07</w:t>
            </w:r>
          </w:p>
        </w:tc>
        <w:tc>
          <w:tcPr>
            <w:tcW w:w="0" w:type="dxa"/>
            <w:vAlign w:val="bottom"/>
          </w:tcPr>
          <w:p>
            <w:pPr>
              <w:spacing w:after="0"/>
              <w:rPr>
                <w:sz w:val="1"/>
                <w:szCs w:val="1"/>
                <w:color w:val="auto"/>
              </w:rPr>
            </w:pPr>
          </w:p>
        </w:tc>
      </w:tr>
      <w:tr>
        <w:trPr>
          <w:trHeight w:val="124"/>
        </w:trPr>
        <w:tc>
          <w:tcPr>
            <w:tcW w:w="3700" w:type="dxa"/>
            <w:vAlign w:val="bottom"/>
          </w:tcPr>
          <w:p>
            <w:pPr>
              <w:ind w:left="20"/>
              <w:spacing w:after="0" w:line="124" w:lineRule="exact"/>
              <w:rPr>
                <w:sz w:val="20"/>
                <w:szCs w:val="20"/>
                <w:color w:val="auto"/>
              </w:rPr>
            </w:pPr>
            <w:r>
              <w:rPr>
                <w:rFonts w:ascii="Arial" w:cs="Arial" w:eastAsia="Arial" w:hAnsi="Arial"/>
                <w:sz w:val="11"/>
                <w:szCs w:val="11"/>
                <w:color w:val="auto"/>
              </w:rPr>
              <w:t>Supplemental savings plan liability</w:t>
            </w:r>
            <w:r>
              <w:rPr>
                <w:rFonts w:ascii="Arial" w:cs="Arial" w:eastAsia="Arial" w:hAnsi="Arial"/>
                <w:sz w:val="14"/>
                <w:szCs w:val="14"/>
                <w:color w:val="auto"/>
                <w:vertAlign w:val="superscript"/>
              </w:rPr>
              <w:t>(3)</w:t>
            </w:r>
            <w:r>
              <w:rPr>
                <w:rFonts w:ascii="Arial" w:cs="Arial" w:eastAsia="Arial" w:hAnsi="Arial"/>
                <w:sz w:val="11"/>
                <w:szCs w:val="11"/>
                <w:color w:val="auto"/>
              </w:rPr>
              <w:t xml:space="preserve"> (Compensation and related costs)</w:t>
            </w:r>
          </w:p>
        </w:tc>
        <w:tc>
          <w:tcPr>
            <w:tcW w:w="1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24.7</w:t>
            </w: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(24.7)</w:t>
            </w: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26.3</w:t>
            </w: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0.1</w:t>
            </w: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1.5</w:t>
            </w: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0.01</w:t>
            </w:r>
          </w:p>
        </w:tc>
        <w:tc>
          <w:tcPr>
            <w:tcW w:w="0" w:type="dxa"/>
            <w:vAlign w:val="bottom"/>
          </w:tcPr>
          <w:p>
            <w:pPr>
              <w:spacing w:after="0"/>
              <w:rPr>
                <w:sz w:val="1"/>
                <w:szCs w:val="1"/>
                <w:color w:val="auto"/>
              </w:rPr>
            </w:pPr>
          </w:p>
        </w:tc>
      </w:tr>
      <w:tr>
        <w:trPr>
          <w:trHeight w:val="144"/>
        </w:trPr>
        <w:tc>
          <w:tcPr>
            <w:tcW w:w="3700" w:type="dxa"/>
            <w:vAlign w:val="bottom"/>
            <w:shd w:val="clear" w:color="auto" w:fill="CCEEFF"/>
          </w:tcPr>
          <w:p>
            <w:pPr>
              <w:ind w:left="20"/>
              <w:spacing w:after="0" w:line="144" w:lineRule="exact"/>
              <w:rPr>
                <w:sz w:val="20"/>
                <w:szCs w:val="20"/>
                <w:color w:val="auto"/>
              </w:rPr>
            </w:pPr>
            <w:r>
              <w:rPr>
                <w:rFonts w:ascii="Arial" w:cs="Arial" w:eastAsia="Arial" w:hAnsi="Arial"/>
                <w:sz w:val="11"/>
                <w:szCs w:val="11"/>
                <w:color w:val="auto"/>
              </w:rPr>
              <w:t>Consolidated T. Rowe Price investment products</w:t>
            </w:r>
            <w:r>
              <w:rPr>
                <w:rFonts w:ascii="Arial" w:cs="Arial" w:eastAsia="Arial" w:hAnsi="Arial"/>
                <w:sz w:val="14"/>
                <w:szCs w:val="14"/>
                <w:color w:val="auto"/>
                <w:vertAlign w:val="superscript"/>
              </w:rPr>
              <w:t>(4)</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0.07</w:t>
            </w:r>
          </w:p>
        </w:tc>
        <w:tc>
          <w:tcPr>
            <w:tcW w:w="0" w:type="dxa"/>
            <w:vAlign w:val="bottom"/>
          </w:tcPr>
          <w:p>
            <w:pPr>
              <w:spacing w:after="0"/>
              <w:rPr>
                <w:sz w:val="1"/>
                <w:szCs w:val="1"/>
                <w:color w:val="auto"/>
              </w:rPr>
            </w:pPr>
          </w:p>
        </w:tc>
      </w:tr>
      <w:tr>
        <w:trPr>
          <w:trHeight w:val="144"/>
        </w:trPr>
        <w:tc>
          <w:tcPr>
            <w:tcW w:w="3700" w:type="dxa"/>
            <w:vAlign w:val="bottom"/>
          </w:tcPr>
          <w:p>
            <w:pPr>
              <w:ind w:left="20"/>
              <w:spacing w:after="0" w:line="144" w:lineRule="exact"/>
              <w:rPr>
                <w:sz w:val="20"/>
                <w:szCs w:val="20"/>
                <w:color w:val="auto"/>
              </w:rPr>
            </w:pPr>
            <w:r>
              <w:rPr>
                <w:rFonts w:ascii="Arial" w:cs="Arial" w:eastAsia="Arial" w:hAnsi="Arial"/>
                <w:sz w:val="11"/>
                <w:szCs w:val="11"/>
                <w:color w:val="auto"/>
              </w:rPr>
              <w:t>Other non-operating income</w:t>
            </w:r>
            <w:r>
              <w:rPr>
                <w:rFonts w:ascii="Arial" w:cs="Arial" w:eastAsia="Arial" w:hAnsi="Arial"/>
                <w:sz w:val="14"/>
                <w:szCs w:val="14"/>
                <w:color w:val="auto"/>
                <w:vertAlign w:val="superscript"/>
              </w:rPr>
              <w:t>(5)</w:t>
            </w:r>
          </w:p>
        </w:tc>
        <w:tc>
          <w:tcPr>
            <w:tcW w:w="100" w:type="dxa"/>
            <w:vAlign w:val="bottom"/>
          </w:tcPr>
          <w:p>
            <w:pPr>
              <w:spacing w:after="0"/>
              <w:rPr>
                <w:sz w:val="12"/>
                <w:szCs w:val="12"/>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11.1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(0.1)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11.2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0.05</w:t>
            </w:r>
          </w:p>
        </w:tc>
        <w:tc>
          <w:tcPr>
            <w:tcW w:w="0" w:type="dxa"/>
            <w:vAlign w:val="bottom"/>
          </w:tcPr>
          <w:p>
            <w:pPr>
              <w:spacing w:after="0"/>
              <w:rPr>
                <w:sz w:val="1"/>
                <w:szCs w:val="1"/>
                <w:color w:val="auto"/>
              </w:rPr>
            </w:pPr>
          </w:p>
        </w:tc>
      </w:tr>
      <w:tr>
        <w:trPr>
          <w:trHeight w:val="140"/>
        </w:trPr>
        <w:tc>
          <w:tcPr>
            <w:tcW w:w="3700" w:type="dxa"/>
            <w:vAlign w:val="bottom"/>
            <w:tcBorders>
              <w:top w:val="single" w:sz="8" w:color="CCEEFF"/>
              <w:bottom w:val="single" w:sz="8" w:color="CCEEFF"/>
            </w:tcBorders>
            <w:shd w:val="clear" w:color="auto" w:fill="CCEEFF"/>
          </w:tcPr>
          <w:p>
            <w:pPr>
              <w:ind w:left="20"/>
              <w:spacing w:after="0" w:line="124" w:lineRule="exact"/>
              <w:rPr>
                <w:sz w:val="20"/>
                <w:szCs w:val="20"/>
                <w:color w:val="auto"/>
              </w:rPr>
            </w:pPr>
            <w:r>
              <w:rPr>
                <w:rFonts w:ascii="Arial" w:cs="Arial" w:eastAsia="Arial" w:hAnsi="Arial"/>
                <w:sz w:val="11"/>
                <w:szCs w:val="11"/>
                <w:b w:val="1"/>
                <w:bCs w:val="1"/>
                <w:color w:val="auto"/>
              </w:rPr>
              <w:t>Adjusted Non-GAAP Basis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1,028.2</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573.7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139.4</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430.6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1.86</w:t>
            </w:r>
          </w:p>
        </w:tc>
        <w:tc>
          <w:tcPr>
            <w:tcW w:w="0" w:type="dxa"/>
            <w:vAlign w:val="bottom"/>
          </w:tcPr>
          <w:p>
            <w:pPr>
              <w:spacing w:after="0"/>
              <w:rPr>
                <w:sz w:val="1"/>
                <w:szCs w:val="1"/>
                <w:color w:val="auto"/>
              </w:rPr>
            </w:pPr>
          </w:p>
        </w:tc>
      </w:tr>
    </w:tbl>
    <w:p>
      <w:pPr>
        <w:spacing w:after="0" w:line="2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280"/>
          </w:cols>
          <w:pgMar w:left="300" w:top="761" w:right="3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35"/>
        </w:trPr>
        <w:tc>
          <w:tcPr>
            <w:tcW w:w="37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2480" w:type="dxa"/>
            <w:vAlign w:val="bottom"/>
            <w:tcBorders>
              <w:bottom w:val="single" w:sz="8" w:color="auto"/>
            </w:tcBorders>
            <w:gridSpan w:val="5"/>
            <w:shd w:val="clear" w:color="auto" w:fill="CCEEFF"/>
          </w:tcPr>
          <w:p>
            <w:pPr>
              <w:ind w:left="460"/>
              <w:spacing w:after="0"/>
              <w:rPr>
                <w:sz w:val="20"/>
                <w:szCs w:val="20"/>
                <w:color w:val="auto"/>
              </w:rPr>
            </w:pPr>
            <w:r>
              <w:rPr>
                <w:rFonts w:ascii="Arial" w:cs="Arial" w:eastAsia="Arial" w:hAnsi="Arial"/>
                <w:sz w:val="10"/>
                <w:szCs w:val="10"/>
                <w:b w:val="1"/>
                <w:bCs w:val="1"/>
                <w:color w:val="auto"/>
              </w:rPr>
              <w:t>Three months ended 6/30/2023</w:t>
            </w:r>
          </w:p>
        </w:tc>
        <w:tc>
          <w:tcPr>
            <w:tcW w:w="14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3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Operating expenses</w:t>
            </w:r>
          </w:p>
        </w:tc>
        <w:tc>
          <w:tcPr>
            <w:tcW w:w="80" w:type="dxa"/>
            <w:vAlign w:val="bottom"/>
          </w:tcPr>
          <w:p>
            <w:pPr>
              <w:spacing w:after="0"/>
              <w:rPr>
                <w:sz w:val="8"/>
                <w:szCs w:val="8"/>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Net operating income</w:t>
            </w:r>
          </w:p>
        </w:tc>
        <w:tc>
          <w:tcPr>
            <w:tcW w:w="80" w:type="dxa"/>
            <w:vAlign w:val="bottom"/>
          </w:tcPr>
          <w:p>
            <w:pPr>
              <w:spacing w:after="0"/>
              <w:rPr>
                <w:sz w:val="8"/>
                <w:szCs w:val="8"/>
                <w:color w:val="auto"/>
              </w:rPr>
            </w:pPr>
          </w:p>
        </w:tc>
        <w:tc>
          <w:tcPr>
            <w:tcW w:w="1200" w:type="dxa"/>
            <w:vAlign w:val="bottom"/>
            <w:gridSpan w:val="2"/>
          </w:tcPr>
          <w:p>
            <w:pPr>
              <w:jc w:val="center"/>
              <w:ind w:right="180"/>
              <w:spacing w:after="0" w:line="97" w:lineRule="exact"/>
              <w:rPr>
                <w:sz w:val="20"/>
                <w:szCs w:val="20"/>
                <w:color w:val="auto"/>
              </w:rPr>
            </w:pPr>
            <w:r>
              <w:rPr>
                <w:rFonts w:ascii="Arial" w:cs="Arial" w:eastAsia="Arial" w:hAnsi="Arial"/>
                <w:sz w:val="10"/>
                <w:szCs w:val="10"/>
                <w:b w:val="1"/>
                <w:bCs w:val="1"/>
                <w:color w:val="auto"/>
                <w:w w:val="96"/>
              </w:rPr>
              <w:t>Non-operating income</w:t>
            </w:r>
          </w:p>
        </w:tc>
        <w:tc>
          <w:tcPr>
            <w:tcW w:w="80" w:type="dxa"/>
            <w:vAlign w:val="bottom"/>
          </w:tcPr>
          <w:p>
            <w:pPr>
              <w:spacing w:after="0"/>
              <w:rPr>
                <w:sz w:val="8"/>
                <w:szCs w:val="8"/>
                <w:color w:val="auto"/>
              </w:rPr>
            </w:pPr>
          </w:p>
        </w:tc>
        <w:tc>
          <w:tcPr>
            <w:tcW w:w="1200" w:type="dxa"/>
            <w:vAlign w:val="bottom"/>
            <w:gridSpan w:val="2"/>
          </w:tcPr>
          <w:p>
            <w:pPr>
              <w:jc w:val="center"/>
              <w:ind w:right="200"/>
              <w:spacing w:after="0" w:line="97" w:lineRule="exact"/>
              <w:rPr>
                <w:sz w:val="20"/>
                <w:szCs w:val="20"/>
                <w:color w:val="auto"/>
              </w:rPr>
            </w:pPr>
            <w:r>
              <w:rPr>
                <w:rFonts w:ascii="Arial" w:cs="Arial" w:eastAsia="Arial" w:hAnsi="Arial"/>
                <w:sz w:val="10"/>
                <w:szCs w:val="10"/>
                <w:b w:val="1"/>
                <w:bCs w:val="1"/>
                <w:color w:val="auto"/>
                <w:w w:val="96"/>
              </w:rPr>
              <w:t>Provision (benefit) for</w:t>
            </w:r>
          </w:p>
        </w:tc>
        <w:tc>
          <w:tcPr>
            <w:tcW w:w="1260" w:type="dxa"/>
            <w:vAlign w:val="bottom"/>
            <w:gridSpan w:val="3"/>
          </w:tcPr>
          <w:p>
            <w:pPr>
              <w:jc w:val="center"/>
              <w:ind w:right="80"/>
              <w:spacing w:after="0" w:line="97" w:lineRule="exact"/>
              <w:rPr>
                <w:sz w:val="20"/>
                <w:szCs w:val="20"/>
                <w:color w:val="auto"/>
              </w:rPr>
            </w:pPr>
            <w:r>
              <w:rPr>
                <w:rFonts w:ascii="Arial" w:cs="Arial" w:eastAsia="Arial" w:hAnsi="Arial"/>
                <w:sz w:val="10"/>
                <w:szCs w:val="10"/>
                <w:b w:val="1"/>
                <w:bCs w:val="1"/>
                <w:color w:val="auto"/>
                <w:w w:val="95"/>
              </w:rPr>
              <w:t>Net income attributable</w:t>
            </w:r>
          </w:p>
        </w:tc>
        <w:tc>
          <w:tcPr>
            <w:tcW w:w="100" w:type="dxa"/>
            <w:vAlign w:val="bottom"/>
          </w:tcPr>
          <w:p>
            <w:pPr>
              <w:spacing w:after="0"/>
              <w:rPr>
                <w:sz w:val="8"/>
                <w:szCs w:val="8"/>
                <w:color w:val="auto"/>
              </w:rPr>
            </w:pPr>
          </w:p>
        </w:tc>
        <w:tc>
          <w:tcPr>
            <w:tcW w:w="1100" w:type="dxa"/>
            <w:vAlign w:val="bottom"/>
          </w:tcPr>
          <w:p>
            <w:pPr>
              <w:jc w:val="right"/>
              <w:ind w:right="92"/>
              <w:spacing w:after="0" w:line="97" w:lineRule="exact"/>
              <w:rPr>
                <w:sz w:val="20"/>
                <w:szCs w:val="20"/>
                <w:color w:val="auto"/>
              </w:rPr>
            </w:pPr>
            <w:r>
              <w:rPr>
                <w:rFonts w:ascii="Arial" w:cs="Arial" w:eastAsia="Arial" w:hAnsi="Arial"/>
                <w:sz w:val="10"/>
                <w:szCs w:val="10"/>
                <w:b w:val="1"/>
                <w:bCs w:val="1"/>
                <w:color w:val="auto"/>
                <w:w w:val="97"/>
              </w:rPr>
              <w:t>Diluted earnings per</w:t>
            </w:r>
          </w:p>
        </w:tc>
        <w:tc>
          <w:tcPr>
            <w:tcW w:w="0" w:type="dxa"/>
            <w:vAlign w:val="bottom"/>
          </w:tcPr>
          <w:p>
            <w:pPr>
              <w:spacing w:after="0"/>
              <w:rPr>
                <w:sz w:val="1"/>
                <w:szCs w:val="1"/>
                <w:color w:val="auto"/>
              </w:rPr>
            </w:pPr>
          </w:p>
        </w:tc>
      </w:tr>
      <w:tr>
        <w:trPr>
          <w:trHeight w:val="126"/>
        </w:trPr>
        <w:tc>
          <w:tcPr>
            <w:tcW w:w="3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7"/>
              </w:rPr>
              <w:t>(loss)</w:t>
            </w:r>
          </w:p>
        </w:tc>
        <w:tc>
          <w:tcPr>
            <w:tcW w:w="80" w:type="dxa"/>
            <w:vAlign w:val="bottom"/>
          </w:tcPr>
          <w:p>
            <w:pPr>
              <w:spacing w:after="0"/>
              <w:rPr>
                <w:sz w:val="10"/>
                <w:szCs w:val="10"/>
                <w:color w:val="auto"/>
              </w:rPr>
            </w:pPr>
          </w:p>
        </w:tc>
        <w:tc>
          <w:tcPr>
            <w:tcW w:w="1200" w:type="dxa"/>
            <w:vAlign w:val="bottom"/>
            <w:gridSpan w:val="2"/>
          </w:tcPr>
          <w:p>
            <w:pPr>
              <w:jc w:val="center"/>
              <w:ind w:right="180"/>
              <w:spacing w:after="0" w:line="126" w:lineRule="exact"/>
              <w:rPr>
                <w:sz w:val="20"/>
                <w:szCs w:val="20"/>
                <w:color w:val="auto"/>
              </w:rPr>
            </w:pPr>
            <w:r>
              <w:rPr>
                <w:rFonts w:ascii="Arial" w:cs="Arial" w:eastAsia="Arial" w:hAnsi="Arial"/>
                <w:sz w:val="10"/>
                <w:szCs w:val="10"/>
                <w:b w:val="1"/>
                <w:bCs w:val="1"/>
                <w:color w:val="auto"/>
                <w:w w:val="95"/>
              </w:rPr>
              <w:t>income taxes</w:t>
            </w:r>
            <w:r>
              <w:rPr>
                <w:rFonts w:ascii="Arial" w:cs="Arial" w:eastAsia="Arial" w:hAnsi="Arial"/>
                <w:sz w:val="12"/>
                <w:szCs w:val="12"/>
                <w:b w:val="1"/>
                <w:bCs w:val="1"/>
                <w:color w:val="auto"/>
                <w:w w:val="95"/>
                <w:vertAlign w:val="superscript"/>
              </w:rPr>
              <w:t>(6)</w:t>
            </w:r>
          </w:p>
        </w:tc>
        <w:tc>
          <w:tcPr>
            <w:tcW w:w="140" w:type="dxa"/>
            <w:vAlign w:val="bottom"/>
          </w:tcPr>
          <w:p>
            <w:pPr>
              <w:spacing w:after="0"/>
              <w:rPr>
                <w:sz w:val="10"/>
                <w:szCs w:val="1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to T. Rowe Price</w:t>
            </w:r>
          </w:p>
        </w:tc>
        <w:tc>
          <w:tcPr>
            <w:tcW w:w="100" w:type="dxa"/>
            <w:vAlign w:val="bottom"/>
          </w:tcPr>
          <w:p>
            <w:pPr>
              <w:spacing w:after="0"/>
              <w:rPr>
                <w:sz w:val="10"/>
                <w:szCs w:val="10"/>
                <w:color w:val="auto"/>
              </w:rPr>
            </w:pPr>
          </w:p>
        </w:tc>
        <w:tc>
          <w:tcPr>
            <w:tcW w:w="1100" w:type="dxa"/>
            <w:vAlign w:val="bottom"/>
          </w:tcPr>
          <w:p>
            <w:pPr>
              <w:jc w:val="right"/>
              <w:ind w:right="372"/>
              <w:spacing w:after="0" w:line="126" w:lineRule="exact"/>
              <w:rPr>
                <w:sz w:val="20"/>
                <w:szCs w:val="20"/>
                <w:color w:val="auto"/>
              </w:rPr>
            </w:pPr>
            <w:r>
              <w:rPr>
                <w:rFonts w:ascii="Arial" w:cs="Arial" w:eastAsia="Arial" w:hAnsi="Arial"/>
                <w:sz w:val="10"/>
                <w:szCs w:val="10"/>
                <w:b w:val="1"/>
                <w:bCs w:val="1"/>
                <w:color w:val="auto"/>
              </w:rPr>
              <w:t>share</w:t>
            </w:r>
            <w:r>
              <w:rPr>
                <w:rFonts w:ascii="Arial" w:cs="Arial" w:eastAsia="Arial" w:hAnsi="Arial"/>
                <w:sz w:val="12"/>
                <w:szCs w:val="12"/>
                <w:b w:val="1"/>
                <w:bCs w:val="1"/>
                <w:color w:val="auto"/>
                <w:vertAlign w:val="superscript"/>
              </w:rPr>
              <w:t>(7)</w:t>
            </w:r>
          </w:p>
        </w:tc>
        <w:tc>
          <w:tcPr>
            <w:tcW w:w="0" w:type="dxa"/>
            <w:vAlign w:val="bottom"/>
          </w:tcPr>
          <w:p>
            <w:pPr>
              <w:spacing w:after="0"/>
              <w:rPr>
                <w:sz w:val="1"/>
                <w:szCs w:val="1"/>
                <w:color w:val="auto"/>
              </w:rPr>
            </w:pPr>
          </w:p>
        </w:tc>
      </w:tr>
      <w:tr>
        <w:trPr>
          <w:trHeight w:val="124"/>
        </w:trPr>
        <w:tc>
          <w:tcPr>
            <w:tcW w:w="3700" w:type="dxa"/>
            <w:vAlign w:val="bottom"/>
            <w:tcBorders>
              <w:top w:val="single" w:sz="8" w:color="CCEEFF"/>
            </w:tcBorders>
            <w:shd w:val="clear" w:color="auto" w:fill="CCEEFF"/>
          </w:tcPr>
          <w:p>
            <w:pPr>
              <w:ind w:left="20"/>
              <w:spacing w:after="0" w:line="124" w:lineRule="exact"/>
              <w:rPr>
                <w:sz w:val="20"/>
                <w:szCs w:val="20"/>
                <w:color w:val="auto"/>
              </w:rPr>
            </w:pPr>
            <w:r>
              <w:rPr>
                <w:rFonts w:ascii="Arial" w:cs="Arial" w:eastAsia="Arial" w:hAnsi="Arial"/>
                <w:sz w:val="11"/>
                <w:szCs w:val="11"/>
                <w:b w:val="1"/>
                <w:bCs w:val="1"/>
                <w:color w:val="auto"/>
              </w:rPr>
              <w:t>U.S. GAAP Basis (FS line item)</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1,076.7</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533.5</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106.2</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158.5</w:t>
            </w: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476.4</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2.06</w:t>
            </w:r>
          </w:p>
        </w:tc>
        <w:tc>
          <w:tcPr>
            <w:tcW w:w="0" w:type="dxa"/>
            <w:vAlign w:val="bottom"/>
          </w:tcPr>
          <w:p>
            <w:pPr>
              <w:spacing w:after="0"/>
              <w:rPr>
                <w:sz w:val="1"/>
                <w:szCs w:val="1"/>
                <w:color w:val="auto"/>
              </w:rPr>
            </w:pPr>
          </w:p>
        </w:tc>
      </w:tr>
      <w:tr>
        <w:trPr>
          <w:trHeight w:val="122"/>
        </w:trPr>
        <w:tc>
          <w:tcPr>
            <w:tcW w:w="3700" w:type="dxa"/>
            <w:vAlign w:val="bottom"/>
          </w:tcPr>
          <w:p>
            <w:pPr>
              <w:ind w:left="20"/>
              <w:spacing w:after="0" w:line="120" w:lineRule="exact"/>
              <w:rPr>
                <w:sz w:val="20"/>
                <w:szCs w:val="20"/>
                <w:color w:val="auto"/>
              </w:rPr>
            </w:pPr>
            <w:r>
              <w:rPr>
                <w:rFonts w:ascii="Arial" w:cs="Arial" w:eastAsia="Arial" w:hAnsi="Arial"/>
                <w:sz w:val="11"/>
                <w:szCs w:val="11"/>
                <w:color w:val="auto"/>
              </w:rPr>
              <w:t>Non-GAAP adjustments:</w:t>
            </w: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7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Acquisition-related non-GAAP adjustments:</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3700" w:type="dxa"/>
            <w:vAlign w:val="bottom"/>
          </w:tcPr>
          <w:p>
            <w:pPr>
              <w:ind w:left="100"/>
              <w:spacing w:after="0" w:line="110" w:lineRule="exact"/>
              <w:rPr>
                <w:sz w:val="20"/>
                <w:szCs w:val="20"/>
                <w:color w:val="auto"/>
              </w:rPr>
            </w:pPr>
            <w:r>
              <w:rPr>
                <w:rFonts w:ascii="Arial" w:cs="Arial" w:eastAsia="Arial" w:hAnsi="Arial"/>
                <w:sz w:val="9"/>
                <w:szCs w:val="9"/>
                <w:color w:val="auto"/>
              </w:rPr>
              <w:t>Investment and NCI amortization and impairments</w:t>
            </w:r>
            <w:r>
              <w:rPr>
                <w:rFonts w:ascii="Arial" w:cs="Arial" w:eastAsia="Arial" w:hAnsi="Arial"/>
                <w:sz w:val="12"/>
                <w:szCs w:val="12"/>
                <w:color w:val="auto"/>
                <w:vertAlign w:val="superscript"/>
              </w:rPr>
              <w:t>(1)</w:t>
            </w:r>
            <w:r>
              <w:rPr>
                <w:rFonts w:ascii="Arial" w:cs="Arial" w:eastAsia="Arial" w:hAnsi="Arial"/>
                <w:sz w:val="9"/>
                <w:szCs w:val="9"/>
                <w:color w:val="auto"/>
              </w:rPr>
              <w:t xml:space="preserve"> (Capital allocation-</w:t>
            </w: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3700" w:type="dxa"/>
            <w:vAlign w:val="bottom"/>
          </w:tcPr>
          <w:p>
            <w:pPr>
              <w:ind w:left="100"/>
              <w:spacing w:after="0"/>
              <w:rPr>
                <w:sz w:val="20"/>
                <w:szCs w:val="20"/>
                <w:color w:val="auto"/>
              </w:rPr>
            </w:pPr>
            <w:r>
              <w:rPr>
                <w:rFonts w:ascii="Arial" w:cs="Arial" w:eastAsia="Arial" w:hAnsi="Arial"/>
                <w:sz w:val="11"/>
                <w:szCs w:val="11"/>
                <w:color w:val="auto"/>
              </w:rPr>
              <w:t>based income and Compensation and related costs)</w:t>
            </w:r>
          </w:p>
        </w:tc>
        <w:tc>
          <w:tcPr>
            <w:tcW w:w="1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5.1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7.2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0.1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7.1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0.03</w:t>
            </w:r>
          </w:p>
        </w:tc>
        <w:tc>
          <w:tcPr>
            <w:tcW w:w="0" w:type="dxa"/>
            <w:vAlign w:val="bottom"/>
          </w:tcPr>
          <w:p>
            <w:pPr>
              <w:spacing w:after="0"/>
              <w:rPr>
                <w:sz w:val="1"/>
                <w:szCs w:val="1"/>
                <w:color w:val="auto"/>
              </w:rPr>
            </w:pPr>
          </w:p>
        </w:tc>
      </w:tr>
      <w:tr>
        <w:trPr>
          <w:trHeight w:val="112"/>
        </w:trPr>
        <w:tc>
          <w:tcPr>
            <w:tcW w:w="3700" w:type="dxa"/>
            <w:vAlign w:val="bottom"/>
            <w:shd w:val="clear" w:color="auto" w:fill="CCEEFF"/>
          </w:tcPr>
          <w:p>
            <w:pPr>
              <w:ind w:left="100"/>
              <w:spacing w:after="0" w:line="113" w:lineRule="exact"/>
              <w:rPr>
                <w:sz w:val="20"/>
                <w:szCs w:val="20"/>
                <w:color w:val="auto"/>
              </w:rPr>
            </w:pPr>
            <w:r>
              <w:rPr>
                <w:rFonts w:ascii="Arial" w:cs="Arial" w:eastAsia="Arial" w:hAnsi="Arial"/>
                <w:sz w:val="10"/>
                <w:szCs w:val="10"/>
                <w:color w:val="auto"/>
              </w:rPr>
              <w:t>Acquisition-related retention arrangements</w:t>
            </w:r>
            <w:r>
              <w:rPr>
                <w:rFonts w:ascii="Arial" w:cs="Arial" w:eastAsia="Arial" w:hAnsi="Arial"/>
                <w:sz w:val="13"/>
                <w:szCs w:val="13"/>
                <w:color w:val="auto"/>
                <w:vertAlign w:val="superscript"/>
              </w:rPr>
              <w:t>(1)</w:t>
            </w:r>
            <w:r>
              <w:rPr>
                <w:rFonts w:ascii="Arial" w:cs="Arial" w:eastAsia="Arial" w:hAnsi="Arial"/>
                <w:sz w:val="10"/>
                <w:szCs w:val="10"/>
                <w:color w:val="auto"/>
              </w:rPr>
              <w:t xml:space="preserve"> (Compensation and related</w:t>
            </w:r>
          </w:p>
        </w:tc>
        <w:tc>
          <w:tcPr>
            <w:tcW w:w="1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costs)</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0.06</w:t>
            </w:r>
          </w:p>
        </w:tc>
        <w:tc>
          <w:tcPr>
            <w:tcW w:w="0" w:type="dxa"/>
            <w:vAlign w:val="bottom"/>
          </w:tcPr>
          <w:p>
            <w:pPr>
              <w:spacing w:after="0"/>
              <w:rPr>
                <w:sz w:val="1"/>
                <w:szCs w:val="1"/>
                <w:color w:val="auto"/>
              </w:rPr>
            </w:pPr>
          </w:p>
        </w:tc>
      </w:tr>
      <w:tr>
        <w:trPr>
          <w:trHeight w:val="144"/>
        </w:trPr>
        <w:tc>
          <w:tcPr>
            <w:tcW w:w="3700" w:type="dxa"/>
            <w:vAlign w:val="bottom"/>
          </w:tcPr>
          <w:p>
            <w:pPr>
              <w:ind w:left="100"/>
              <w:spacing w:after="0" w:line="144" w:lineRule="exact"/>
              <w:rPr>
                <w:sz w:val="20"/>
                <w:szCs w:val="20"/>
                <w:color w:val="auto"/>
              </w:rPr>
            </w:pPr>
            <w:r>
              <w:rPr>
                <w:rFonts w:ascii="Arial" w:cs="Arial" w:eastAsia="Arial" w:hAnsi="Arial"/>
                <w:sz w:val="11"/>
                <w:szCs w:val="11"/>
                <w:color w:val="auto"/>
              </w:rPr>
              <w:t>Contingent consideration</w:t>
            </w:r>
            <w:r>
              <w:rPr>
                <w:rFonts w:ascii="Arial" w:cs="Arial" w:eastAsia="Arial" w:hAnsi="Arial"/>
                <w:sz w:val="14"/>
                <w:szCs w:val="14"/>
                <w:color w:val="auto"/>
                <w:vertAlign w:val="superscript"/>
              </w:rPr>
              <w:t>(1)</w:t>
            </w:r>
          </w:p>
        </w:tc>
        <w:tc>
          <w:tcPr>
            <w:tcW w:w="1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23.2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(23.2)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2.5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(25.7)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(0.11)</w:t>
            </w:r>
          </w:p>
        </w:tc>
        <w:tc>
          <w:tcPr>
            <w:tcW w:w="0" w:type="dxa"/>
            <w:vAlign w:val="bottom"/>
          </w:tcPr>
          <w:p>
            <w:pPr>
              <w:spacing w:after="0"/>
              <w:rPr>
                <w:sz w:val="1"/>
                <w:szCs w:val="1"/>
                <w:color w:val="auto"/>
              </w:rPr>
            </w:pPr>
          </w:p>
        </w:tc>
      </w:tr>
      <w:tr>
        <w:trPr>
          <w:trHeight w:val="144"/>
        </w:trPr>
        <w:tc>
          <w:tcPr>
            <w:tcW w:w="3700" w:type="dxa"/>
            <w:vAlign w:val="bottom"/>
            <w:shd w:val="clear" w:color="auto" w:fill="CCEEFF"/>
          </w:tcPr>
          <w:p>
            <w:pPr>
              <w:ind w:left="100"/>
              <w:spacing w:after="0" w:line="144" w:lineRule="exact"/>
              <w:rPr>
                <w:sz w:val="20"/>
                <w:szCs w:val="20"/>
                <w:color w:val="auto"/>
              </w:rPr>
            </w:pPr>
            <w:r>
              <w:rPr>
                <w:rFonts w:ascii="Arial" w:cs="Arial" w:eastAsia="Arial" w:hAnsi="Arial"/>
                <w:sz w:val="11"/>
                <w:szCs w:val="11"/>
                <w:color w:val="auto"/>
              </w:rPr>
              <w:t>Intangible assets amortization and impairments</w:t>
            </w:r>
            <w:r>
              <w:rPr>
                <w:rFonts w:ascii="Arial" w:cs="Arial" w:eastAsia="Arial" w:hAnsi="Arial"/>
                <w:sz w:val="14"/>
                <w:szCs w:val="14"/>
                <w:color w:val="auto"/>
                <w:vertAlign w:val="superscript"/>
              </w:rPr>
              <w:t>(1)</w:t>
            </w:r>
          </w:p>
        </w:tc>
        <w:tc>
          <w:tcPr>
            <w:tcW w:w="10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(28.6)</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28.6</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0.4</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28.2</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0.12</w:t>
            </w:r>
          </w:p>
        </w:tc>
        <w:tc>
          <w:tcPr>
            <w:tcW w:w="0" w:type="dxa"/>
            <w:vAlign w:val="bottom"/>
          </w:tcPr>
          <w:p>
            <w:pPr>
              <w:spacing w:after="0"/>
              <w:rPr>
                <w:sz w:val="1"/>
                <w:szCs w:val="1"/>
                <w:color w:val="auto"/>
              </w:rPr>
            </w:pPr>
          </w:p>
        </w:tc>
      </w:tr>
      <w:tr>
        <w:trPr>
          <w:trHeight w:val="122"/>
        </w:trPr>
        <w:tc>
          <w:tcPr>
            <w:tcW w:w="3700" w:type="dxa"/>
            <w:vAlign w:val="bottom"/>
          </w:tcPr>
          <w:p>
            <w:pPr>
              <w:ind w:left="20"/>
              <w:spacing w:after="0" w:line="120" w:lineRule="exact"/>
              <w:rPr>
                <w:sz w:val="20"/>
                <w:szCs w:val="20"/>
                <w:color w:val="auto"/>
              </w:rPr>
            </w:pPr>
            <w:r>
              <w:rPr>
                <w:rFonts w:ascii="Arial" w:cs="Arial" w:eastAsia="Arial" w:hAnsi="Arial"/>
                <w:sz w:val="11"/>
                <w:szCs w:val="11"/>
                <w:color w:val="auto"/>
              </w:rPr>
              <w:t>Total acquisition-related non-GAAP adjustments</w:t>
            </w:r>
          </w:p>
        </w:tc>
        <w:tc>
          <w:tcPr>
            <w:tcW w:w="10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(13.9)</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26.2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2.9</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23.3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0.10</w:t>
            </w:r>
          </w:p>
        </w:tc>
        <w:tc>
          <w:tcPr>
            <w:tcW w:w="0" w:type="dxa"/>
            <w:vAlign w:val="bottom"/>
          </w:tcPr>
          <w:p>
            <w:pPr>
              <w:spacing w:after="0"/>
              <w:rPr>
                <w:sz w:val="1"/>
                <w:szCs w:val="1"/>
                <w:color w:val="auto"/>
              </w:rPr>
            </w:pPr>
          </w:p>
        </w:tc>
      </w:tr>
      <w:tr>
        <w:trPr>
          <w:trHeight w:val="126"/>
        </w:trPr>
        <w:tc>
          <w:tcPr>
            <w:tcW w:w="3700" w:type="dxa"/>
            <w:vAlign w:val="bottom"/>
            <w:tcBorders>
              <w:top w:val="single" w:sz="8" w:color="CCEEFF"/>
            </w:tcBorders>
            <w:shd w:val="clear" w:color="auto" w:fill="CCEEFF"/>
          </w:tcPr>
          <w:p>
            <w:pPr>
              <w:ind w:left="20"/>
              <w:spacing w:after="0" w:line="126" w:lineRule="exact"/>
              <w:rPr>
                <w:sz w:val="20"/>
                <w:szCs w:val="20"/>
                <w:color w:val="auto"/>
              </w:rPr>
            </w:pPr>
            <w:r>
              <w:rPr>
                <w:rFonts w:ascii="Arial" w:cs="Arial" w:eastAsia="Arial" w:hAnsi="Arial"/>
                <w:sz w:val="11"/>
                <w:szCs w:val="11"/>
                <w:color w:val="auto"/>
              </w:rPr>
              <w:t>Supplemental savings plan liability</w:t>
            </w:r>
            <w:r>
              <w:rPr>
                <w:rFonts w:ascii="Arial" w:cs="Arial" w:eastAsia="Arial" w:hAnsi="Arial"/>
                <w:sz w:val="14"/>
                <w:szCs w:val="14"/>
                <w:color w:val="auto"/>
                <w:vertAlign w:val="superscript"/>
              </w:rPr>
              <w:t>(3)</w:t>
            </w:r>
            <w:r>
              <w:rPr>
                <w:rFonts w:ascii="Arial" w:cs="Arial" w:eastAsia="Arial" w:hAnsi="Arial"/>
                <w:sz w:val="11"/>
                <w:szCs w:val="11"/>
                <w:color w:val="auto"/>
              </w:rPr>
              <w:t xml:space="preserve"> (Compensation and related costs)</w:t>
            </w:r>
          </w:p>
        </w:tc>
        <w:tc>
          <w:tcPr>
            <w:tcW w:w="100" w:type="dxa"/>
            <w:vAlign w:val="bottom"/>
            <w:tcBorders>
              <w:top w:val="single" w:sz="8" w:color="auto"/>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(33.0)</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33.0</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(33.6)</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0.2</w:t>
            </w: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(0.8)</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3700" w:type="dxa"/>
            <w:vAlign w:val="bottom"/>
          </w:tcPr>
          <w:p>
            <w:pPr>
              <w:ind w:left="20"/>
              <w:spacing w:after="0" w:line="144" w:lineRule="exact"/>
              <w:rPr>
                <w:sz w:val="20"/>
                <w:szCs w:val="20"/>
                <w:color w:val="auto"/>
              </w:rPr>
            </w:pPr>
            <w:r>
              <w:rPr>
                <w:rFonts w:ascii="Arial" w:cs="Arial" w:eastAsia="Arial" w:hAnsi="Arial"/>
                <w:sz w:val="11"/>
                <w:szCs w:val="11"/>
                <w:color w:val="auto"/>
              </w:rPr>
              <w:t>Consolidated T. Rowe Price investment products</w:t>
            </w:r>
            <w:r>
              <w:rPr>
                <w:rFonts w:ascii="Arial" w:cs="Arial" w:eastAsia="Arial" w:hAnsi="Arial"/>
                <w:sz w:val="14"/>
                <w:szCs w:val="14"/>
                <w:color w:val="auto"/>
                <w:vertAlign w:val="superscript"/>
              </w:rPr>
              <w:t>(4)</w:t>
            </w:r>
          </w:p>
        </w:tc>
        <w:tc>
          <w:tcPr>
            <w:tcW w:w="1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(3.6)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3.9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(24.4)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0.5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(16.2)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(0.07)</w:t>
            </w:r>
          </w:p>
        </w:tc>
        <w:tc>
          <w:tcPr>
            <w:tcW w:w="0" w:type="dxa"/>
            <w:vAlign w:val="bottom"/>
          </w:tcPr>
          <w:p>
            <w:pPr>
              <w:spacing w:after="0"/>
              <w:rPr>
                <w:sz w:val="1"/>
                <w:szCs w:val="1"/>
                <w:color w:val="auto"/>
              </w:rPr>
            </w:pPr>
          </w:p>
        </w:tc>
      </w:tr>
      <w:tr>
        <w:trPr>
          <w:trHeight w:val="144"/>
        </w:trPr>
        <w:tc>
          <w:tcPr>
            <w:tcW w:w="3700" w:type="dxa"/>
            <w:vAlign w:val="bottom"/>
            <w:shd w:val="clear" w:color="auto" w:fill="CCEEFF"/>
          </w:tcPr>
          <w:p>
            <w:pPr>
              <w:ind w:left="20"/>
              <w:spacing w:after="0" w:line="144" w:lineRule="exact"/>
              <w:rPr>
                <w:sz w:val="20"/>
                <w:szCs w:val="20"/>
                <w:color w:val="auto"/>
              </w:rPr>
            </w:pPr>
            <w:r>
              <w:rPr>
                <w:rFonts w:ascii="Arial" w:cs="Arial" w:eastAsia="Arial" w:hAnsi="Arial"/>
                <w:sz w:val="11"/>
                <w:szCs w:val="11"/>
                <w:color w:val="auto"/>
              </w:rPr>
              <w:t>Other non-operating income</w:t>
            </w:r>
            <w:r>
              <w:rPr>
                <w:rFonts w:ascii="Arial" w:cs="Arial" w:eastAsia="Arial" w:hAnsi="Arial"/>
                <w:sz w:val="14"/>
                <w:szCs w:val="14"/>
                <w:color w:val="auto"/>
                <w:vertAlign w:val="superscript"/>
              </w:rPr>
              <w:t>(5)</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(0.07)</w:t>
            </w:r>
          </w:p>
        </w:tc>
        <w:tc>
          <w:tcPr>
            <w:tcW w:w="0" w:type="dxa"/>
            <w:vAlign w:val="bottom"/>
          </w:tcPr>
          <w:p>
            <w:pPr>
              <w:spacing w:after="0"/>
              <w:rPr>
                <w:sz w:val="1"/>
                <w:szCs w:val="1"/>
                <w:color w:val="auto"/>
              </w:rPr>
            </w:pPr>
          </w:p>
        </w:tc>
      </w:tr>
      <w:tr>
        <w:trPr>
          <w:trHeight w:val="124"/>
        </w:trPr>
        <w:tc>
          <w:tcPr>
            <w:tcW w:w="3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Adjusted Non-GAAP Basis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1,026.2</w:t>
            </w:r>
          </w:p>
        </w:tc>
        <w:tc>
          <w:tcPr>
            <w:tcW w:w="1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596.6</w:t>
            </w:r>
          </w:p>
        </w:tc>
        <w:tc>
          <w:tcPr>
            <w:tcW w:w="1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31.8</w:t>
            </w:r>
          </w:p>
        </w:tc>
        <w:tc>
          <w:tcPr>
            <w:tcW w:w="1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161.9</w:t>
            </w:r>
          </w:p>
        </w:tc>
        <w:tc>
          <w:tcPr>
            <w:tcW w:w="10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466.5</w:t>
            </w:r>
          </w:p>
        </w:tc>
        <w:tc>
          <w:tcPr>
            <w:tcW w:w="8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2.02</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2"/>
          <w:szCs w:val="12"/>
          <w:color w:val="auto"/>
        </w:rPr>
        <w:t>The following schedules reconcile certain U.S. GAAP financial measures for the nine months ended September 30, 2023 and 2022.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7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2480" w:type="dxa"/>
            <w:vAlign w:val="bottom"/>
            <w:tcBorders>
              <w:bottom w:val="single" w:sz="8" w:color="auto"/>
            </w:tcBorders>
            <w:gridSpan w:val="5"/>
            <w:shd w:val="clear" w:color="auto" w:fill="CCEEFF"/>
          </w:tcPr>
          <w:p>
            <w:pPr>
              <w:ind w:left="480"/>
              <w:spacing w:after="0"/>
              <w:rPr>
                <w:sz w:val="20"/>
                <w:szCs w:val="20"/>
                <w:color w:val="auto"/>
              </w:rPr>
            </w:pPr>
            <w:r>
              <w:rPr>
                <w:rFonts w:ascii="Arial" w:cs="Arial" w:eastAsia="Arial" w:hAnsi="Arial"/>
                <w:sz w:val="10"/>
                <w:szCs w:val="10"/>
                <w:b w:val="1"/>
                <w:bCs w:val="1"/>
                <w:color w:val="auto"/>
              </w:rPr>
              <w:t>Nine months ended 9/30/2023</w:t>
            </w:r>
          </w:p>
        </w:tc>
        <w:tc>
          <w:tcPr>
            <w:tcW w:w="14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3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Operating expenses</w:t>
            </w:r>
          </w:p>
        </w:tc>
        <w:tc>
          <w:tcPr>
            <w:tcW w:w="80" w:type="dxa"/>
            <w:vAlign w:val="bottom"/>
          </w:tcPr>
          <w:p>
            <w:pPr>
              <w:spacing w:after="0"/>
              <w:rPr>
                <w:sz w:val="8"/>
                <w:szCs w:val="8"/>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Net operating income</w:t>
            </w:r>
          </w:p>
        </w:tc>
        <w:tc>
          <w:tcPr>
            <w:tcW w:w="80" w:type="dxa"/>
            <w:vAlign w:val="bottom"/>
          </w:tcPr>
          <w:p>
            <w:pPr>
              <w:spacing w:after="0"/>
              <w:rPr>
                <w:sz w:val="8"/>
                <w:szCs w:val="8"/>
                <w:color w:val="auto"/>
              </w:rPr>
            </w:pPr>
          </w:p>
        </w:tc>
        <w:tc>
          <w:tcPr>
            <w:tcW w:w="1200" w:type="dxa"/>
            <w:vAlign w:val="bottom"/>
            <w:gridSpan w:val="2"/>
          </w:tcPr>
          <w:p>
            <w:pPr>
              <w:jc w:val="center"/>
              <w:ind w:right="180"/>
              <w:spacing w:after="0" w:line="97" w:lineRule="exact"/>
              <w:rPr>
                <w:sz w:val="20"/>
                <w:szCs w:val="20"/>
                <w:color w:val="auto"/>
              </w:rPr>
            </w:pPr>
            <w:r>
              <w:rPr>
                <w:rFonts w:ascii="Arial" w:cs="Arial" w:eastAsia="Arial" w:hAnsi="Arial"/>
                <w:sz w:val="10"/>
                <w:szCs w:val="10"/>
                <w:b w:val="1"/>
                <w:bCs w:val="1"/>
                <w:color w:val="auto"/>
                <w:w w:val="96"/>
              </w:rPr>
              <w:t>Non-operating income</w:t>
            </w:r>
          </w:p>
        </w:tc>
        <w:tc>
          <w:tcPr>
            <w:tcW w:w="80" w:type="dxa"/>
            <w:vAlign w:val="bottom"/>
          </w:tcPr>
          <w:p>
            <w:pPr>
              <w:spacing w:after="0"/>
              <w:rPr>
                <w:sz w:val="8"/>
                <w:szCs w:val="8"/>
                <w:color w:val="auto"/>
              </w:rPr>
            </w:pPr>
          </w:p>
        </w:tc>
        <w:tc>
          <w:tcPr>
            <w:tcW w:w="1200" w:type="dxa"/>
            <w:vAlign w:val="bottom"/>
            <w:gridSpan w:val="2"/>
          </w:tcPr>
          <w:p>
            <w:pPr>
              <w:jc w:val="center"/>
              <w:ind w:right="200"/>
              <w:spacing w:after="0" w:line="97" w:lineRule="exact"/>
              <w:rPr>
                <w:sz w:val="20"/>
                <w:szCs w:val="20"/>
                <w:color w:val="auto"/>
              </w:rPr>
            </w:pPr>
            <w:r>
              <w:rPr>
                <w:rFonts w:ascii="Arial" w:cs="Arial" w:eastAsia="Arial" w:hAnsi="Arial"/>
                <w:sz w:val="10"/>
                <w:szCs w:val="10"/>
                <w:b w:val="1"/>
                <w:bCs w:val="1"/>
                <w:color w:val="auto"/>
                <w:w w:val="96"/>
              </w:rPr>
              <w:t>Provision (benefit) for</w:t>
            </w:r>
          </w:p>
        </w:tc>
        <w:tc>
          <w:tcPr>
            <w:tcW w:w="1260" w:type="dxa"/>
            <w:vAlign w:val="bottom"/>
            <w:gridSpan w:val="3"/>
          </w:tcPr>
          <w:p>
            <w:pPr>
              <w:jc w:val="center"/>
              <w:ind w:right="80"/>
              <w:spacing w:after="0" w:line="97" w:lineRule="exact"/>
              <w:rPr>
                <w:sz w:val="20"/>
                <w:szCs w:val="20"/>
                <w:color w:val="auto"/>
              </w:rPr>
            </w:pPr>
            <w:r>
              <w:rPr>
                <w:rFonts w:ascii="Arial" w:cs="Arial" w:eastAsia="Arial" w:hAnsi="Arial"/>
                <w:sz w:val="10"/>
                <w:szCs w:val="10"/>
                <w:b w:val="1"/>
                <w:bCs w:val="1"/>
                <w:color w:val="auto"/>
                <w:w w:val="95"/>
              </w:rPr>
              <w:t>Net income attributable</w:t>
            </w:r>
          </w:p>
        </w:tc>
        <w:tc>
          <w:tcPr>
            <w:tcW w:w="100" w:type="dxa"/>
            <w:vAlign w:val="bottom"/>
          </w:tcPr>
          <w:p>
            <w:pPr>
              <w:spacing w:after="0"/>
              <w:rPr>
                <w:sz w:val="8"/>
                <w:szCs w:val="8"/>
                <w:color w:val="auto"/>
              </w:rPr>
            </w:pPr>
          </w:p>
        </w:tc>
        <w:tc>
          <w:tcPr>
            <w:tcW w:w="1100" w:type="dxa"/>
            <w:vAlign w:val="bottom"/>
          </w:tcPr>
          <w:p>
            <w:pPr>
              <w:jc w:val="right"/>
              <w:ind w:right="92"/>
              <w:spacing w:after="0" w:line="97" w:lineRule="exact"/>
              <w:rPr>
                <w:sz w:val="20"/>
                <w:szCs w:val="20"/>
                <w:color w:val="auto"/>
              </w:rPr>
            </w:pPr>
            <w:r>
              <w:rPr>
                <w:rFonts w:ascii="Arial" w:cs="Arial" w:eastAsia="Arial" w:hAnsi="Arial"/>
                <w:sz w:val="10"/>
                <w:szCs w:val="10"/>
                <w:b w:val="1"/>
                <w:bCs w:val="1"/>
                <w:color w:val="auto"/>
                <w:w w:val="97"/>
              </w:rPr>
              <w:t>Diluted earnings per</w:t>
            </w:r>
          </w:p>
        </w:tc>
        <w:tc>
          <w:tcPr>
            <w:tcW w:w="0" w:type="dxa"/>
            <w:vAlign w:val="bottom"/>
          </w:tcPr>
          <w:p>
            <w:pPr>
              <w:spacing w:after="0"/>
              <w:rPr>
                <w:sz w:val="1"/>
                <w:szCs w:val="1"/>
                <w:color w:val="auto"/>
              </w:rPr>
            </w:pPr>
          </w:p>
        </w:tc>
      </w:tr>
      <w:tr>
        <w:trPr>
          <w:trHeight w:val="126"/>
        </w:trPr>
        <w:tc>
          <w:tcPr>
            <w:tcW w:w="3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7"/>
              </w:rPr>
              <w:t>(loss)</w:t>
            </w:r>
          </w:p>
        </w:tc>
        <w:tc>
          <w:tcPr>
            <w:tcW w:w="80" w:type="dxa"/>
            <w:vAlign w:val="bottom"/>
          </w:tcPr>
          <w:p>
            <w:pPr>
              <w:spacing w:after="0"/>
              <w:rPr>
                <w:sz w:val="10"/>
                <w:szCs w:val="10"/>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8"/>
              </w:rPr>
              <w:t>income taxes</w:t>
            </w:r>
            <w:r>
              <w:rPr>
                <w:rFonts w:ascii="Arial" w:cs="Arial" w:eastAsia="Arial" w:hAnsi="Arial"/>
                <w:sz w:val="6"/>
                <w:szCs w:val="6"/>
                <w:b w:val="1"/>
                <w:bCs w:val="1"/>
                <w:color w:val="auto"/>
                <w:w w:val="98"/>
              </w:rPr>
              <w:t>(6)</w:t>
            </w:r>
          </w:p>
        </w:tc>
        <w:tc>
          <w:tcPr>
            <w:tcW w:w="140" w:type="dxa"/>
            <w:vAlign w:val="bottom"/>
          </w:tcPr>
          <w:p>
            <w:pPr>
              <w:spacing w:after="0"/>
              <w:rPr>
                <w:sz w:val="10"/>
                <w:szCs w:val="1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to T. Rowe Price</w:t>
            </w:r>
          </w:p>
        </w:tc>
        <w:tc>
          <w:tcPr>
            <w:tcW w:w="100" w:type="dxa"/>
            <w:vAlign w:val="bottom"/>
          </w:tcPr>
          <w:p>
            <w:pPr>
              <w:spacing w:after="0"/>
              <w:rPr>
                <w:sz w:val="10"/>
                <w:szCs w:val="10"/>
                <w:color w:val="auto"/>
              </w:rPr>
            </w:pPr>
          </w:p>
        </w:tc>
        <w:tc>
          <w:tcPr>
            <w:tcW w:w="1100" w:type="dxa"/>
            <w:vAlign w:val="bottom"/>
          </w:tcPr>
          <w:p>
            <w:pPr>
              <w:jc w:val="right"/>
              <w:ind w:right="372"/>
              <w:spacing w:after="0"/>
              <w:rPr>
                <w:sz w:val="20"/>
                <w:szCs w:val="20"/>
                <w:color w:val="auto"/>
              </w:rPr>
            </w:pPr>
            <w:r>
              <w:rPr>
                <w:rFonts w:ascii="Arial" w:cs="Arial" w:eastAsia="Arial" w:hAnsi="Arial"/>
                <w:sz w:val="10"/>
                <w:szCs w:val="10"/>
                <w:b w:val="1"/>
                <w:bCs w:val="1"/>
                <w:color w:val="auto"/>
              </w:rPr>
              <w:t>share</w:t>
            </w:r>
            <w:r>
              <w:rPr>
                <w:rFonts w:ascii="Arial" w:cs="Arial" w:eastAsia="Arial" w:hAnsi="Arial"/>
                <w:sz w:val="6"/>
                <w:szCs w:val="6"/>
                <w:b w:val="1"/>
                <w:bCs w:val="1"/>
                <w:color w:val="auto"/>
              </w:rPr>
              <w:t>(7)</w:t>
            </w:r>
          </w:p>
        </w:tc>
        <w:tc>
          <w:tcPr>
            <w:tcW w:w="0" w:type="dxa"/>
            <w:vAlign w:val="bottom"/>
          </w:tcPr>
          <w:p>
            <w:pPr>
              <w:spacing w:after="0"/>
              <w:rPr>
                <w:sz w:val="1"/>
                <w:szCs w:val="1"/>
                <w:color w:val="auto"/>
              </w:rPr>
            </w:pPr>
          </w:p>
        </w:tc>
      </w:tr>
      <w:tr>
        <w:trPr>
          <w:trHeight w:val="124"/>
        </w:trPr>
        <w:tc>
          <w:tcPr>
            <w:tcW w:w="3700" w:type="dxa"/>
            <w:vAlign w:val="bottom"/>
            <w:tcBorders>
              <w:top w:val="single" w:sz="8" w:color="CCEEFF"/>
            </w:tcBorders>
            <w:shd w:val="clear" w:color="auto" w:fill="CCEEFF"/>
          </w:tcPr>
          <w:p>
            <w:pPr>
              <w:ind w:left="20"/>
              <w:spacing w:after="0" w:line="124" w:lineRule="exact"/>
              <w:rPr>
                <w:sz w:val="20"/>
                <w:szCs w:val="20"/>
                <w:color w:val="auto"/>
              </w:rPr>
            </w:pPr>
            <w:r>
              <w:rPr>
                <w:rFonts w:ascii="Arial" w:cs="Arial" w:eastAsia="Arial" w:hAnsi="Arial"/>
                <w:sz w:val="11"/>
                <w:szCs w:val="11"/>
                <w:b w:val="1"/>
                <w:bCs w:val="1"/>
                <w:color w:val="auto"/>
              </w:rPr>
              <w:t>U.S. GAAP Basis (FS line item)</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3,219.5</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1,599.0</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244.4</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481.3</w:t>
            </w: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1,351.1</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5.86</w:t>
            </w:r>
          </w:p>
        </w:tc>
        <w:tc>
          <w:tcPr>
            <w:tcW w:w="0" w:type="dxa"/>
            <w:vAlign w:val="bottom"/>
          </w:tcPr>
          <w:p>
            <w:pPr>
              <w:spacing w:after="0"/>
              <w:rPr>
                <w:sz w:val="1"/>
                <w:szCs w:val="1"/>
                <w:color w:val="auto"/>
              </w:rPr>
            </w:pPr>
          </w:p>
        </w:tc>
      </w:tr>
      <w:tr>
        <w:trPr>
          <w:trHeight w:val="122"/>
        </w:trPr>
        <w:tc>
          <w:tcPr>
            <w:tcW w:w="3700" w:type="dxa"/>
            <w:vAlign w:val="bottom"/>
          </w:tcPr>
          <w:p>
            <w:pPr>
              <w:ind w:left="20"/>
              <w:spacing w:after="0" w:line="120" w:lineRule="exact"/>
              <w:rPr>
                <w:sz w:val="20"/>
                <w:szCs w:val="20"/>
                <w:color w:val="auto"/>
              </w:rPr>
            </w:pPr>
            <w:r>
              <w:rPr>
                <w:rFonts w:ascii="Arial" w:cs="Arial" w:eastAsia="Arial" w:hAnsi="Arial"/>
                <w:sz w:val="11"/>
                <w:szCs w:val="11"/>
                <w:color w:val="auto"/>
              </w:rPr>
              <w:t>Non-GAAP adjustments:</w:t>
            </w: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7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Acquisition-related non-GAAP adjustments:</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3700" w:type="dxa"/>
            <w:vAlign w:val="bottom"/>
          </w:tcPr>
          <w:p>
            <w:pPr>
              <w:ind w:left="100"/>
              <w:spacing w:after="0" w:line="110" w:lineRule="exact"/>
              <w:rPr>
                <w:sz w:val="20"/>
                <w:szCs w:val="20"/>
                <w:color w:val="auto"/>
              </w:rPr>
            </w:pPr>
            <w:r>
              <w:rPr>
                <w:rFonts w:ascii="Arial" w:cs="Arial" w:eastAsia="Arial" w:hAnsi="Arial"/>
                <w:sz w:val="9"/>
                <w:szCs w:val="9"/>
                <w:color w:val="auto"/>
              </w:rPr>
              <w:t>Investment and NCI amortization and impairments</w:t>
            </w:r>
            <w:r>
              <w:rPr>
                <w:rFonts w:ascii="Arial" w:cs="Arial" w:eastAsia="Arial" w:hAnsi="Arial"/>
                <w:sz w:val="12"/>
                <w:szCs w:val="12"/>
                <w:color w:val="auto"/>
                <w:vertAlign w:val="superscript"/>
              </w:rPr>
              <w:t>(1)</w:t>
            </w:r>
            <w:r>
              <w:rPr>
                <w:rFonts w:ascii="Arial" w:cs="Arial" w:eastAsia="Arial" w:hAnsi="Arial"/>
                <w:sz w:val="9"/>
                <w:szCs w:val="9"/>
                <w:color w:val="auto"/>
              </w:rPr>
              <w:t xml:space="preserve"> (Capital allocation-</w:t>
            </w: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3700" w:type="dxa"/>
            <w:vAlign w:val="bottom"/>
          </w:tcPr>
          <w:p>
            <w:pPr>
              <w:ind w:left="100"/>
              <w:spacing w:after="0"/>
              <w:rPr>
                <w:sz w:val="20"/>
                <w:szCs w:val="20"/>
                <w:color w:val="auto"/>
              </w:rPr>
            </w:pPr>
            <w:r>
              <w:rPr>
                <w:rFonts w:ascii="Arial" w:cs="Arial" w:eastAsia="Arial" w:hAnsi="Arial"/>
                <w:sz w:val="11"/>
                <w:szCs w:val="11"/>
                <w:color w:val="auto"/>
              </w:rPr>
              <w:t>based income and Compensation and related costs)</w:t>
            </w:r>
          </w:p>
        </w:tc>
        <w:tc>
          <w:tcPr>
            <w:tcW w:w="1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20.8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29.6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6.2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23.4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0.10</w:t>
            </w:r>
          </w:p>
        </w:tc>
        <w:tc>
          <w:tcPr>
            <w:tcW w:w="0" w:type="dxa"/>
            <w:vAlign w:val="bottom"/>
          </w:tcPr>
          <w:p>
            <w:pPr>
              <w:spacing w:after="0"/>
              <w:rPr>
                <w:sz w:val="1"/>
                <w:szCs w:val="1"/>
                <w:color w:val="auto"/>
              </w:rPr>
            </w:pPr>
          </w:p>
        </w:tc>
      </w:tr>
      <w:tr>
        <w:trPr>
          <w:trHeight w:val="112"/>
        </w:trPr>
        <w:tc>
          <w:tcPr>
            <w:tcW w:w="3700" w:type="dxa"/>
            <w:vAlign w:val="bottom"/>
            <w:shd w:val="clear" w:color="auto" w:fill="CCEEFF"/>
          </w:tcPr>
          <w:p>
            <w:pPr>
              <w:ind w:left="100"/>
              <w:spacing w:after="0" w:line="113" w:lineRule="exact"/>
              <w:rPr>
                <w:sz w:val="20"/>
                <w:szCs w:val="20"/>
                <w:color w:val="auto"/>
              </w:rPr>
            </w:pPr>
            <w:r>
              <w:rPr>
                <w:rFonts w:ascii="Arial" w:cs="Arial" w:eastAsia="Arial" w:hAnsi="Arial"/>
                <w:sz w:val="10"/>
                <w:szCs w:val="10"/>
                <w:color w:val="auto"/>
              </w:rPr>
              <w:t>Acquisition-related retention arrangements</w:t>
            </w:r>
            <w:r>
              <w:rPr>
                <w:rFonts w:ascii="Arial" w:cs="Arial" w:eastAsia="Arial" w:hAnsi="Arial"/>
                <w:sz w:val="13"/>
                <w:szCs w:val="13"/>
                <w:color w:val="auto"/>
                <w:vertAlign w:val="superscript"/>
              </w:rPr>
              <w:t>(1)</w:t>
            </w:r>
            <w:r>
              <w:rPr>
                <w:rFonts w:ascii="Arial" w:cs="Arial" w:eastAsia="Arial" w:hAnsi="Arial"/>
                <w:sz w:val="10"/>
                <w:szCs w:val="10"/>
                <w:color w:val="auto"/>
              </w:rPr>
              <w:t xml:space="preserve"> (Compensation and related</w:t>
            </w:r>
          </w:p>
        </w:tc>
        <w:tc>
          <w:tcPr>
            <w:tcW w:w="1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costs)</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0.15</w:t>
            </w:r>
          </w:p>
        </w:tc>
        <w:tc>
          <w:tcPr>
            <w:tcW w:w="0" w:type="dxa"/>
            <w:vAlign w:val="bottom"/>
          </w:tcPr>
          <w:p>
            <w:pPr>
              <w:spacing w:after="0"/>
              <w:rPr>
                <w:sz w:val="1"/>
                <w:szCs w:val="1"/>
                <w:color w:val="auto"/>
              </w:rPr>
            </w:pPr>
          </w:p>
        </w:tc>
      </w:tr>
      <w:tr>
        <w:trPr>
          <w:trHeight w:val="144"/>
        </w:trPr>
        <w:tc>
          <w:tcPr>
            <w:tcW w:w="3700" w:type="dxa"/>
            <w:vAlign w:val="bottom"/>
          </w:tcPr>
          <w:p>
            <w:pPr>
              <w:ind w:left="100"/>
              <w:spacing w:after="0" w:line="144" w:lineRule="exact"/>
              <w:rPr>
                <w:sz w:val="20"/>
                <w:szCs w:val="20"/>
                <w:color w:val="auto"/>
              </w:rPr>
            </w:pPr>
            <w:r>
              <w:rPr>
                <w:rFonts w:ascii="Arial" w:cs="Arial" w:eastAsia="Arial" w:hAnsi="Arial"/>
                <w:sz w:val="11"/>
                <w:szCs w:val="11"/>
                <w:color w:val="auto"/>
              </w:rPr>
              <w:t>Contingent consideration</w:t>
            </w:r>
            <w:r>
              <w:rPr>
                <w:rFonts w:ascii="Arial" w:cs="Arial" w:eastAsia="Arial" w:hAnsi="Arial"/>
                <w:sz w:val="14"/>
                <w:szCs w:val="14"/>
                <w:color w:val="auto"/>
                <w:vertAlign w:val="superscript"/>
              </w:rPr>
              <w:t>(1)</w:t>
            </w:r>
          </w:p>
        </w:tc>
        <w:tc>
          <w:tcPr>
            <w:tcW w:w="1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72.8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(72.8)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(8.0)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(64.8)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(0.28)</w:t>
            </w:r>
          </w:p>
        </w:tc>
        <w:tc>
          <w:tcPr>
            <w:tcW w:w="0" w:type="dxa"/>
            <w:vAlign w:val="bottom"/>
          </w:tcPr>
          <w:p>
            <w:pPr>
              <w:spacing w:after="0"/>
              <w:rPr>
                <w:sz w:val="1"/>
                <w:szCs w:val="1"/>
                <w:color w:val="auto"/>
              </w:rPr>
            </w:pPr>
          </w:p>
        </w:tc>
      </w:tr>
      <w:tr>
        <w:trPr>
          <w:trHeight w:val="144"/>
        </w:trPr>
        <w:tc>
          <w:tcPr>
            <w:tcW w:w="3700" w:type="dxa"/>
            <w:vAlign w:val="bottom"/>
            <w:shd w:val="clear" w:color="auto" w:fill="CCEEFF"/>
          </w:tcPr>
          <w:p>
            <w:pPr>
              <w:ind w:left="100"/>
              <w:spacing w:after="0" w:line="144" w:lineRule="exact"/>
              <w:rPr>
                <w:sz w:val="20"/>
                <w:szCs w:val="20"/>
                <w:color w:val="auto"/>
              </w:rPr>
            </w:pPr>
            <w:r>
              <w:rPr>
                <w:rFonts w:ascii="Arial" w:cs="Arial" w:eastAsia="Arial" w:hAnsi="Arial"/>
                <w:sz w:val="11"/>
                <w:szCs w:val="11"/>
                <w:color w:val="auto"/>
              </w:rPr>
              <w:t>Intangible assets amortization and impairments</w:t>
            </w:r>
            <w:r>
              <w:rPr>
                <w:rFonts w:ascii="Arial" w:cs="Arial" w:eastAsia="Arial" w:hAnsi="Arial"/>
                <w:sz w:val="14"/>
                <w:szCs w:val="14"/>
                <w:color w:val="auto"/>
                <w:vertAlign w:val="superscript"/>
              </w:rPr>
              <w:t>(1)</w:t>
            </w:r>
          </w:p>
        </w:tc>
        <w:tc>
          <w:tcPr>
            <w:tcW w:w="10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(93.1)</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93.1</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17.7</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75.4</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0.33</w:t>
            </w:r>
          </w:p>
        </w:tc>
        <w:tc>
          <w:tcPr>
            <w:tcW w:w="0" w:type="dxa"/>
            <w:vAlign w:val="bottom"/>
          </w:tcPr>
          <w:p>
            <w:pPr>
              <w:spacing w:after="0"/>
              <w:rPr>
                <w:sz w:val="1"/>
                <w:szCs w:val="1"/>
                <w:color w:val="auto"/>
              </w:rPr>
            </w:pPr>
          </w:p>
        </w:tc>
      </w:tr>
      <w:tr>
        <w:trPr>
          <w:trHeight w:val="122"/>
        </w:trPr>
        <w:tc>
          <w:tcPr>
            <w:tcW w:w="3700" w:type="dxa"/>
            <w:vAlign w:val="bottom"/>
          </w:tcPr>
          <w:p>
            <w:pPr>
              <w:ind w:left="100"/>
              <w:spacing w:after="0" w:line="120" w:lineRule="exact"/>
              <w:rPr>
                <w:sz w:val="20"/>
                <w:szCs w:val="20"/>
                <w:color w:val="auto"/>
              </w:rPr>
            </w:pPr>
            <w:r>
              <w:rPr>
                <w:rFonts w:ascii="Arial" w:cs="Arial" w:eastAsia="Arial" w:hAnsi="Arial"/>
                <w:sz w:val="11"/>
                <w:szCs w:val="11"/>
                <w:color w:val="auto"/>
              </w:rPr>
              <w:t>Total acquisition-related non-GAAP adjustments</w:t>
            </w:r>
          </w:p>
        </w:tc>
        <w:tc>
          <w:tcPr>
            <w:tcW w:w="10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(41.0)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91.4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23.1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68.3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0.30</w:t>
            </w:r>
          </w:p>
        </w:tc>
        <w:tc>
          <w:tcPr>
            <w:tcW w:w="0" w:type="dxa"/>
            <w:vAlign w:val="bottom"/>
          </w:tcPr>
          <w:p>
            <w:pPr>
              <w:spacing w:after="0"/>
              <w:rPr>
                <w:sz w:val="1"/>
                <w:szCs w:val="1"/>
                <w:color w:val="auto"/>
              </w:rPr>
            </w:pPr>
          </w:p>
        </w:tc>
      </w:tr>
      <w:tr>
        <w:trPr>
          <w:trHeight w:val="126"/>
        </w:trPr>
        <w:tc>
          <w:tcPr>
            <w:tcW w:w="3700" w:type="dxa"/>
            <w:vAlign w:val="bottom"/>
            <w:tcBorders>
              <w:top w:val="single" w:sz="8" w:color="CCEEFF"/>
            </w:tcBorders>
            <w:shd w:val="clear" w:color="auto" w:fill="CCEEFF"/>
          </w:tcPr>
          <w:p>
            <w:pPr>
              <w:ind w:left="20"/>
              <w:spacing w:after="0" w:line="126" w:lineRule="exact"/>
              <w:rPr>
                <w:sz w:val="20"/>
                <w:szCs w:val="20"/>
                <w:color w:val="auto"/>
              </w:rPr>
            </w:pPr>
            <w:r>
              <w:rPr>
                <w:rFonts w:ascii="Arial" w:cs="Arial" w:eastAsia="Arial" w:hAnsi="Arial"/>
                <w:sz w:val="11"/>
                <w:szCs w:val="11"/>
                <w:color w:val="auto"/>
              </w:rPr>
              <w:t>Supplemental savings plan liability</w:t>
            </w:r>
            <w:r>
              <w:rPr>
                <w:rFonts w:ascii="Arial" w:cs="Arial" w:eastAsia="Arial" w:hAnsi="Arial"/>
                <w:sz w:val="14"/>
                <w:szCs w:val="14"/>
                <w:color w:val="auto"/>
                <w:vertAlign w:val="superscript"/>
              </w:rPr>
              <w:t>(3)</w:t>
            </w:r>
            <w:r>
              <w:rPr>
                <w:rFonts w:ascii="Arial" w:cs="Arial" w:eastAsia="Arial" w:hAnsi="Arial"/>
                <w:sz w:val="11"/>
                <w:szCs w:val="11"/>
                <w:color w:val="auto"/>
              </w:rPr>
              <w:t xml:space="preserve"> (Compensation and related costs)</w:t>
            </w:r>
          </w:p>
        </w:tc>
        <w:tc>
          <w:tcPr>
            <w:tcW w:w="100" w:type="dxa"/>
            <w:vAlign w:val="bottom"/>
            <w:tcBorders>
              <w:top w:val="single" w:sz="8" w:color="auto"/>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(61.3)</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61.3</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(58.6)</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w:t>
            </w: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0.01</w:t>
            </w:r>
          </w:p>
        </w:tc>
        <w:tc>
          <w:tcPr>
            <w:tcW w:w="0" w:type="dxa"/>
            <w:vAlign w:val="bottom"/>
          </w:tcPr>
          <w:p>
            <w:pPr>
              <w:spacing w:after="0"/>
              <w:rPr>
                <w:sz w:val="1"/>
                <w:szCs w:val="1"/>
                <w:color w:val="auto"/>
              </w:rPr>
            </w:pPr>
          </w:p>
        </w:tc>
      </w:tr>
      <w:tr>
        <w:trPr>
          <w:trHeight w:val="144"/>
        </w:trPr>
        <w:tc>
          <w:tcPr>
            <w:tcW w:w="3700" w:type="dxa"/>
            <w:vAlign w:val="bottom"/>
          </w:tcPr>
          <w:p>
            <w:pPr>
              <w:ind w:left="20"/>
              <w:spacing w:after="0" w:line="144" w:lineRule="exact"/>
              <w:rPr>
                <w:sz w:val="20"/>
                <w:szCs w:val="20"/>
                <w:color w:val="auto"/>
              </w:rPr>
            </w:pPr>
            <w:r>
              <w:rPr>
                <w:rFonts w:ascii="Arial" w:cs="Arial" w:eastAsia="Arial" w:hAnsi="Arial"/>
                <w:sz w:val="11"/>
                <w:szCs w:val="11"/>
                <w:color w:val="auto"/>
              </w:rPr>
              <w:t>Consolidated T. Rowe Price investment products</w:t>
            </w:r>
            <w:r>
              <w:rPr>
                <w:rFonts w:ascii="Arial" w:cs="Arial" w:eastAsia="Arial" w:hAnsi="Arial"/>
                <w:sz w:val="14"/>
                <w:szCs w:val="14"/>
                <w:color w:val="auto"/>
                <w:vertAlign w:val="superscript"/>
              </w:rPr>
              <w:t>(4)</w:t>
            </w:r>
          </w:p>
        </w:tc>
        <w:tc>
          <w:tcPr>
            <w:tcW w:w="1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(7.2)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8.8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(45.4)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(0.5)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(25.1)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(0.11)</w:t>
            </w:r>
          </w:p>
        </w:tc>
        <w:tc>
          <w:tcPr>
            <w:tcW w:w="0" w:type="dxa"/>
            <w:vAlign w:val="bottom"/>
          </w:tcPr>
          <w:p>
            <w:pPr>
              <w:spacing w:after="0"/>
              <w:rPr>
                <w:sz w:val="1"/>
                <w:szCs w:val="1"/>
                <w:color w:val="auto"/>
              </w:rPr>
            </w:pPr>
          </w:p>
        </w:tc>
      </w:tr>
      <w:tr>
        <w:trPr>
          <w:trHeight w:val="144"/>
        </w:trPr>
        <w:tc>
          <w:tcPr>
            <w:tcW w:w="3700" w:type="dxa"/>
            <w:vAlign w:val="bottom"/>
            <w:shd w:val="clear" w:color="auto" w:fill="CCEEFF"/>
          </w:tcPr>
          <w:p>
            <w:pPr>
              <w:ind w:left="20"/>
              <w:spacing w:after="0" w:line="144" w:lineRule="exact"/>
              <w:rPr>
                <w:sz w:val="20"/>
                <w:szCs w:val="20"/>
                <w:color w:val="auto"/>
              </w:rPr>
            </w:pPr>
            <w:r>
              <w:rPr>
                <w:rFonts w:ascii="Arial" w:cs="Arial" w:eastAsia="Arial" w:hAnsi="Arial"/>
                <w:sz w:val="11"/>
                <w:szCs w:val="11"/>
                <w:color w:val="auto"/>
              </w:rPr>
              <w:t>Other non-operating income</w:t>
            </w:r>
            <w:r>
              <w:rPr>
                <w:rFonts w:ascii="Arial" w:cs="Arial" w:eastAsia="Arial" w:hAnsi="Arial"/>
                <w:sz w:val="14"/>
                <w:szCs w:val="14"/>
                <w:color w:val="auto"/>
                <w:vertAlign w:val="superscript"/>
              </w:rPr>
              <w:t>(5)</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(0.18)</w:t>
            </w:r>
          </w:p>
        </w:tc>
        <w:tc>
          <w:tcPr>
            <w:tcW w:w="0" w:type="dxa"/>
            <w:vAlign w:val="bottom"/>
          </w:tcPr>
          <w:p>
            <w:pPr>
              <w:spacing w:after="0"/>
              <w:rPr>
                <w:sz w:val="1"/>
                <w:szCs w:val="1"/>
                <w:color w:val="auto"/>
              </w:rPr>
            </w:pPr>
          </w:p>
        </w:tc>
      </w:tr>
      <w:tr>
        <w:trPr>
          <w:trHeight w:val="124"/>
        </w:trPr>
        <w:tc>
          <w:tcPr>
            <w:tcW w:w="3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Adjusted Non-GAAP Basis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3,110.0</w:t>
            </w:r>
          </w:p>
        </w:tc>
        <w:tc>
          <w:tcPr>
            <w:tcW w:w="1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1,760.5</w:t>
            </w:r>
          </w:p>
        </w:tc>
        <w:tc>
          <w:tcPr>
            <w:tcW w:w="1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91.3</w:t>
            </w:r>
          </w:p>
        </w:tc>
        <w:tc>
          <w:tcPr>
            <w:tcW w:w="1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496.4</w:t>
            </w:r>
          </w:p>
        </w:tc>
        <w:tc>
          <w:tcPr>
            <w:tcW w:w="10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1,355.4</w:t>
            </w:r>
          </w:p>
        </w:tc>
        <w:tc>
          <w:tcPr>
            <w:tcW w:w="8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5.88</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280"/>
          </w:cols>
          <w:pgMar w:left="300" w:top="752" w:right="319" w:bottom="1440" w:gutter="0" w:footer="0" w:header="0"/>
        </w:sectPr>
      </w:pPr>
    </w:p>
    <w:bookmarkStart w:id="15" w:name="page16"/>
    <w:bookmarkEnd w:id="15"/>
    <w:tbl>
      <w:tblPr>
        <w:tblLayout w:type="fixed"/>
        <w:tblInd w:w="48" w:type="dxa"/>
        <w:tblCellMar>
          <w:top w:w="0" w:type="dxa"/>
          <w:left w:w="0" w:type="dxa"/>
          <w:bottom w:w="0" w:type="dxa"/>
          <w:right w:w="0" w:type="dxa"/>
        </w:tblCellMar>
      </w:tblPr>
      <w:tr>
        <w:trPr>
          <w:trHeight w:val="135"/>
        </w:trPr>
        <w:tc>
          <w:tcPr>
            <w:tcW w:w="36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2460" w:type="dxa"/>
            <w:vAlign w:val="bottom"/>
            <w:tcBorders>
              <w:bottom w:val="single" w:sz="8" w:color="auto"/>
            </w:tcBorders>
            <w:gridSpan w:val="5"/>
            <w:shd w:val="clear" w:color="auto" w:fill="CCEEFF"/>
          </w:tcPr>
          <w:p>
            <w:pPr>
              <w:ind w:left="620"/>
              <w:spacing w:after="0"/>
              <w:rPr>
                <w:sz w:val="20"/>
                <w:szCs w:val="20"/>
                <w:color w:val="auto"/>
              </w:rPr>
            </w:pPr>
            <w:r>
              <w:rPr>
                <w:rFonts w:ascii="Arial" w:cs="Arial" w:eastAsia="Arial" w:hAnsi="Arial"/>
                <w:sz w:val="10"/>
                <w:szCs w:val="10"/>
                <w:b w:val="1"/>
                <w:bCs w:val="1"/>
                <w:color w:val="auto"/>
              </w:rPr>
              <w:t>Nine months ended 9/30/2022</w:t>
            </w:r>
          </w:p>
        </w:tc>
        <w:tc>
          <w:tcPr>
            <w:tcW w:w="24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3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Operating expenses</w:t>
            </w:r>
          </w:p>
        </w:tc>
        <w:tc>
          <w:tcPr>
            <w:tcW w:w="1160" w:type="dxa"/>
            <w:vAlign w:val="bottom"/>
            <w:gridSpan w:val="3"/>
            <w:vMerge w:val="restart"/>
          </w:tcPr>
          <w:p>
            <w:pPr>
              <w:ind w:left="40"/>
              <w:spacing w:after="0"/>
              <w:rPr>
                <w:sz w:val="20"/>
                <w:szCs w:val="20"/>
                <w:color w:val="auto"/>
              </w:rPr>
            </w:pPr>
            <w:r>
              <w:rPr>
                <w:rFonts w:ascii="Arial" w:cs="Arial" w:eastAsia="Arial" w:hAnsi="Arial"/>
                <w:sz w:val="10"/>
                <w:szCs w:val="10"/>
                <w:b w:val="1"/>
                <w:bCs w:val="1"/>
                <w:color w:val="auto"/>
              </w:rPr>
              <w:t>Net operating income</w:t>
            </w:r>
          </w:p>
        </w:tc>
        <w:tc>
          <w:tcPr>
            <w:tcW w:w="80" w:type="dxa"/>
            <w:vAlign w:val="bottom"/>
          </w:tcPr>
          <w:p>
            <w:pPr>
              <w:spacing w:after="0"/>
              <w:rPr>
                <w:sz w:val="8"/>
                <w:szCs w:val="8"/>
                <w:color w:val="auto"/>
              </w:rPr>
            </w:pPr>
          </w:p>
        </w:tc>
        <w:tc>
          <w:tcPr>
            <w:tcW w:w="1180" w:type="dxa"/>
            <w:vAlign w:val="bottom"/>
            <w:gridSpan w:val="2"/>
          </w:tcPr>
          <w:p>
            <w:pPr>
              <w:jc w:val="center"/>
              <w:ind w:right="160"/>
              <w:spacing w:after="0" w:line="97" w:lineRule="exact"/>
              <w:rPr>
                <w:sz w:val="20"/>
                <w:szCs w:val="20"/>
                <w:color w:val="auto"/>
              </w:rPr>
            </w:pPr>
            <w:r>
              <w:rPr>
                <w:rFonts w:ascii="Arial" w:cs="Arial" w:eastAsia="Arial" w:hAnsi="Arial"/>
                <w:sz w:val="10"/>
                <w:szCs w:val="10"/>
                <w:b w:val="1"/>
                <w:bCs w:val="1"/>
                <w:color w:val="auto"/>
                <w:w w:val="96"/>
              </w:rPr>
              <w:t>Non-operating income</w:t>
            </w:r>
          </w:p>
        </w:tc>
        <w:tc>
          <w:tcPr>
            <w:tcW w:w="80" w:type="dxa"/>
            <w:vAlign w:val="bottom"/>
          </w:tcPr>
          <w:p>
            <w:pPr>
              <w:spacing w:after="0"/>
              <w:rPr>
                <w:sz w:val="8"/>
                <w:szCs w:val="8"/>
                <w:color w:val="auto"/>
              </w:rPr>
            </w:pPr>
          </w:p>
        </w:tc>
        <w:tc>
          <w:tcPr>
            <w:tcW w:w="1200" w:type="dxa"/>
            <w:vAlign w:val="bottom"/>
            <w:gridSpan w:val="2"/>
          </w:tcPr>
          <w:p>
            <w:pPr>
              <w:jc w:val="center"/>
              <w:ind w:right="160"/>
              <w:spacing w:after="0" w:line="97" w:lineRule="exact"/>
              <w:rPr>
                <w:sz w:val="20"/>
                <w:szCs w:val="20"/>
                <w:color w:val="auto"/>
              </w:rPr>
            </w:pPr>
            <w:r>
              <w:rPr>
                <w:rFonts w:ascii="Arial" w:cs="Arial" w:eastAsia="Arial" w:hAnsi="Arial"/>
                <w:sz w:val="10"/>
                <w:szCs w:val="10"/>
                <w:b w:val="1"/>
                <w:bCs w:val="1"/>
                <w:color w:val="auto"/>
                <w:w w:val="96"/>
              </w:rPr>
              <w:t>Provision (benefit) for</w:t>
            </w:r>
          </w:p>
        </w:tc>
        <w:tc>
          <w:tcPr>
            <w:tcW w:w="1420" w:type="dxa"/>
            <w:vAlign w:val="bottom"/>
            <w:gridSpan w:val="3"/>
          </w:tcPr>
          <w:p>
            <w:pPr>
              <w:ind w:left="20"/>
              <w:spacing w:after="0" w:line="97" w:lineRule="exact"/>
              <w:rPr>
                <w:sz w:val="20"/>
                <w:szCs w:val="20"/>
                <w:color w:val="auto"/>
              </w:rPr>
            </w:pPr>
            <w:r>
              <w:rPr>
                <w:rFonts w:ascii="Arial" w:cs="Arial" w:eastAsia="Arial" w:hAnsi="Arial"/>
                <w:sz w:val="10"/>
                <w:szCs w:val="10"/>
                <w:b w:val="1"/>
                <w:bCs w:val="1"/>
                <w:color w:val="auto"/>
              </w:rPr>
              <w:t>Net income attributable to T.</w:t>
            </w:r>
          </w:p>
        </w:tc>
        <w:tc>
          <w:tcPr>
            <w:tcW w:w="100" w:type="dxa"/>
            <w:vAlign w:val="bottom"/>
          </w:tcPr>
          <w:p>
            <w:pPr>
              <w:spacing w:after="0"/>
              <w:rPr>
                <w:sz w:val="8"/>
                <w:szCs w:val="8"/>
                <w:color w:val="auto"/>
              </w:rPr>
            </w:pPr>
          </w:p>
        </w:tc>
        <w:tc>
          <w:tcPr>
            <w:tcW w:w="1080" w:type="dxa"/>
            <w:vAlign w:val="bottom"/>
          </w:tcPr>
          <w:p>
            <w:pPr>
              <w:jc w:val="right"/>
              <w:ind w:right="72"/>
              <w:spacing w:after="0" w:line="97" w:lineRule="exact"/>
              <w:rPr>
                <w:sz w:val="20"/>
                <w:szCs w:val="20"/>
                <w:color w:val="auto"/>
              </w:rPr>
            </w:pPr>
            <w:r>
              <w:rPr>
                <w:rFonts w:ascii="Arial" w:cs="Arial" w:eastAsia="Arial" w:hAnsi="Arial"/>
                <w:sz w:val="10"/>
                <w:szCs w:val="10"/>
                <w:b w:val="1"/>
                <w:bCs w:val="1"/>
                <w:color w:val="auto"/>
                <w:w w:val="97"/>
              </w:rPr>
              <w:t>Diluted earnings per</w:t>
            </w:r>
          </w:p>
        </w:tc>
        <w:tc>
          <w:tcPr>
            <w:tcW w:w="0" w:type="dxa"/>
            <w:vAlign w:val="bottom"/>
          </w:tcPr>
          <w:p>
            <w:pPr>
              <w:spacing w:after="0"/>
              <w:rPr>
                <w:sz w:val="1"/>
                <w:szCs w:val="1"/>
                <w:color w:val="auto"/>
              </w:rPr>
            </w:pPr>
          </w:p>
        </w:tc>
      </w:tr>
      <w:tr>
        <w:trPr>
          <w:trHeight w:val="126"/>
        </w:trPr>
        <w:tc>
          <w:tcPr>
            <w:tcW w:w="3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7"/>
              </w:rPr>
              <w:t>(loss)</w:t>
            </w:r>
          </w:p>
        </w:tc>
        <w:tc>
          <w:tcPr>
            <w:tcW w:w="80" w:type="dxa"/>
            <w:vAlign w:val="bottom"/>
          </w:tcPr>
          <w:p>
            <w:pPr>
              <w:spacing w:after="0"/>
              <w:rPr>
                <w:sz w:val="10"/>
                <w:szCs w:val="10"/>
                <w:color w:val="auto"/>
              </w:rPr>
            </w:pPr>
          </w:p>
        </w:tc>
        <w:tc>
          <w:tcPr>
            <w:tcW w:w="1200" w:type="dxa"/>
            <w:vAlign w:val="bottom"/>
            <w:gridSpan w:val="2"/>
          </w:tcPr>
          <w:p>
            <w:pPr>
              <w:jc w:val="center"/>
              <w:ind w:right="160"/>
              <w:spacing w:after="0" w:line="126" w:lineRule="exact"/>
              <w:rPr>
                <w:sz w:val="20"/>
                <w:szCs w:val="20"/>
                <w:color w:val="auto"/>
              </w:rPr>
            </w:pPr>
            <w:r>
              <w:rPr>
                <w:rFonts w:ascii="Arial" w:cs="Arial" w:eastAsia="Arial" w:hAnsi="Arial"/>
                <w:sz w:val="10"/>
                <w:szCs w:val="10"/>
                <w:b w:val="1"/>
                <w:bCs w:val="1"/>
                <w:color w:val="auto"/>
                <w:w w:val="92"/>
              </w:rPr>
              <w:t>income taxes</w:t>
            </w:r>
            <w:r>
              <w:rPr>
                <w:rFonts w:ascii="Arial" w:cs="Arial" w:eastAsia="Arial" w:hAnsi="Arial"/>
                <w:sz w:val="12"/>
                <w:szCs w:val="12"/>
                <w:b w:val="1"/>
                <w:bCs w:val="1"/>
                <w:color w:val="auto"/>
                <w:w w:val="92"/>
                <w:vertAlign w:val="superscript"/>
              </w:rPr>
              <w:t>(6)</w:t>
            </w:r>
          </w:p>
        </w:tc>
        <w:tc>
          <w:tcPr>
            <w:tcW w:w="240" w:type="dxa"/>
            <w:vAlign w:val="bottom"/>
          </w:tcPr>
          <w:p>
            <w:pPr>
              <w:spacing w:after="0"/>
              <w:rPr>
                <w:sz w:val="10"/>
                <w:szCs w:val="10"/>
                <w:color w:val="auto"/>
              </w:rPr>
            </w:pPr>
          </w:p>
        </w:tc>
        <w:tc>
          <w:tcPr>
            <w:tcW w:w="1180" w:type="dxa"/>
            <w:vAlign w:val="bottom"/>
            <w:gridSpan w:val="2"/>
          </w:tcPr>
          <w:p>
            <w:pPr>
              <w:ind w:left="160"/>
              <w:spacing w:after="0"/>
              <w:rPr>
                <w:sz w:val="20"/>
                <w:szCs w:val="20"/>
                <w:color w:val="auto"/>
              </w:rPr>
            </w:pPr>
            <w:r>
              <w:rPr>
                <w:rFonts w:ascii="Arial" w:cs="Arial" w:eastAsia="Arial" w:hAnsi="Arial"/>
                <w:sz w:val="10"/>
                <w:szCs w:val="10"/>
                <w:b w:val="1"/>
                <w:bCs w:val="1"/>
                <w:color w:val="auto"/>
              </w:rPr>
              <w:t>Rowe Price</w:t>
            </w:r>
          </w:p>
        </w:tc>
        <w:tc>
          <w:tcPr>
            <w:tcW w:w="100" w:type="dxa"/>
            <w:vAlign w:val="bottom"/>
          </w:tcPr>
          <w:p>
            <w:pPr>
              <w:spacing w:after="0"/>
              <w:rPr>
                <w:sz w:val="10"/>
                <w:szCs w:val="10"/>
                <w:color w:val="auto"/>
              </w:rPr>
            </w:pPr>
          </w:p>
        </w:tc>
        <w:tc>
          <w:tcPr>
            <w:tcW w:w="1080" w:type="dxa"/>
            <w:vAlign w:val="bottom"/>
          </w:tcPr>
          <w:p>
            <w:pPr>
              <w:jc w:val="right"/>
              <w:ind w:right="372"/>
              <w:spacing w:after="0" w:line="126" w:lineRule="exact"/>
              <w:rPr>
                <w:sz w:val="20"/>
                <w:szCs w:val="20"/>
                <w:color w:val="auto"/>
              </w:rPr>
            </w:pPr>
            <w:r>
              <w:rPr>
                <w:rFonts w:ascii="Arial" w:cs="Arial" w:eastAsia="Arial" w:hAnsi="Arial"/>
                <w:sz w:val="10"/>
                <w:szCs w:val="10"/>
                <w:b w:val="1"/>
                <w:bCs w:val="1"/>
                <w:color w:val="auto"/>
              </w:rPr>
              <w:t>share</w:t>
            </w:r>
            <w:r>
              <w:rPr>
                <w:rFonts w:ascii="Arial" w:cs="Arial" w:eastAsia="Arial" w:hAnsi="Arial"/>
                <w:sz w:val="12"/>
                <w:szCs w:val="12"/>
                <w:b w:val="1"/>
                <w:bCs w:val="1"/>
                <w:color w:val="auto"/>
                <w:vertAlign w:val="superscript"/>
              </w:rPr>
              <w:t>(7)</w:t>
            </w:r>
          </w:p>
        </w:tc>
        <w:tc>
          <w:tcPr>
            <w:tcW w:w="0" w:type="dxa"/>
            <w:vAlign w:val="bottom"/>
          </w:tcPr>
          <w:p>
            <w:pPr>
              <w:spacing w:after="0"/>
              <w:rPr>
                <w:sz w:val="1"/>
                <w:szCs w:val="1"/>
                <w:color w:val="auto"/>
              </w:rPr>
            </w:pPr>
          </w:p>
        </w:tc>
      </w:tr>
      <w:tr>
        <w:trPr>
          <w:trHeight w:val="124"/>
        </w:trPr>
        <w:tc>
          <w:tcPr>
            <w:tcW w:w="3680" w:type="dxa"/>
            <w:vAlign w:val="bottom"/>
            <w:tcBorders>
              <w:top w:val="single" w:sz="8" w:color="CCEEFF"/>
            </w:tcBorders>
            <w:shd w:val="clear" w:color="auto" w:fill="CCEEFF"/>
          </w:tcPr>
          <w:p>
            <w:pPr>
              <w:ind w:left="20"/>
              <w:spacing w:after="0" w:line="124" w:lineRule="exact"/>
              <w:rPr>
                <w:sz w:val="20"/>
                <w:szCs w:val="20"/>
                <w:color w:val="auto"/>
              </w:rPr>
            </w:pPr>
            <w:r>
              <w:rPr>
                <w:rFonts w:ascii="Arial" w:cs="Arial" w:eastAsia="Arial" w:hAnsi="Arial"/>
                <w:sz w:val="11"/>
                <w:szCs w:val="11"/>
                <w:b w:val="1"/>
                <w:bCs w:val="1"/>
                <w:color w:val="auto"/>
              </w:rPr>
              <w:t>U.S. GAAP Basis (FS line item)</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2,843.6</w:t>
            </w:r>
          </w:p>
        </w:tc>
        <w:tc>
          <w:tcPr>
            <w:tcW w:w="8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bottom w:val="single" w:sz="8" w:color="auto"/>
            </w:tcBorders>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2,120.6</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(561.2)</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399.4</w:t>
            </w:r>
          </w:p>
        </w:tc>
        <w:tc>
          <w:tcPr>
            <w:tcW w:w="8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1,291.9</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5.54</w:t>
            </w:r>
          </w:p>
        </w:tc>
        <w:tc>
          <w:tcPr>
            <w:tcW w:w="0" w:type="dxa"/>
            <w:vAlign w:val="bottom"/>
          </w:tcPr>
          <w:p>
            <w:pPr>
              <w:spacing w:after="0"/>
              <w:rPr>
                <w:sz w:val="1"/>
                <w:szCs w:val="1"/>
                <w:color w:val="auto"/>
              </w:rPr>
            </w:pPr>
          </w:p>
        </w:tc>
      </w:tr>
      <w:tr>
        <w:trPr>
          <w:trHeight w:val="122"/>
        </w:trPr>
        <w:tc>
          <w:tcPr>
            <w:tcW w:w="3680" w:type="dxa"/>
            <w:vAlign w:val="bottom"/>
          </w:tcPr>
          <w:p>
            <w:pPr>
              <w:ind w:left="20"/>
              <w:spacing w:after="0" w:line="120" w:lineRule="exact"/>
              <w:rPr>
                <w:sz w:val="20"/>
                <w:szCs w:val="20"/>
                <w:color w:val="auto"/>
              </w:rPr>
            </w:pPr>
            <w:r>
              <w:rPr>
                <w:rFonts w:ascii="Arial" w:cs="Arial" w:eastAsia="Arial" w:hAnsi="Arial"/>
                <w:sz w:val="11"/>
                <w:szCs w:val="11"/>
                <w:color w:val="auto"/>
              </w:rPr>
              <w:t>Non-GAAP adjustments:</w:t>
            </w: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6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Acquisition-related non-GAAP adjustments:</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3680" w:type="dxa"/>
            <w:vAlign w:val="bottom"/>
          </w:tcPr>
          <w:p>
            <w:pPr>
              <w:ind w:left="100"/>
              <w:spacing w:after="0" w:line="110" w:lineRule="exact"/>
              <w:rPr>
                <w:sz w:val="20"/>
                <w:szCs w:val="20"/>
                <w:color w:val="auto"/>
              </w:rPr>
            </w:pPr>
            <w:r>
              <w:rPr>
                <w:rFonts w:ascii="Arial" w:cs="Arial" w:eastAsia="Arial" w:hAnsi="Arial"/>
                <w:sz w:val="9"/>
                <w:szCs w:val="9"/>
                <w:color w:val="auto"/>
              </w:rPr>
              <w:t>Investment and NCI amortization and impairments</w:t>
            </w:r>
            <w:r>
              <w:rPr>
                <w:rFonts w:ascii="Arial" w:cs="Arial" w:eastAsia="Arial" w:hAnsi="Arial"/>
                <w:sz w:val="12"/>
                <w:szCs w:val="12"/>
                <w:color w:val="auto"/>
                <w:vertAlign w:val="superscript"/>
              </w:rPr>
              <w:t>(1)</w:t>
            </w:r>
            <w:r>
              <w:rPr>
                <w:rFonts w:ascii="Arial" w:cs="Arial" w:eastAsia="Arial" w:hAnsi="Arial"/>
                <w:sz w:val="9"/>
                <w:szCs w:val="9"/>
                <w:color w:val="auto"/>
              </w:rPr>
              <w:t xml:space="preserve"> (Capital allocation-</w:t>
            </w: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3680" w:type="dxa"/>
            <w:vAlign w:val="bottom"/>
          </w:tcPr>
          <w:p>
            <w:pPr>
              <w:ind w:left="100"/>
              <w:spacing w:after="0"/>
              <w:rPr>
                <w:sz w:val="20"/>
                <w:szCs w:val="20"/>
                <w:color w:val="auto"/>
              </w:rPr>
            </w:pPr>
            <w:r>
              <w:rPr>
                <w:rFonts w:ascii="Arial" w:cs="Arial" w:eastAsia="Arial" w:hAnsi="Arial"/>
                <w:sz w:val="11"/>
                <w:szCs w:val="11"/>
                <w:color w:val="auto"/>
              </w:rPr>
              <w:t>based income and Compensation and related costs)</w:t>
            </w:r>
          </w:p>
        </w:tc>
        <w:tc>
          <w:tcPr>
            <w:tcW w:w="80" w:type="dxa"/>
            <w:vAlign w:val="bottom"/>
          </w:tcPr>
          <w:p>
            <w:pPr>
              <w:spacing w:after="0"/>
              <w:rPr>
                <w:sz w:val="12"/>
                <w:szCs w:val="12"/>
                <w:color w:val="auto"/>
              </w:rPr>
            </w:pPr>
          </w:p>
        </w:tc>
        <w:tc>
          <w:tcPr>
            <w:tcW w:w="1060" w:type="dxa"/>
            <w:vAlign w:val="bottom"/>
          </w:tcPr>
          <w:p>
            <w:pPr>
              <w:jc w:val="right"/>
              <w:ind w:right="12"/>
              <w:spacing w:after="0"/>
              <w:rPr>
                <w:sz w:val="20"/>
                <w:szCs w:val="20"/>
                <w:color w:val="auto"/>
              </w:rPr>
            </w:pPr>
            <w:r>
              <w:rPr>
                <w:rFonts w:ascii="Arial" w:cs="Arial" w:eastAsia="Arial" w:hAnsi="Arial"/>
                <w:sz w:val="10"/>
                <w:szCs w:val="10"/>
                <w:color w:val="auto"/>
              </w:rPr>
              <w:t>16.9</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jc w:val="right"/>
              <w:ind w:right="12"/>
              <w:spacing w:after="0"/>
              <w:rPr>
                <w:sz w:val="20"/>
                <w:szCs w:val="20"/>
                <w:color w:val="auto"/>
              </w:rPr>
            </w:pPr>
            <w:r>
              <w:rPr>
                <w:rFonts w:ascii="Arial" w:cs="Arial" w:eastAsia="Arial" w:hAnsi="Arial"/>
                <w:sz w:val="10"/>
                <w:szCs w:val="10"/>
                <w:color w:val="auto"/>
              </w:rPr>
              <w:t>22.8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120" w:type="dxa"/>
            <w:vAlign w:val="bottom"/>
          </w:tcPr>
          <w:p>
            <w:pPr>
              <w:jc w:val="right"/>
              <w:ind w:right="12"/>
              <w:spacing w:after="0"/>
              <w:rPr>
                <w:sz w:val="20"/>
                <w:szCs w:val="20"/>
                <w:color w:val="auto"/>
              </w:rPr>
            </w:pPr>
            <w:r>
              <w:rPr>
                <w:rFonts w:ascii="Arial" w:cs="Arial" w:eastAsia="Arial" w:hAnsi="Arial"/>
                <w:sz w:val="10"/>
                <w:szCs w:val="10"/>
                <w:color w:val="auto"/>
              </w:rPr>
              <w:t>6.5</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16.3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0.07</w:t>
            </w:r>
          </w:p>
        </w:tc>
        <w:tc>
          <w:tcPr>
            <w:tcW w:w="0" w:type="dxa"/>
            <w:vAlign w:val="bottom"/>
          </w:tcPr>
          <w:p>
            <w:pPr>
              <w:spacing w:after="0"/>
              <w:rPr>
                <w:sz w:val="1"/>
                <w:szCs w:val="1"/>
                <w:color w:val="auto"/>
              </w:rPr>
            </w:pPr>
          </w:p>
        </w:tc>
      </w:tr>
      <w:tr>
        <w:trPr>
          <w:trHeight w:val="112"/>
        </w:trPr>
        <w:tc>
          <w:tcPr>
            <w:tcW w:w="3680" w:type="dxa"/>
            <w:vAlign w:val="bottom"/>
            <w:shd w:val="clear" w:color="auto" w:fill="CCEEFF"/>
          </w:tcPr>
          <w:p>
            <w:pPr>
              <w:ind w:left="100"/>
              <w:spacing w:after="0" w:line="113" w:lineRule="exact"/>
              <w:rPr>
                <w:sz w:val="20"/>
                <w:szCs w:val="20"/>
                <w:color w:val="auto"/>
              </w:rPr>
            </w:pPr>
            <w:r>
              <w:rPr>
                <w:rFonts w:ascii="Arial" w:cs="Arial" w:eastAsia="Arial" w:hAnsi="Arial"/>
                <w:sz w:val="10"/>
                <w:szCs w:val="10"/>
                <w:color w:val="auto"/>
              </w:rPr>
              <w:t>Acquisition-related retention arrangements</w:t>
            </w:r>
            <w:r>
              <w:rPr>
                <w:rFonts w:ascii="Arial" w:cs="Arial" w:eastAsia="Arial" w:hAnsi="Arial"/>
                <w:sz w:val="13"/>
                <w:szCs w:val="13"/>
                <w:color w:val="auto"/>
                <w:vertAlign w:val="superscript"/>
              </w:rPr>
              <w:t>(1)</w:t>
            </w:r>
            <w:r>
              <w:rPr>
                <w:rFonts w:ascii="Arial" w:cs="Arial" w:eastAsia="Arial" w:hAnsi="Arial"/>
                <w:sz w:val="10"/>
                <w:szCs w:val="10"/>
                <w:color w:val="auto"/>
              </w:rPr>
              <w:t xml:space="preserve"> (Compensation and related</w:t>
            </w:r>
          </w:p>
        </w:tc>
        <w:tc>
          <w:tcPr>
            <w:tcW w:w="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6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costs)</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(54.3)</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54.3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15.4</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0.17</w:t>
            </w:r>
          </w:p>
        </w:tc>
        <w:tc>
          <w:tcPr>
            <w:tcW w:w="0" w:type="dxa"/>
            <w:vAlign w:val="bottom"/>
          </w:tcPr>
          <w:p>
            <w:pPr>
              <w:spacing w:after="0"/>
              <w:rPr>
                <w:sz w:val="1"/>
                <w:szCs w:val="1"/>
                <w:color w:val="auto"/>
              </w:rPr>
            </w:pPr>
          </w:p>
        </w:tc>
      </w:tr>
      <w:tr>
        <w:trPr>
          <w:trHeight w:val="144"/>
        </w:trPr>
        <w:tc>
          <w:tcPr>
            <w:tcW w:w="3680" w:type="dxa"/>
            <w:vAlign w:val="bottom"/>
          </w:tcPr>
          <w:p>
            <w:pPr>
              <w:ind w:left="100"/>
              <w:spacing w:after="0" w:line="144" w:lineRule="exact"/>
              <w:rPr>
                <w:sz w:val="20"/>
                <w:szCs w:val="20"/>
                <w:color w:val="auto"/>
              </w:rPr>
            </w:pPr>
            <w:r>
              <w:rPr>
                <w:rFonts w:ascii="Arial" w:cs="Arial" w:eastAsia="Arial" w:hAnsi="Arial"/>
                <w:sz w:val="11"/>
                <w:szCs w:val="11"/>
                <w:color w:val="auto"/>
              </w:rPr>
              <w:t>Contingent consideration</w:t>
            </w:r>
            <w:r>
              <w:rPr>
                <w:rFonts w:ascii="Arial" w:cs="Arial" w:eastAsia="Arial" w:hAnsi="Arial"/>
                <w:sz w:val="14"/>
                <w:szCs w:val="14"/>
                <w:color w:val="auto"/>
                <w:vertAlign w:val="superscript"/>
              </w:rPr>
              <w:t>(1)</w:t>
            </w:r>
          </w:p>
        </w:tc>
        <w:tc>
          <w:tcPr>
            <w:tcW w:w="80" w:type="dxa"/>
            <w:vAlign w:val="bottom"/>
          </w:tcPr>
          <w:p>
            <w:pPr>
              <w:spacing w:after="0"/>
              <w:rPr>
                <w:sz w:val="12"/>
                <w:szCs w:val="12"/>
                <w:color w:val="auto"/>
              </w:rPr>
            </w:pPr>
          </w:p>
        </w:tc>
        <w:tc>
          <w:tcPr>
            <w:tcW w:w="1060" w:type="dxa"/>
            <w:vAlign w:val="bottom"/>
          </w:tcPr>
          <w:p>
            <w:pPr>
              <w:jc w:val="right"/>
              <w:ind w:right="12"/>
              <w:spacing w:after="0"/>
              <w:rPr>
                <w:sz w:val="20"/>
                <w:szCs w:val="20"/>
                <w:color w:val="auto"/>
              </w:rPr>
            </w:pPr>
            <w:r>
              <w:rPr>
                <w:rFonts w:ascii="Arial" w:cs="Arial" w:eastAsia="Arial" w:hAnsi="Arial"/>
                <w:sz w:val="10"/>
                <w:szCs w:val="10"/>
                <w:color w:val="auto"/>
              </w:rPr>
              <w:t>125.7</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(125.7)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(35.7)</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(90.0)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(0.40)</w:t>
            </w:r>
          </w:p>
        </w:tc>
        <w:tc>
          <w:tcPr>
            <w:tcW w:w="0" w:type="dxa"/>
            <w:vAlign w:val="bottom"/>
          </w:tcPr>
          <w:p>
            <w:pPr>
              <w:spacing w:after="0"/>
              <w:rPr>
                <w:sz w:val="1"/>
                <w:szCs w:val="1"/>
                <w:color w:val="auto"/>
              </w:rPr>
            </w:pPr>
          </w:p>
        </w:tc>
      </w:tr>
      <w:tr>
        <w:trPr>
          <w:trHeight w:val="144"/>
        </w:trPr>
        <w:tc>
          <w:tcPr>
            <w:tcW w:w="3680" w:type="dxa"/>
            <w:vAlign w:val="bottom"/>
            <w:shd w:val="clear" w:color="auto" w:fill="CCEEFF"/>
          </w:tcPr>
          <w:p>
            <w:pPr>
              <w:ind w:left="100"/>
              <w:spacing w:after="0" w:line="144" w:lineRule="exact"/>
              <w:rPr>
                <w:sz w:val="20"/>
                <w:szCs w:val="20"/>
                <w:color w:val="auto"/>
              </w:rPr>
            </w:pPr>
            <w:r>
              <w:rPr>
                <w:rFonts w:ascii="Arial" w:cs="Arial" w:eastAsia="Arial" w:hAnsi="Arial"/>
                <w:sz w:val="11"/>
                <w:szCs w:val="11"/>
                <w:color w:val="auto"/>
              </w:rPr>
              <w:t>Intangible assets amortization and impairments</w:t>
            </w:r>
            <w:r>
              <w:rPr>
                <w:rFonts w:ascii="Arial" w:cs="Arial" w:eastAsia="Arial" w:hAnsi="Arial"/>
                <w:sz w:val="14"/>
                <w:szCs w:val="14"/>
                <w:color w:val="auto"/>
                <w:vertAlign w:val="superscript"/>
              </w:rPr>
              <w:t>(1)</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(81.4)</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81.4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23.1</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58.3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0.25</w:t>
            </w:r>
          </w:p>
        </w:tc>
        <w:tc>
          <w:tcPr>
            <w:tcW w:w="0" w:type="dxa"/>
            <w:vAlign w:val="bottom"/>
          </w:tcPr>
          <w:p>
            <w:pPr>
              <w:spacing w:after="0"/>
              <w:rPr>
                <w:sz w:val="1"/>
                <w:szCs w:val="1"/>
                <w:color w:val="auto"/>
              </w:rPr>
            </w:pPr>
          </w:p>
        </w:tc>
      </w:tr>
      <w:tr>
        <w:trPr>
          <w:trHeight w:val="144"/>
        </w:trPr>
        <w:tc>
          <w:tcPr>
            <w:tcW w:w="3680" w:type="dxa"/>
            <w:vAlign w:val="bottom"/>
            <w:tcBorders>
              <w:bottom w:val="single" w:sz="8" w:color="CCEEFF"/>
            </w:tcBorders>
          </w:tcPr>
          <w:p>
            <w:pPr>
              <w:ind w:left="100"/>
              <w:spacing w:after="0" w:line="144" w:lineRule="exact"/>
              <w:rPr>
                <w:sz w:val="20"/>
                <w:szCs w:val="20"/>
                <w:color w:val="auto"/>
              </w:rPr>
            </w:pPr>
            <w:r>
              <w:rPr>
                <w:rFonts w:ascii="Arial" w:cs="Arial" w:eastAsia="Arial" w:hAnsi="Arial"/>
                <w:sz w:val="11"/>
                <w:szCs w:val="11"/>
                <w:color w:val="auto"/>
              </w:rPr>
              <w:t>Transaction costs</w:t>
            </w:r>
            <w:r>
              <w:rPr>
                <w:rFonts w:ascii="Arial" w:cs="Arial" w:eastAsia="Arial" w:hAnsi="Arial"/>
                <w:sz w:val="14"/>
                <w:szCs w:val="14"/>
                <w:color w:val="auto"/>
                <w:vertAlign w:val="superscript"/>
              </w:rPr>
              <w:t>(2)</w:t>
            </w:r>
            <w:r>
              <w:rPr>
                <w:rFonts w:ascii="Arial" w:cs="Arial" w:eastAsia="Arial" w:hAnsi="Arial"/>
                <w:sz w:val="11"/>
                <w:szCs w:val="11"/>
                <w:color w:val="auto"/>
              </w:rPr>
              <w:t xml:space="preserve"> (General, admin and other)</w:t>
            </w: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(0.9)</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0.9</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0.2</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0.7</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4"/>
        </w:trPr>
        <w:tc>
          <w:tcPr>
            <w:tcW w:w="3680" w:type="dxa"/>
            <w:vAlign w:val="bottom"/>
            <w:shd w:val="clear" w:color="auto" w:fill="CCEEFF"/>
          </w:tcPr>
          <w:p>
            <w:pPr>
              <w:ind w:left="100"/>
              <w:spacing w:after="0" w:line="120" w:lineRule="exact"/>
              <w:rPr>
                <w:sz w:val="20"/>
                <w:szCs w:val="20"/>
                <w:color w:val="auto"/>
              </w:rPr>
            </w:pPr>
            <w:r>
              <w:rPr>
                <w:rFonts w:ascii="Arial" w:cs="Arial" w:eastAsia="Arial" w:hAnsi="Arial"/>
                <w:sz w:val="11"/>
                <w:szCs w:val="11"/>
                <w:color w:val="auto"/>
              </w:rPr>
              <w:t>Total acquisition-related non-GAAP adjustments</w:t>
            </w:r>
          </w:p>
        </w:tc>
        <w:tc>
          <w:tcPr>
            <w:tcW w:w="80" w:type="dxa"/>
            <w:vAlign w:val="bottom"/>
            <w:shd w:val="clear" w:color="auto" w:fill="CCEEFF"/>
          </w:tcPr>
          <w:p>
            <w:pPr>
              <w:spacing w:after="0"/>
              <w:rPr>
                <w:sz w:val="10"/>
                <w:szCs w:val="10"/>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6.0</w:t>
            </w: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33.7</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9.5</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24.2</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0.09</w:t>
            </w:r>
          </w:p>
        </w:tc>
        <w:tc>
          <w:tcPr>
            <w:tcW w:w="0" w:type="dxa"/>
            <w:vAlign w:val="bottom"/>
          </w:tcPr>
          <w:p>
            <w:pPr>
              <w:spacing w:after="0"/>
              <w:rPr>
                <w:sz w:val="1"/>
                <w:szCs w:val="1"/>
                <w:color w:val="auto"/>
              </w:rPr>
            </w:pPr>
          </w:p>
        </w:tc>
      </w:tr>
      <w:tr>
        <w:trPr>
          <w:trHeight w:val="124"/>
        </w:trPr>
        <w:tc>
          <w:tcPr>
            <w:tcW w:w="3680" w:type="dxa"/>
            <w:vAlign w:val="bottom"/>
          </w:tcPr>
          <w:p>
            <w:pPr>
              <w:ind w:left="20"/>
              <w:spacing w:after="0" w:line="124" w:lineRule="exact"/>
              <w:rPr>
                <w:sz w:val="20"/>
                <w:szCs w:val="20"/>
                <w:color w:val="auto"/>
              </w:rPr>
            </w:pPr>
            <w:r>
              <w:rPr>
                <w:rFonts w:ascii="Arial" w:cs="Arial" w:eastAsia="Arial" w:hAnsi="Arial"/>
                <w:sz w:val="11"/>
                <w:szCs w:val="11"/>
                <w:color w:val="auto"/>
              </w:rPr>
              <w:t>Supplemental savings plan liability</w:t>
            </w:r>
            <w:r>
              <w:rPr>
                <w:rFonts w:ascii="Arial" w:cs="Arial" w:eastAsia="Arial" w:hAnsi="Arial"/>
                <w:sz w:val="14"/>
                <w:szCs w:val="14"/>
                <w:color w:val="auto"/>
                <w:vertAlign w:val="superscript"/>
              </w:rPr>
              <w:t>(3)</w:t>
            </w:r>
            <w:r>
              <w:rPr>
                <w:rFonts w:ascii="Arial" w:cs="Arial" w:eastAsia="Arial" w:hAnsi="Arial"/>
                <w:sz w:val="11"/>
                <w:szCs w:val="11"/>
                <w:color w:val="auto"/>
              </w:rPr>
              <w:t xml:space="preserve"> (Compensation and related costs)</w:t>
            </w:r>
          </w:p>
        </w:tc>
        <w:tc>
          <w:tcPr>
            <w:tcW w:w="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0"/>
                <w:szCs w:val="10"/>
                <w:color w:val="auto"/>
              </w:rPr>
              <w:t>169.2</w:t>
            </w:r>
          </w:p>
        </w:tc>
        <w:tc>
          <w:tcPr>
            <w:tcW w:w="8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(169.2)</w:t>
            </w: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0"/>
                <w:szCs w:val="10"/>
                <w:color w:val="auto"/>
              </w:rPr>
              <w:t>178.0</w:t>
            </w: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0"/>
                <w:szCs w:val="10"/>
                <w:color w:val="auto"/>
              </w:rPr>
              <w:t>2.5</w:t>
            </w:r>
          </w:p>
        </w:tc>
        <w:tc>
          <w:tcPr>
            <w:tcW w:w="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6.3</w:t>
            </w: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0.03</w:t>
            </w:r>
          </w:p>
        </w:tc>
        <w:tc>
          <w:tcPr>
            <w:tcW w:w="0" w:type="dxa"/>
            <w:vAlign w:val="bottom"/>
          </w:tcPr>
          <w:p>
            <w:pPr>
              <w:spacing w:after="0"/>
              <w:rPr>
                <w:sz w:val="1"/>
                <w:szCs w:val="1"/>
                <w:color w:val="auto"/>
              </w:rPr>
            </w:pPr>
          </w:p>
        </w:tc>
      </w:tr>
      <w:tr>
        <w:trPr>
          <w:trHeight w:val="144"/>
        </w:trPr>
        <w:tc>
          <w:tcPr>
            <w:tcW w:w="3680" w:type="dxa"/>
            <w:vAlign w:val="bottom"/>
            <w:shd w:val="clear" w:color="auto" w:fill="CCEEFF"/>
          </w:tcPr>
          <w:p>
            <w:pPr>
              <w:ind w:left="20"/>
              <w:spacing w:after="0" w:line="144" w:lineRule="exact"/>
              <w:rPr>
                <w:sz w:val="20"/>
                <w:szCs w:val="20"/>
                <w:color w:val="auto"/>
              </w:rPr>
            </w:pPr>
            <w:r>
              <w:rPr>
                <w:rFonts w:ascii="Arial" w:cs="Arial" w:eastAsia="Arial" w:hAnsi="Arial"/>
                <w:sz w:val="11"/>
                <w:szCs w:val="11"/>
                <w:color w:val="auto"/>
              </w:rPr>
              <w:t>Consolidated T. Rowe Price investment products</w:t>
            </w:r>
            <w:r>
              <w:rPr>
                <w:rFonts w:ascii="Arial" w:cs="Arial" w:eastAsia="Arial" w:hAnsi="Arial"/>
                <w:sz w:val="14"/>
                <w:szCs w:val="14"/>
                <w:color w:val="auto"/>
                <w:vertAlign w:val="superscript"/>
              </w:rPr>
              <w:t>(4)</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6.3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247.7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34.7</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87.4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0.38</w:t>
            </w:r>
          </w:p>
        </w:tc>
        <w:tc>
          <w:tcPr>
            <w:tcW w:w="0" w:type="dxa"/>
            <w:vAlign w:val="bottom"/>
          </w:tcPr>
          <w:p>
            <w:pPr>
              <w:spacing w:after="0"/>
              <w:rPr>
                <w:sz w:val="1"/>
                <w:szCs w:val="1"/>
                <w:color w:val="auto"/>
              </w:rPr>
            </w:pPr>
          </w:p>
        </w:tc>
      </w:tr>
      <w:tr>
        <w:trPr>
          <w:trHeight w:val="144"/>
        </w:trPr>
        <w:tc>
          <w:tcPr>
            <w:tcW w:w="3680" w:type="dxa"/>
            <w:vAlign w:val="bottom"/>
          </w:tcPr>
          <w:p>
            <w:pPr>
              <w:ind w:left="20"/>
              <w:spacing w:after="0" w:line="144" w:lineRule="exact"/>
              <w:rPr>
                <w:sz w:val="20"/>
                <w:szCs w:val="20"/>
                <w:color w:val="auto"/>
              </w:rPr>
            </w:pPr>
            <w:r>
              <w:rPr>
                <w:rFonts w:ascii="Arial" w:cs="Arial" w:eastAsia="Arial" w:hAnsi="Arial"/>
                <w:sz w:val="11"/>
                <w:szCs w:val="11"/>
                <w:color w:val="auto"/>
              </w:rPr>
              <w:t>Other non-operating income</w:t>
            </w:r>
            <w:r>
              <w:rPr>
                <w:rFonts w:ascii="Arial" w:cs="Arial" w:eastAsia="Arial" w:hAnsi="Arial"/>
                <w:sz w:val="14"/>
                <w:szCs w:val="14"/>
                <w:color w:val="auto"/>
                <w:vertAlign w:val="superscript"/>
              </w:rPr>
              <w:t>(5)</w:t>
            </w:r>
          </w:p>
        </w:tc>
        <w:tc>
          <w:tcPr>
            <w:tcW w:w="8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100" w:type="dxa"/>
            <w:vAlign w:val="bottom"/>
          </w:tcPr>
          <w:p>
            <w:pPr>
              <w:jc w:val="right"/>
              <w:ind w:right="12"/>
              <w:spacing w:after="0"/>
              <w:rPr>
                <w:sz w:val="20"/>
                <w:szCs w:val="20"/>
                <w:color w:val="auto"/>
              </w:rPr>
            </w:pPr>
            <w:r>
              <w:rPr>
                <w:rFonts w:ascii="Arial" w:cs="Arial" w:eastAsia="Arial" w:hAnsi="Arial"/>
                <w:sz w:val="10"/>
                <w:szCs w:val="10"/>
                <w:color w:val="auto"/>
              </w:rPr>
              <w:t>77.4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right"/>
              <w:ind w:right="12"/>
              <w:spacing w:after="0"/>
              <w:rPr>
                <w:sz w:val="20"/>
                <w:szCs w:val="20"/>
                <w:color w:val="auto"/>
              </w:rPr>
            </w:pPr>
            <w:r>
              <w:rPr>
                <w:rFonts w:ascii="Arial" w:cs="Arial" w:eastAsia="Arial" w:hAnsi="Arial"/>
                <w:sz w:val="10"/>
                <w:szCs w:val="10"/>
                <w:color w:val="auto"/>
              </w:rPr>
              <w:t>22.0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55.4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0.24</w:t>
            </w:r>
          </w:p>
        </w:tc>
        <w:tc>
          <w:tcPr>
            <w:tcW w:w="0" w:type="dxa"/>
            <w:vAlign w:val="bottom"/>
          </w:tcPr>
          <w:p>
            <w:pPr>
              <w:spacing w:after="0"/>
              <w:rPr>
                <w:sz w:val="1"/>
                <w:szCs w:val="1"/>
                <w:color w:val="auto"/>
              </w:rPr>
            </w:pPr>
          </w:p>
        </w:tc>
      </w:tr>
      <w:tr>
        <w:trPr>
          <w:trHeight w:val="124"/>
        </w:trPr>
        <w:tc>
          <w:tcPr>
            <w:tcW w:w="3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Adjusted Non-GAAP Basis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rPr>
              <w:t>3,014.6</w:t>
            </w:r>
          </w:p>
        </w:tc>
        <w:tc>
          <w:tcPr>
            <w:tcW w:w="80" w:type="dxa"/>
            <w:vAlign w:val="bottom"/>
          </w:tcPr>
          <w:p>
            <w:pPr>
              <w:spacing w:after="0"/>
              <w:rPr>
                <w:sz w:val="10"/>
                <w:szCs w:val="10"/>
                <w:color w:val="auto"/>
              </w:rPr>
            </w:pPr>
          </w:p>
        </w:tc>
        <w:tc>
          <w:tcPr>
            <w:tcW w:w="3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rPr>
              <w:t>1,991.4</w:t>
            </w:r>
          </w:p>
        </w:tc>
        <w:tc>
          <w:tcPr>
            <w:tcW w:w="8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(58.1)</w:t>
            </w:r>
          </w:p>
        </w:tc>
        <w:tc>
          <w:tcPr>
            <w:tcW w:w="8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rPr>
              <w:t>468.1</w:t>
            </w:r>
          </w:p>
        </w:tc>
        <w:tc>
          <w:tcPr>
            <w:tcW w:w="80" w:type="dxa"/>
            <w:vAlign w:val="bottom"/>
          </w:tcPr>
          <w:p>
            <w:pPr>
              <w:spacing w:after="0"/>
              <w:rPr>
                <w:sz w:val="10"/>
                <w:szCs w:val="10"/>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1,465.2</w:t>
            </w:r>
          </w:p>
        </w:tc>
        <w:tc>
          <w:tcPr>
            <w:tcW w:w="1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6.28</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left="208" w:right="20" w:hanging="208"/>
        <w:spacing w:after="0" w:line="224" w:lineRule="auto"/>
        <w:tabs>
          <w:tab w:leader="none" w:pos="209" w:val="left"/>
        </w:tabs>
        <w:numPr>
          <w:ilvl w:val="0"/>
          <w:numId w:val="13"/>
        </w:numPr>
        <w:rPr>
          <w:rFonts w:ascii="Arial" w:cs="Arial" w:eastAsia="Arial" w:hAnsi="Arial"/>
          <w:sz w:val="15"/>
          <w:szCs w:val="15"/>
          <w:color w:val="auto"/>
          <w:vertAlign w:val="superscript"/>
        </w:rPr>
      </w:pPr>
      <w:r>
        <w:rPr>
          <w:rFonts w:ascii="Arial" w:cs="Arial" w:eastAsia="Arial" w:hAnsi="Arial"/>
          <w:sz w:val="11"/>
          <w:szCs w:val="11"/>
          <w:color w:val="auto"/>
        </w:rPr>
        <w:t>These non-GAAP adjustments remove the impact of acquisition-related amortization and costs including amortization of intangible assets and acquired assets, the recurring fair value remeasurements of the contingent consideration liability, amortization of acquired investments and non-controlling interest basis differences, and amortization of compensation-related arrangements. Management believes adjusting for these charges helps the reader's ability to understand the firm's core operating results and to increase comparability period to period.</w:t>
      </w:r>
    </w:p>
    <w:p>
      <w:pPr>
        <w:spacing w:after="0" w:line="160" w:lineRule="exact"/>
        <w:rPr>
          <w:rFonts w:ascii="Arial" w:cs="Arial" w:eastAsia="Arial" w:hAnsi="Arial"/>
          <w:sz w:val="15"/>
          <w:szCs w:val="15"/>
          <w:color w:val="auto"/>
          <w:vertAlign w:val="superscript"/>
        </w:rPr>
      </w:pPr>
    </w:p>
    <w:p>
      <w:pPr>
        <w:ind w:left="208" w:right="260" w:hanging="208"/>
        <w:spacing w:after="0" w:line="220" w:lineRule="auto"/>
        <w:tabs>
          <w:tab w:leader="none" w:pos="198" w:val="left"/>
        </w:tabs>
        <w:numPr>
          <w:ilvl w:val="0"/>
          <w:numId w:val="13"/>
        </w:numPr>
        <w:rPr>
          <w:rFonts w:ascii="Arial" w:cs="Arial" w:eastAsia="Arial" w:hAnsi="Arial"/>
          <w:sz w:val="14"/>
          <w:szCs w:val="14"/>
          <w:color w:val="auto"/>
          <w:vertAlign w:val="superscript"/>
        </w:rPr>
      </w:pPr>
      <w:r>
        <w:rPr>
          <w:rFonts w:ascii="Arial" w:cs="Arial" w:eastAsia="Arial" w:hAnsi="Arial"/>
          <w:sz w:val="11"/>
          <w:szCs w:val="11"/>
          <w:color w:val="auto"/>
        </w:rPr>
        <w:t>This non-GAAP adjustment removes acquisition-related transaction costs. Management believes adjusting for these charges helps the reader's ability to understand the firm's core operating results and to increase comparability period to period.</w:t>
      </w:r>
    </w:p>
    <w:p>
      <w:pPr>
        <w:spacing w:after="0" w:line="150" w:lineRule="exact"/>
        <w:rPr>
          <w:rFonts w:ascii="Arial" w:cs="Arial" w:eastAsia="Arial" w:hAnsi="Arial"/>
          <w:sz w:val="14"/>
          <w:szCs w:val="14"/>
          <w:color w:val="auto"/>
          <w:vertAlign w:val="superscript"/>
        </w:rPr>
      </w:pPr>
    </w:p>
    <w:p>
      <w:pPr>
        <w:ind w:left="208" w:right="40" w:hanging="208"/>
        <w:spacing w:after="0" w:line="232" w:lineRule="auto"/>
        <w:tabs>
          <w:tab w:leader="none" w:pos="209" w:val="left"/>
        </w:tabs>
        <w:numPr>
          <w:ilvl w:val="0"/>
          <w:numId w:val="13"/>
        </w:numPr>
        <w:rPr>
          <w:rFonts w:ascii="Arial" w:cs="Arial" w:eastAsia="Arial" w:hAnsi="Arial"/>
          <w:sz w:val="15"/>
          <w:szCs w:val="15"/>
          <w:color w:val="auto"/>
          <w:vertAlign w:val="superscript"/>
        </w:rPr>
      </w:pPr>
      <w:r>
        <w:rPr>
          <w:rFonts w:ascii="Arial" w:cs="Arial" w:eastAsia="Arial" w:hAnsi="Arial"/>
          <w:sz w:val="11"/>
          <w:szCs w:val="11"/>
          <w:color w:val="auto"/>
        </w:rPr>
        <w:t>This non-GAAP adjustment removes the compensation expense impact from market valuation changes in the supplemental savings plan liability and the related net gains (losses) on investments designated as economic hedges against the related liability. Amounts deferred under the supplemental savings plan are adjusted for appreciation (depreciation) of hypothetical investments chosen by participants. The firm uses T. Rowe Price investment products to economically hedge the exposure to these market movements. Management believes it is useful to offset the non-operating investment income (loss) recognized on the economic hedges against the related compensation expense and remove the net impact to help the reader's ability to understand the firm's core operating results and to increase comparability period to period.</w:t>
      </w:r>
    </w:p>
    <w:p>
      <w:pPr>
        <w:spacing w:after="0" w:line="159" w:lineRule="exact"/>
        <w:rPr>
          <w:rFonts w:ascii="Arial" w:cs="Arial" w:eastAsia="Arial" w:hAnsi="Arial"/>
          <w:sz w:val="15"/>
          <w:szCs w:val="15"/>
          <w:color w:val="auto"/>
          <w:vertAlign w:val="superscript"/>
        </w:rPr>
      </w:pPr>
    </w:p>
    <w:p>
      <w:pPr>
        <w:ind w:left="208" w:right="260" w:hanging="208"/>
        <w:spacing w:after="0" w:line="232" w:lineRule="auto"/>
        <w:tabs>
          <w:tab w:leader="none" w:pos="209" w:val="left"/>
        </w:tabs>
        <w:numPr>
          <w:ilvl w:val="0"/>
          <w:numId w:val="13"/>
        </w:numPr>
        <w:rPr>
          <w:rFonts w:ascii="Arial" w:cs="Arial" w:eastAsia="Arial" w:hAnsi="Arial"/>
          <w:sz w:val="15"/>
          <w:szCs w:val="15"/>
          <w:color w:val="auto"/>
          <w:vertAlign w:val="superscript"/>
        </w:rPr>
      </w:pPr>
      <w:r>
        <w:rPr>
          <w:rFonts w:ascii="Arial" w:cs="Arial" w:eastAsia="Arial" w:hAnsi="Arial"/>
          <w:sz w:val="11"/>
          <w:szCs w:val="11"/>
          <w:color w:val="auto"/>
        </w:rPr>
        <w:t>These non-GAAP adjustments remove the impact the consolidated sponsored investment products have on the firm's U.S. GAAP consolidated statements of income. Specifically, the firm adds back the operating expenses and subtracts the investment income of the consolidated sponsored investment products. The adjustment to operating expenses represents the operating expenses of the consolidated products, net of the elimination of related management and administrative fees. The adjustment to net income attributable to T. Rowe Price represents the net income of the consolidated products, net of redeemable non-controlling interests. Management believes the consolidated sponsored investment products may impact the reader’s ability to understand the firm's core operating results.</w:t>
      </w:r>
    </w:p>
    <w:p>
      <w:pPr>
        <w:spacing w:after="0" w:line="150" w:lineRule="exact"/>
        <w:rPr>
          <w:rFonts w:ascii="Arial" w:cs="Arial" w:eastAsia="Arial" w:hAnsi="Arial"/>
          <w:sz w:val="15"/>
          <w:szCs w:val="15"/>
          <w:color w:val="auto"/>
          <w:vertAlign w:val="superscript"/>
        </w:rPr>
      </w:pPr>
    </w:p>
    <w:p>
      <w:pPr>
        <w:ind w:left="208" w:right="160" w:hanging="208"/>
        <w:spacing w:after="0" w:line="257" w:lineRule="auto"/>
        <w:tabs>
          <w:tab w:leader="none" w:pos="209" w:val="left"/>
        </w:tabs>
        <w:numPr>
          <w:ilvl w:val="0"/>
          <w:numId w:val="13"/>
        </w:numPr>
        <w:rPr>
          <w:rFonts w:ascii="Arial" w:cs="Arial" w:eastAsia="Arial" w:hAnsi="Arial"/>
          <w:sz w:val="14"/>
          <w:szCs w:val="14"/>
          <w:color w:val="auto"/>
          <w:vertAlign w:val="superscript"/>
        </w:rPr>
      </w:pPr>
      <w:r>
        <w:rPr>
          <w:rFonts w:ascii="Arial" w:cs="Arial" w:eastAsia="Arial" w:hAnsi="Arial"/>
          <w:sz w:val="10"/>
          <w:szCs w:val="10"/>
          <w:color w:val="auto"/>
        </w:rPr>
        <w:t>This non-GAAP adjustment represents the other non-operating income (loss) and the net gains (losses) earned on the firm's non-consolidated investment portfolio that are not designated as economic hedges of the supplemental savings plan liability and that are not part of the cash and discretionary investment portfolio. Management retains the investment gains recognized on the non-consolidated cash and discretionary investments as these assets and related income (loss) are considered part of the firm's core operations. Management believes adjusting for these non-operating income (loss) items helps the reader’s ability to understand the firm's core operating results and increases comparability to prior years. Additionally, management does not emphasize the impact of the portion of non-operating income (loss) removed when managing and evaluating the firm's performance.</w:t>
      </w:r>
    </w:p>
    <w:p>
      <w:pPr>
        <w:spacing w:after="0" w:line="320" w:lineRule="exact"/>
        <w:rPr>
          <w:sz w:val="20"/>
          <w:szCs w:val="20"/>
          <w:color w:val="auto"/>
        </w:rPr>
      </w:pPr>
    </w:p>
    <w:p>
      <w:pPr>
        <w:jc w:val="center"/>
        <w:ind w:right="-47"/>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248"/>
          </w:cols>
          <w:pgMar w:left="292" w:top="752" w:right="359" w:bottom="1440" w:gutter="0" w:footer="0" w:header="0"/>
        </w:sectPr>
      </w:pPr>
    </w:p>
    <w:bookmarkStart w:id="16" w:name="page17"/>
    <w:bookmarkEnd w:id="16"/>
    <w:p>
      <w:pPr>
        <w:ind w:left="208" w:right="620" w:hanging="208"/>
        <w:spacing w:after="0" w:line="218" w:lineRule="auto"/>
        <w:tabs>
          <w:tab w:leader="none" w:pos="209" w:val="left"/>
        </w:tabs>
        <w:numPr>
          <w:ilvl w:val="0"/>
          <w:numId w:val="14"/>
        </w:numPr>
        <w:rPr>
          <w:rFonts w:ascii="Arial" w:cs="Arial" w:eastAsia="Arial" w:hAnsi="Arial"/>
          <w:sz w:val="15"/>
          <w:szCs w:val="15"/>
          <w:color w:val="auto"/>
          <w:vertAlign w:val="superscript"/>
        </w:rPr>
      </w:pPr>
      <w:r>
        <w:rPr>
          <w:rFonts w:ascii="Arial" w:cs="Arial" w:eastAsia="Arial" w:hAnsi="Arial"/>
          <w:sz w:val="11"/>
          <w:szCs w:val="11"/>
          <w:color w:val="auto"/>
        </w:rPr>
        <w:t>The income tax impacts were calculated in order to achieve an overall year-to-date non-GAAP effective tax rate of 26.8% in 2023 and 24.2% in 2022. As such, the non-GAAP effective tax rate for the three months ended September 30, 2023 and 2022 was 24.8% and 24.4%, respectively. The firm estimates that its effective tax rate for the full-year 2023 on a non-GAAP basis will be in the range of 26.5% to 29.5%.</w:t>
      </w:r>
    </w:p>
    <w:p>
      <w:pPr>
        <w:spacing w:after="0" w:line="160" w:lineRule="exact"/>
        <w:rPr>
          <w:rFonts w:ascii="Arial" w:cs="Arial" w:eastAsia="Arial" w:hAnsi="Arial"/>
          <w:sz w:val="15"/>
          <w:szCs w:val="15"/>
          <w:color w:val="auto"/>
          <w:vertAlign w:val="superscript"/>
        </w:rPr>
      </w:pPr>
    </w:p>
    <w:p>
      <w:pPr>
        <w:ind w:left="208" w:right="40" w:hanging="208"/>
        <w:spacing w:after="0" w:line="218" w:lineRule="auto"/>
        <w:tabs>
          <w:tab w:leader="none" w:pos="209" w:val="left"/>
        </w:tabs>
        <w:numPr>
          <w:ilvl w:val="0"/>
          <w:numId w:val="14"/>
        </w:numPr>
        <w:rPr>
          <w:rFonts w:ascii="Arial" w:cs="Arial" w:eastAsia="Arial" w:hAnsi="Arial"/>
          <w:sz w:val="15"/>
          <w:szCs w:val="15"/>
          <w:color w:val="auto"/>
          <w:vertAlign w:val="superscript"/>
        </w:rPr>
      </w:pPr>
      <w:r>
        <w:rPr>
          <w:rFonts w:ascii="Arial" w:cs="Arial" w:eastAsia="Arial" w:hAnsi="Arial"/>
          <w:sz w:val="11"/>
          <w:szCs w:val="11"/>
          <w:color w:val="auto"/>
        </w:rPr>
        <w:t>This non-GAAP measure was calculated by applying the two-class method to adjusted net income attributable to T. Rowe Price Group divided by the weighted-average common shares outstanding assuming dilution. The calculation of adjusted net income allocated to common stockholders is as follows:</w:t>
      </w:r>
    </w:p>
    <w:p>
      <w:pPr>
        <w:spacing w:after="0" w:line="176" w:lineRule="exact"/>
        <w:rPr>
          <w:sz w:val="20"/>
          <w:szCs w:val="20"/>
          <w:color w:val="auto"/>
        </w:rPr>
      </w:pPr>
    </w:p>
    <w:tbl>
      <w:tblPr>
        <w:tblLayout w:type="fixed"/>
        <w:tblInd w:w="28" w:type="dxa"/>
        <w:tblCellMar>
          <w:top w:w="0" w:type="dxa"/>
          <w:left w:w="0" w:type="dxa"/>
          <w:bottom w:w="0" w:type="dxa"/>
          <w:right w:w="0" w:type="dxa"/>
        </w:tblCellMar>
      </w:tblPr>
      <w:tr>
        <w:trPr>
          <w:trHeight w:val="135"/>
        </w:trPr>
        <w:tc>
          <w:tcPr>
            <w:tcW w:w="5020" w:type="dxa"/>
            <w:vAlign w:val="bottom"/>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0"/>
                <w:szCs w:val="10"/>
                <w:b w:val="1"/>
                <w:bCs w:val="1"/>
                <w:color w:val="auto"/>
              </w:rPr>
              <w:t>Three months ended</w:t>
            </w:r>
          </w:p>
        </w:tc>
        <w:tc>
          <w:tcPr>
            <w:tcW w:w="22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2220" w:type="dxa"/>
            <w:vAlign w:val="bottom"/>
            <w:tcBorders>
              <w:bottom w:val="single" w:sz="8" w:color="auto"/>
            </w:tcBorders>
            <w:gridSpan w:val="4"/>
            <w:shd w:val="clear" w:color="auto" w:fill="CCEEFF"/>
          </w:tcPr>
          <w:p>
            <w:pPr>
              <w:jc w:val="right"/>
              <w:ind w:right="732"/>
              <w:spacing w:after="0"/>
              <w:rPr>
                <w:sz w:val="20"/>
                <w:szCs w:val="20"/>
                <w:color w:val="auto"/>
              </w:rPr>
            </w:pPr>
            <w:r>
              <w:rPr>
                <w:rFonts w:ascii="Arial" w:cs="Arial" w:eastAsia="Arial" w:hAnsi="Arial"/>
                <w:sz w:val="10"/>
                <w:szCs w:val="10"/>
                <w:b w:val="1"/>
                <w:bCs w:val="1"/>
                <w:color w:val="auto"/>
              </w:rPr>
              <w:t>Nine months ended</w:t>
            </w:r>
          </w:p>
        </w:tc>
      </w:tr>
      <w:tr>
        <w:trPr>
          <w:trHeight w:val="123"/>
        </w:trPr>
        <w:tc>
          <w:tcPr>
            <w:tcW w:w="5020" w:type="dxa"/>
            <w:vAlign w:val="bottom"/>
            <w:tcBorders>
              <w:bottom w:val="single" w:sz="8" w:color="CCEEFF"/>
            </w:tcBorders>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9/30/2023</w:t>
            </w:r>
          </w:p>
        </w:tc>
        <w:tc>
          <w:tcPr>
            <w:tcW w:w="3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b w:val="1"/>
                <w:bCs w:val="1"/>
                <w:color w:val="auto"/>
              </w:rPr>
              <w:t>9/30/2022</w:t>
            </w:r>
          </w:p>
        </w:tc>
        <w:tc>
          <w:tcPr>
            <w:tcW w:w="8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b w:val="1"/>
                <w:bCs w:val="1"/>
                <w:color w:val="auto"/>
              </w:rPr>
              <w:t>6/30/2023</w:t>
            </w:r>
          </w:p>
        </w:tc>
        <w:tc>
          <w:tcPr>
            <w:tcW w:w="8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b w:val="1"/>
                <w:bCs w:val="1"/>
                <w:color w:val="auto"/>
              </w:rPr>
              <w:t>9/30/2023</w:t>
            </w:r>
          </w:p>
        </w:tc>
        <w:tc>
          <w:tcPr>
            <w:tcW w:w="8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b w:val="1"/>
                <w:bCs w:val="1"/>
                <w:color w:val="auto"/>
              </w:rPr>
              <w:t>9/30/2022</w:t>
            </w:r>
          </w:p>
        </w:tc>
      </w:tr>
      <w:tr>
        <w:trPr>
          <w:trHeight w:val="125"/>
        </w:trPr>
        <w:tc>
          <w:tcPr>
            <w:tcW w:w="5020" w:type="dxa"/>
            <w:vAlign w:val="bottom"/>
            <w:shd w:val="clear" w:color="auto" w:fill="CCEEFF"/>
          </w:tcPr>
          <w:p>
            <w:pPr>
              <w:ind w:left="20"/>
              <w:spacing w:after="0" w:line="121" w:lineRule="exact"/>
              <w:rPr>
                <w:sz w:val="20"/>
                <w:szCs w:val="20"/>
                <w:color w:val="auto"/>
              </w:rPr>
            </w:pPr>
            <w:r>
              <w:rPr>
                <w:rFonts w:ascii="Arial" w:cs="Arial" w:eastAsia="Arial" w:hAnsi="Arial"/>
                <w:sz w:val="11"/>
                <w:szCs w:val="11"/>
                <w:color w:val="auto"/>
              </w:rPr>
              <w:t>Adjusted net income attributable to T. Rowe Price</w:t>
            </w:r>
          </w:p>
        </w:tc>
        <w:tc>
          <w:tcPr>
            <w:tcW w:w="840" w:type="dxa"/>
            <w:vAlign w:val="bottom"/>
            <w:shd w:val="clear" w:color="auto" w:fill="CCEEFF"/>
          </w:tcPr>
          <w:p>
            <w:pPr>
              <w:jc w:val="right"/>
              <w:ind w:right="732"/>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499.5</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430.6</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466.5</w:t>
            </w:r>
          </w:p>
        </w:tc>
        <w:tc>
          <w:tcPr>
            <w:tcW w:w="300" w:type="dxa"/>
            <w:vAlign w:val="bottom"/>
            <w:gridSpan w:val="2"/>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1,355.4</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1,465.2</w:t>
            </w:r>
          </w:p>
        </w:tc>
      </w:tr>
      <w:tr>
        <w:trPr>
          <w:trHeight w:val="142"/>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Less: adjusted net income allocated to outstanding restricted stock and stock unit holders</w:t>
            </w:r>
          </w:p>
        </w:tc>
        <w:tc>
          <w:tcPr>
            <w:tcW w:w="8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11.7</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10.7</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11.4</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32.8</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34.1</w:t>
            </w:r>
          </w:p>
        </w:tc>
      </w:tr>
      <w:tr>
        <w:trPr>
          <w:trHeight w:val="142"/>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Adjusted net income allocated to common stockholders</w:t>
            </w:r>
          </w:p>
        </w:tc>
        <w:tc>
          <w:tcPr>
            <w:tcW w:w="840" w:type="dxa"/>
            <w:vAlign w:val="bottom"/>
            <w:tcBorders>
              <w:bottom w:val="single" w:sz="8" w:color="auto"/>
            </w:tcBorders>
            <w:shd w:val="clear" w:color="auto" w:fill="CCEEFF"/>
          </w:tcPr>
          <w:p>
            <w:pPr>
              <w:jc w:val="right"/>
              <w:ind w:right="732"/>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487.8</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419.9</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455.1</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1,322.6</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1,431.1</w:t>
            </w:r>
          </w:p>
        </w:tc>
      </w:tr>
    </w:tbl>
    <w:p>
      <w:pPr>
        <w:spacing w:after="0" w:line="396"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268"/>
          </w:cols>
          <w:pgMar w:left="292" w:top="727" w:right="339" w:bottom="1440"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3760470</wp:posOffset>
            </wp:positionV>
            <wp:extent cx="7130415" cy="18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2023-10-27T06:20:56Z</dcterms:created>
  <dcterms:modified xsi:type="dcterms:W3CDTF">2023-10-27T06:20:56Z</dcterms:modified>
</cp:coreProperties>
</file>